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after="120" w:afterLines="50"/>
        <w:rPr>
          <w:bCs/>
          <w:szCs w:val="21"/>
        </w:rPr>
      </w:pPr>
      <w:sdt>
        <w:sdtPr>
          <w:tag w:val="_PLD_1949c108a8da4292a0058e3719689765"/>
          <w:id w:val="5606"/>
        </w:sdtPr>
        <w:sdtContent>
          <w:r>
            <w:rPr>
              <w:rFonts w:hint="eastAsia"/>
              <w:bCs/>
              <w:szCs w:val="21"/>
            </w:rPr>
            <w:t>公司代码：</w:t>
          </w:r>
        </w:sdtContent>
      </w:sdt>
      <w:sdt>
        <w:sdtPr>
          <w:rPr>
            <w:rFonts w:hint="eastAsia"/>
            <w:bCs/>
            <w:szCs w:val="21"/>
          </w:rPr>
          <w:alias w:val="公司代码"/>
          <w:tag w:val="_GBC_704b7b03ea3f4a93b8d4655a09b2ff61"/>
          <w:id w:val="5607"/>
          <w:placeholder>
            <w:docPart w:val="GBC22222222222222222222222222222"/>
          </w:placeholder>
        </w:sdtPr>
        <w:sdtEndPr>
          <w:rPr>
            <w:rFonts w:hint="eastAsia"/>
            <w:bCs/>
            <w:szCs w:val="21"/>
          </w:rPr>
        </w:sdtEndPr>
        <w:sdtContent>
          <w:r>
            <w:rPr>
              <w:rFonts w:hint="eastAsia"/>
              <w:bCs/>
              <w:szCs w:val="21"/>
            </w:rPr>
            <w:t>600249</w:t>
          </w:r>
        </w:sdtContent>
      </w:sdt>
      <w:r>
        <w:rPr>
          <w:rFonts w:hint="eastAsia"/>
          <w:bCs/>
          <w:szCs w:val="21"/>
        </w:rPr>
        <w:t xml:space="preserve">                                           </w:t>
      </w:r>
      <w:sdt>
        <w:sdtPr>
          <w:tag w:val="_PLD_fdb42a71c1cc4dc59fad3ee29e241a4f"/>
          <w:id w:val="5608"/>
        </w:sdtPr>
        <w:sdtContent>
          <w:r>
            <w:rPr>
              <w:rFonts w:hint="eastAsia"/>
              <w:bCs/>
              <w:szCs w:val="21"/>
            </w:rPr>
            <w:t>公司简称：</w:t>
          </w:r>
        </w:sdtContent>
      </w:sdt>
      <w:sdt>
        <w:sdtPr>
          <w:rPr>
            <w:rFonts w:hint="eastAsia"/>
            <w:bCs/>
            <w:szCs w:val="21"/>
          </w:rPr>
          <w:alias w:val="公司简称"/>
          <w:tag w:val="_GBC_0384ae715a1e4b4894a29e4d27f5bef4"/>
          <w:id w:val="5609"/>
          <w:placeholder>
            <w:docPart w:val="GBC22222222222222222222222222222"/>
          </w:placeholder>
        </w:sdtPr>
        <w:sdtEndPr>
          <w:rPr>
            <w:rFonts w:hint="eastAsia"/>
            <w:bCs/>
            <w:szCs w:val="21"/>
          </w:rPr>
        </w:sdtEndPr>
        <w:sdtContent>
          <w:r>
            <w:rPr>
              <w:rFonts w:hint="eastAsia"/>
              <w:bCs/>
              <w:szCs w:val="21"/>
            </w:rPr>
            <w:t>两面针</w:t>
          </w:r>
        </w:sdtContent>
      </w:sdt>
    </w:p>
    <w:p/>
    <w:p/>
    <w:p/>
    <w:p>
      <w:pPr>
        <w:tabs>
          <w:tab w:val="left" w:pos="8400"/>
        </w:tabs>
      </w:pPr>
    </w:p>
    <w:p/>
    <w:p/>
    <w:p>
      <w:pPr>
        <w:rPr>
          <w:b/>
          <w:bCs/>
          <w:szCs w:val="21"/>
        </w:rPr>
      </w:pPr>
    </w:p>
    <w:p>
      <w:pPr>
        <w:rPr>
          <w:b/>
          <w:bCs/>
          <w:szCs w:val="21"/>
        </w:rPr>
      </w:pPr>
    </w:p>
    <w:sdt>
      <w:sdtPr>
        <w:rPr>
          <w:rFonts w:hint="eastAsia" w:ascii="黑体" w:hAnsi="黑体" w:eastAsia="黑体"/>
          <w:b/>
          <w:bCs/>
          <w:color w:val="FF0000"/>
          <w:sz w:val="44"/>
          <w:szCs w:val="44"/>
        </w:rPr>
        <w:alias w:val="公司法定中文名称"/>
        <w:tag w:val="_GBC_47adbfeb6fae494fb72f2a2b2c73d969"/>
        <w:id w:val="5610"/>
        <w:placeholder>
          <w:docPart w:val="GBC22222222222222222222222222222"/>
        </w:placeholder>
        <w:dataBinding w:prefixMappings="xmlns:clcid-cgi='clcid-cgi'" w:xpath="/*/clcid-cgi:GongSiFaDingZhongWenMingCheng[not(@periodRef)]" w:storeItemID="{89EBAB94-44A0-46A2-B712-30D997D04A6D}"/>
        <w:text/>
      </w:sdtPr>
      <w:sdtEndPr>
        <w:rPr>
          <w:rFonts w:hint="eastAsia" w:ascii="黑体" w:hAnsi="黑体" w:eastAsia="黑体"/>
          <w:b/>
          <w:bCs/>
          <w:color w:val="FF0000"/>
          <w:sz w:val="44"/>
          <w:szCs w:val="44"/>
        </w:rPr>
      </w:sdtEndPr>
      <w:sdtContent>
        <w:p>
          <w:pPr>
            <w:jc w:val="center"/>
            <w:rPr>
              <w:rFonts w:hint="eastAsia" w:ascii="黑体" w:hAnsi="黑体" w:eastAsia="黑体"/>
              <w:b/>
              <w:bCs/>
              <w:color w:val="FF0000"/>
              <w:sz w:val="44"/>
              <w:szCs w:val="44"/>
            </w:rPr>
          </w:pPr>
          <w:r>
            <w:rPr>
              <w:rFonts w:hint="eastAsia" w:ascii="黑体" w:hAnsi="黑体" w:eastAsia="黑体"/>
              <w:b/>
              <w:bCs/>
              <w:color w:val="FF0000"/>
              <w:sz w:val="44"/>
              <w:szCs w:val="44"/>
              <w:lang w:eastAsia="zh-CN"/>
            </w:rPr>
            <w:t>柳州两面针股份有限公司</w:t>
          </w:r>
        </w:p>
      </w:sdtContent>
    </w:sdt>
    <w:p>
      <w:pPr>
        <w:jc w:val="center"/>
        <w:rPr>
          <w:rFonts w:hint="eastAsia" w:ascii="黑体" w:hAnsi="黑体" w:eastAsia="黑体"/>
          <w:b/>
          <w:bCs/>
          <w:color w:val="FF0000"/>
          <w:sz w:val="44"/>
          <w:szCs w:val="44"/>
        </w:rPr>
      </w:pPr>
      <w:r>
        <w:rPr>
          <w:rFonts w:ascii="黑体" w:hAnsi="黑体" w:eastAsia="黑体"/>
          <w:b/>
          <w:bCs/>
          <w:color w:val="FF0000"/>
          <w:sz w:val="44"/>
          <w:szCs w:val="44"/>
        </w:rPr>
        <w:t>2025</w:t>
      </w:r>
      <w:r>
        <w:rPr>
          <w:rFonts w:hint="eastAsia" w:ascii="黑体" w:hAnsi="黑体" w:eastAsia="黑体"/>
          <w:b/>
          <w:bCs/>
          <w:color w:val="FF0000"/>
          <w:sz w:val="44"/>
          <w:szCs w:val="44"/>
        </w:rPr>
        <w:t>年年度报告</w:t>
      </w:r>
    </w:p>
    <w:p/>
    <w:p>
      <w:pPr>
        <w:rPr>
          <w:rFonts w:hint="eastAsia" w:ascii="黑体" w:hAnsi="黑体" w:eastAsia="黑体"/>
          <w:b/>
          <w:bCs/>
          <w:color w:val="FF0000"/>
          <w:sz w:val="44"/>
          <w:szCs w:val="44"/>
        </w:rPr>
      </w:pPr>
    </w:p>
    <w:p>
      <w:pPr>
        <w:bidi w:val="0"/>
        <w:rPr>
          <w:rFonts w:hint="eastAsia" w:ascii="Times New Roman" w:hAnsi="Times New Roman" w:eastAsia="宋体" w:cs="Times New Roman"/>
          <w:sz w:val="21"/>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sectPr>
          <w:headerReference r:id="rId3" w:type="default"/>
          <w:footerReference r:id="rId4" w:type="default"/>
          <w:pgSz w:w="11906" w:h="16838"/>
          <w:pgMar w:top="1525" w:right="1276" w:bottom="1440" w:left="1797" w:header="855" w:footer="992" w:gutter="0"/>
          <w:cols w:space="425" w:num="1"/>
          <w:docGrid w:linePitch="312" w:charSpace="0"/>
        </w:sectPr>
      </w:pPr>
    </w:p>
    <w:p/>
    <w:sdt>
      <w:sdtPr>
        <w:tag w:val="_PLD_429fee330a4a46d2822ec08d94ecdb3f"/>
        <w:id w:val="5612"/>
      </w:sdtPr>
      <w:sdtContent>
        <w:p>
          <w:pPr>
            <w:spacing w:before="100" w:beforeAutospacing="1" w:after="100" w:afterAutospacing="1" w:line="360" w:lineRule="auto"/>
            <w:jc w:val="center"/>
            <w:rPr>
              <w:rFonts w:hint="eastAsia" w:ascii="黑体" w:hAnsi="黑体" w:eastAsia="黑体"/>
              <w:b/>
              <w:bCs/>
              <w:sz w:val="28"/>
              <w:szCs w:val="28"/>
            </w:rPr>
          </w:pPr>
          <w:bookmarkStart w:id="0" w:name="_Toc387656034"/>
          <w:r>
            <w:rPr>
              <w:rFonts w:hint="eastAsia" w:ascii="黑体" w:hAnsi="黑体" w:eastAsia="黑体"/>
              <w:b/>
              <w:bCs/>
              <w:sz w:val="28"/>
              <w:szCs w:val="28"/>
            </w:rPr>
            <w:t>重要提示</w:t>
          </w:r>
        </w:p>
      </w:sdtContent>
    </w:sdt>
    <w:bookmarkEnd w:id="0"/>
    <w:sdt>
      <w:sdtPr>
        <w:rPr>
          <w:rFonts w:hint="eastAsia" w:ascii="宋体" w:hAnsi="宋体" w:cs="宋体"/>
          <w:b w:val="0"/>
          <w:bCs w:val="0"/>
          <w:kern w:val="0"/>
          <w:szCs w:val="24"/>
        </w:rPr>
        <w:alias w:val="选项模块:董事会及董事声明"/>
        <w:tag w:val="_SEC_7d2cef92505949c6b5bd6a9bd88e1b07"/>
        <w:id w:val="5613"/>
        <w:placeholder>
          <w:docPart w:val="GBC22222222222222222222222222222"/>
        </w:placeholder>
      </w:sdtPr>
      <w:sdtEndPr>
        <w:rPr>
          <w:rFonts w:hint="default" w:ascii="Times New Roman" w:hAnsi="Times New Roman" w:cs="Times New Roman"/>
          <w:b w:val="0"/>
          <w:bCs w:val="0"/>
          <w:kern w:val="0"/>
          <w:szCs w:val="20"/>
        </w:rPr>
      </w:sdtEndPr>
      <w:sdtContent>
        <w:sdt>
          <w:sdtPr>
            <w:rPr>
              <w:rFonts w:hint="eastAsia" w:ascii="宋体" w:hAnsi="宋体" w:cs="宋体"/>
              <w:b w:val="0"/>
              <w:bCs w:val="0"/>
              <w:kern w:val="0"/>
              <w:szCs w:val="24"/>
            </w:rPr>
            <w:alias w:val="董事会及董事声明"/>
            <w:tag w:val="_GBC_7a4abe6548364d7e8583e54b6ff64105"/>
            <w:id w:val="5614"/>
            <w:placeholder>
              <w:docPart w:val="GBC22222222222222222222222222222"/>
            </w:placeholder>
          </w:sdtPr>
          <w:sdtEndPr>
            <w:rPr>
              <w:rFonts w:hint="eastAsia" w:ascii="Arial" w:hAnsi="Arial" w:cs="Times New Roman"/>
              <w:b/>
              <w:bCs/>
              <w:kern w:val="2"/>
              <w:szCs w:val="21"/>
            </w:rPr>
          </w:sdtEndPr>
          <w:sdtContent>
            <w:p>
              <w:pPr>
                <w:pStyle w:val="3"/>
                <w:numPr>
                  <w:ilvl w:val="0"/>
                  <w:numId w:val="1"/>
                </w:numPr>
                <w:tabs>
                  <w:tab w:val="left" w:pos="434"/>
                </w:tabs>
                <w:spacing w:before="0"/>
                <w:rPr>
                  <w:rFonts w:hint="eastAsia" w:ascii="Times New Roman" w:hAnsi="宋体" w:cs="宋体"/>
                  <w:bCs w:val="0"/>
                </w:rPr>
              </w:pPr>
              <w:r>
                <w:rPr>
                  <w:rFonts w:ascii="Times New Roman" w:hAnsi="宋体" w:cs="宋体"/>
                  <w:bCs w:val="0"/>
                </w:rPr>
                <w:t>本公司董事会及董事、高级管理人员保证年度报告内容的真实性、准确性、完整性，不存在虚假记载、误导性陈述或重大遗漏，并承担个别和连带的法律责任。</w:t>
              </w:r>
            </w:p>
          </w:sdtContent>
        </w:sdt>
        <w:p/>
      </w:sdtContent>
    </w:sdt>
    <w:sdt>
      <w:sdtPr>
        <w:rPr>
          <w:rFonts w:hint="eastAsia" w:ascii="Calibri" w:hAnsi="Calibri" w:cs="宋体"/>
          <w:b w:val="0"/>
          <w:bCs w:val="0"/>
          <w:kern w:val="0"/>
          <w:sz w:val="24"/>
          <w:szCs w:val="22"/>
        </w:rPr>
        <w:alias w:val="选项模块:公司全体董事出席董事会会议。"/>
        <w:tag w:val="_SEC_22f2821f4b8f443f90d5135b8aaff83a"/>
        <w:id w:val="5615"/>
        <w:placeholder>
          <w:docPart w:val="GBC22222222222222222222222222222"/>
        </w:placeholder>
      </w:sdtPr>
      <w:sdtEndPr>
        <w:rPr>
          <w:rFonts w:hint="default" w:ascii="Times New Roman" w:hAnsi="Times New Roman" w:cs="Times New Roman"/>
          <w:b w:val="0"/>
          <w:bCs w:val="0"/>
          <w:kern w:val="0"/>
          <w:sz w:val="21"/>
          <w:szCs w:val="21"/>
        </w:rPr>
      </w:sdtEndPr>
      <w:sdtContent>
        <w:p>
          <w:pPr>
            <w:pStyle w:val="3"/>
            <w:numPr>
              <w:ilvl w:val="0"/>
              <w:numId w:val="1"/>
            </w:numPr>
            <w:tabs>
              <w:tab w:val="left" w:pos="448"/>
            </w:tabs>
            <w:spacing w:before="0"/>
          </w:pPr>
          <w:r>
            <w:rPr>
              <w:rFonts w:hint="eastAsia"/>
            </w:rPr>
            <w:t>公司</w:t>
          </w:r>
          <w:sdt>
            <w:sdtPr>
              <w:tag w:val="_PLD_67dfe594d3e24f69b6f9757d86ded61b"/>
              <w:id w:val="5616"/>
            </w:sdtPr>
            <w:sdtContent>
              <w:r>
                <w:rPr>
                  <w:rFonts w:hint="eastAsia"/>
                </w:rPr>
                <w:t>全体董事出席</w:t>
              </w:r>
            </w:sdtContent>
          </w:sdt>
          <w:r>
            <w:rPr>
              <w:rFonts w:hint="eastAsia"/>
            </w:rPr>
            <w:t>董事会会议。</w:t>
          </w:r>
        </w:p>
        <w:p>
          <w:pPr>
            <w:rPr>
              <w:szCs w:val="21"/>
            </w:rPr>
          </w:pPr>
        </w:p>
      </w:sdtContent>
    </w:sdt>
    <w:sdt>
      <w:sdtPr>
        <w:rPr>
          <w:rFonts w:hint="eastAsia" w:ascii="Calibri" w:hAnsi="Calibri" w:cs="宋体"/>
          <w:b w:val="0"/>
          <w:bCs w:val="0"/>
          <w:kern w:val="0"/>
          <w:sz w:val="24"/>
          <w:szCs w:val="24"/>
        </w:rPr>
        <w:alias w:val="选项模块:事务所为本公司出具了标准无保留意见的审计报告。"/>
        <w:tag w:val="_SEC_40fba4905c084fec81ccf5c248050f25"/>
        <w:id w:val="5617"/>
        <w:placeholder>
          <w:docPart w:val="GBC22222222222222222222222222222"/>
        </w:placeholder>
      </w:sdtPr>
      <w:sdtEndPr>
        <w:rPr>
          <w:rFonts w:hint="default" w:ascii="Times New Roman" w:hAnsi="Times New Roman" w:cs="Times New Roman"/>
          <w:b w:val="0"/>
          <w:bCs w:val="0"/>
          <w:kern w:val="0"/>
          <w:sz w:val="21"/>
          <w:szCs w:val="20"/>
        </w:rPr>
      </w:sdtEndPr>
      <w:sdtContent>
        <w:p>
          <w:pPr>
            <w:pStyle w:val="3"/>
            <w:numPr>
              <w:ilvl w:val="0"/>
              <w:numId w:val="1"/>
            </w:numPr>
            <w:tabs>
              <w:tab w:val="left" w:pos="518"/>
            </w:tabs>
            <w:spacing w:before="0"/>
            <w:jc w:val="left"/>
            <w:rPr>
              <w:rFonts w:hint="eastAsia" w:ascii="宋体" w:hAnsi="宋体"/>
            </w:rPr>
          </w:pPr>
          <w:sdt>
            <w:sdtPr>
              <w:rPr>
                <w:rFonts w:hint="eastAsia" w:ascii="宋体" w:hAnsi="宋体"/>
              </w:rPr>
              <w:alias w:val="公司聘请的境内会计师事务所名称"/>
              <w:tag w:val="_GBC_ad504284986e4ab994733d7125ba1c33"/>
              <w:id w:val="5618"/>
              <w:placeholder>
                <w:docPart w:val="GBC22222222222222222222222222222"/>
              </w:placeholder>
            </w:sdtPr>
            <w:sdtEndPr>
              <w:rPr>
                <w:rFonts w:hint="eastAsia" w:ascii="宋体" w:hAnsi="宋体"/>
              </w:rPr>
            </w:sdtEndPr>
            <w:sdtContent>
              <w:r>
                <w:rPr>
                  <w:rFonts w:hint="eastAsia" w:ascii="宋体" w:hAnsi="宋体"/>
                </w:rPr>
                <w:t>中喜会计师事务所（特殊普通合伙）</w:t>
              </w:r>
            </w:sdtContent>
          </w:sdt>
          <w:r>
            <w:rPr>
              <w:rFonts w:hint="eastAsia" w:ascii="宋体" w:hAnsi="宋体"/>
            </w:rPr>
            <w:t>为本公司出具了</w:t>
          </w:r>
          <w:sdt>
            <w:sdtPr>
              <w:rPr>
                <w:rFonts w:hint="eastAsia" w:ascii="宋体" w:hAnsi="宋体"/>
              </w:rPr>
              <w:alias w:val="会计师事务所审计意见类型"/>
              <w:tag w:val="_GBC_fc66ac35f9514436909a413223854389"/>
              <w:id w:val="5619"/>
              <w:placeholder>
                <w:docPart w:val="GBC22222222222222222222222222222"/>
              </w:placeholder>
            </w:sdtPr>
            <w:sdtEndPr>
              <w:rPr>
                <w:rFonts w:hint="eastAsia" w:ascii="宋体" w:hAnsi="宋体"/>
              </w:rPr>
            </w:sdtEndPr>
            <w:sdtContent>
              <w:r>
                <w:rPr>
                  <w:rFonts w:hint="eastAsia" w:ascii="宋体" w:hAnsi="宋体"/>
                </w:rPr>
                <w:t>标准无保留意见</w:t>
              </w:r>
            </w:sdtContent>
          </w:sdt>
          <w:r>
            <w:rPr>
              <w:rFonts w:hint="eastAsia" w:ascii="宋体" w:hAnsi="宋体"/>
            </w:rPr>
            <w:t>的审计报告。</w:t>
          </w:r>
        </w:p>
        <w:p>
          <w:pPr>
            <w:rPr>
              <w:szCs w:val="21"/>
            </w:rPr>
          </w:pPr>
        </w:p>
      </w:sdtContent>
    </w:sdt>
    <w:p>
      <w:pPr>
        <w:pStyle w:val="3"/>
        <w:numPr>
          <w:ilvl w:val="0"/>
          <w:numId w:val="1"/>
        </w:numPr>
        <w:tabs>
          <w:tab w:val="left" w:pos="434"/>
        </w:tabs>
        <w:spacing w:before="0"/>
        <w:rPr>
          <w:rFonts w:hint="eastAsia" w:ascii="宋体" w:hAnsi="宋体"/>
        </w:rPr>
      </w:pPr>
      <w:r>
        <w:rPr>
          <w:rFonts w:hint="eastAsia" w:ascii="宋体" w:hAnsi="宋体"/>
        </w:rPr>
        <w:t>公司负责人</w:t>
      </w:r>
      <w:sdt>
        <w:sdtPr>
          <w:rPr>
            <w:rFonts w:ascii="宋体" w:hAnsi="宋体"/>
          </w:rPr>
          <w:alias w:val="公司负责人姓名"/>
          <w:tag w:val="_GBC_ba0728eaa9a342098d20addcde59ed31"/>
          <w:id w:val="5620"/>
          <w:placeholder>
            <w:docPart w:val="GBC22222222222222222222222222222"/>
          </w:placeholder>
          <w:dataBinding w:prefixMappings="xmlns:clcid-mr='clcid-mr'" w:xpath="/*/clcid-mr:GongSiFuZeRenXingMing[not(@periodRef)]" w:storeItemID="{89EBAB94-44A0-46A2-B712-30D997D04A6D}"/>
          <w:text/>
        </w:sdtPr>
        <w:sdtEndPr>
          <w:rPr>
            <w:rFonts w:ascii="宋体" w:hAnsi="宋体"/>
          </w:rPr>
        </w:sdtEndPr>
        <w:sdtContent>
          <w:r>
            <w:rPr>
              <w:rFonts w:hint="eastAsia" w:ascii="宋体" w:hAnsi="宋体"/>
              <w:lang w:eastAsia="zh-CN"/>
            </w:rPr>
            <w:t>周云祥</w:t>
          </w:r>
        </w:sdtContent>
      </w:sdt>
      <w:r>
        <w:rPr>
          <w:rFonts w:hint="eastAsia" w:ascii="宋体" w:hAnsi="宋体"/>
        </w:rPr>
        <w:t>、主管会计工作负责人</w:t>
      </w:r>
      <w:sdt>
        <w:sdtPr>
          <w:rPr>
            <w:rFonts w:ascii="宋体" w:hAnsi="宋体"/>
          </w:rPr>
          <w:alias w:val="主管会计工作负责人姓名"/>
          <w:tag w:val="_GBC_9ac791ae357946e68402505d2aa6b3b9"/>
          <w:id w:val="5621"/>
          <w:placeholder>
            <w:docPart w:val="GBC22222222222222222222222222222"/>
          </w:placeholder>
          <w:dataBinding w:prefixMappings="xmlns:clcid-mr='clcid-mr'" w:xpath="/*/clcid-mr:ZhuGuanKuaiJiGongZuoFuZeRenXingMing[not(@periodRef)]" w:storeItemID="{89EBAB94-44A0-46A2-B712-30D997D04A6D}"/>
          <w:text/>
        </w:sdtPr>
        <w:sdtEndPr>
          <w:rPr>
            <w:rFonts w:ascii="宋体" w:hAnsi="宋体"/>
          </w:rPr>
        </w:sdtEndPr>
        <w:sdtContent>
          <w:r>
            <w:rPr>
              <w:rFonts w:hint="eastAsia" w:ascii="宋体" w:hAnsi="宋体"/>
              <w:lang w:eastAsia="zh-CN"/>
            </w:rPr>
            <w:t>龚慧泉</w:t>
          </w:r>
        </w:sdtContent>
      </w:sdt>
      <w:r>
        <w:rPr>
          <w:rFonts w:hint="eastAsia" w:ascii="宋体" w:hAnsi="宋体"/>
        </w:rPr>
        <w:t>及会计机构负责人（会计主管人员）</w:t>
      </w:r>
      <w:sdt>
        <w:sdtPr>
          <w:rPr>
            <w:rFonts w:ascii="宋体" w:hAnsi="宋体"/>
          </w:rPr>
          <w:alias w:val="会计机构负责人姓名"/>
          <w:tag w:val="_GBC_c6edcd184788428d9dc08d896d5d98a9"/>
          <w:id w:val="5622"/>
          <w:placeholder>
            <w:docPart w:val="GBC22222222222222222222222222222"/>
          </w:placeholder>
          <w:dataBinding w:prefixMappings="xmlns:clcid-mr='clcid-mr'" w:xpath="/*/clcid-mr:KuaiJiJiGouFuZeRenXingMing[not(@periodRef)]" w:storeItemID="{89EBAB94-44A0-46A2-B712-30D997D04A6D}"/>
          <w:text/>
        </w:sdtPr>
        <w:sdtEndPr>
          <w:rPr>
            <w:rFonts w:ascii="宋体" w:hAnsi="宋体"/>
          </w:rPr>
        </w:sdtEndPr>
        <w:sdtContent>
          <w:r>
            <w:rPr>
              <w:rFonts w:hint="eastAsia" w:ascii="宋体" w:hAnsi="宋体"/>
              <w:lang w:eastAsia="zh-CN"/>
            </w:rPr>
            <w:t>游发禄</w:t>
          </w:r>
        </w:sdtContent>
      </w:sdt>
      <w:r>
        <w:rPr>
          <w:rFonts w:hint="eastAsia" w:ascii="宋体" w:hAnsi="宋体"/>
        </w:rPr>
        <w:t>声明：保证年度报告中财务报告的真实、准确、完整。</w:t>
      </w:r>
    </w:p>
    <w:p/>
    <w:p>
      <w:pPr>
        <w:pStyle w:val="3"/>
        <w:numPr>
          <w:ilvl w:val="0"/>
          <w:numId w:val="1"/>
        </w:numPr>
        <w:tabs>
          <w:tab w:val="left" w:pos="490"/>
        </w:tabs>
        <w:spacing w:before="0"/>
        <w:rPr>
          <w:rFonts w:hint="eastAsia" w:ascii="宋体" w:hAnsi="宋体"/>
        </w:rPr>
      </w:pPr>
      <w:r>
        <w:rPr>
          <w:rFonts w:hint="eastAsia" w:ascii="Calibri" w:hAnsi="Calibri" w:cs="宋体"/>
          <w:kern w:val="0"/>
        </w:rPr>
        <w:t>董事会决议通过的本报告期利润分配预案或公积金转增股本预案</w:t>
      </w:r>
    </w:p>
    <w:sdt>
      <w:sdtPr>
        <w:rPr>
          <w:rFonts w:hint="eastAsia"/>
          <w:szCs w:val="21"/>
        </w:rPr>
        <w:alias w:val="经董事会审议的报告期利润分配预案或公积金转增股本预案"/>
        <w:tag w:val="_GBC_87fdd30c16df49cc824b47e55e4be6d9"/>
        <w:id w:val="5623"/>
        <w:placeholder>
          <w:docPart w:val="GBC22222222222222222222222222222"/>
        </w:placeholder>
      </w:sdtPr>
      <w:sdtEndPr>
        <w:rPr>
          <w:rFonts w:hint="eastAsia" w:ascii="Times New Roman" w:hAnsi="Times New Roman" w:eastAsia="宋体" w:cs="Times New Roman"/>
          <w:szCs w:val="21"/>
          <w:lang w:val="en-US" w:eastAsia="zh-CN"/>
        </w:rPr>
      </w:sdtEndPr>
      <w:sdtContent>
        <w:p>
          <w:pPr>
            <w:keepNext w:val="0"/>
            <w:keepLines w:val="0"/>
            <w:pageBreakBefore w:val="0"/>
            <w:widowControl/>
            <w:kinsoku w:val="0"/>
            <w:wordWrap/>
            <w:overflowPunct w:val="0"/>
            <w:topLinePunct w:val="0"/>
            <w:autoSpaceDE w:val="0"/>
            <w:autoSpaceDN w:val="0"/>
            <w:bidi w:val="0"/>
            <w:adjustRightInd w:val="0"/>
            <w:snapToGrid w:val="0"/>
            <w:spacing w:line="400" w:lineRule="exact"/>
            <w:jc w:val="both"/>
            <w:textAlignment w:val="auto"/>
            <w:rPr>
              <w:rFonts w:hint="eastAsia" w:ascii="Times New Roman" w:hAnsi="Times New Roman" w:eastAsia="宋体" w:cs="Times New Roman"/>
              <w:szCs w:val="21"/>
              <w:lang w:val="en-US" w:eastAsia="zh-CN"/>
            </w:rPr>
          </w:pPr>
          <w:r>
            <w:rPr>
              <w:rFonts w:hint="eastAsia" w:ascii="宋体" w:eastAsia="宋体"/>
              <w:sz w:val="21"/>
              <w:szCs w:val="21"/>
            </w:rPr>
            <w:t xml:space="preserve"> </w:t>
          </w:r>
          <w:r>
            <w:rPr>
              <w:rFonts w:hint="eastAsia" w:ascii="宋体"/>
              <w:sz w:val="21"/>
              <w:szCs w:val="21"/>
              <w:lang w:val="en-US" w:eastAsia="zh-CN"/>
            </w:rPr>
            <w:t xml:space="preserve">   </w:t>
          </w:r>
          <w:r>
            <w:rPr>
              <w:rFonts w:hint="eastAsia" w:ascii="Times New Roman" w:hAnsi="Times New Roman" w:eastAsia="宋体" w:cs="Times New Roman"/>
              <w:szCs w:val="21"/>
              <w:lang w:val="en-US" w:eastAsia="zh-CN"/>
            </w:rPr>
            <w:t>2025年度公司拟以2025年12月31日公司总股本550,000,000股为基数，向全体股东每10股派发现金红利0.3</w:t>
          </w:r>
          <w:r>
            <w:rPr>
              <w:rFonts w:hint="eastAsia" w:cs="Times New Roman"/>
              <w:szCs w:val="21"/>
              <w:lang w:val="en-US" w:eastAsia="zh-CN"/>
            </w:rPr>
            <w:t>0</w:t>
          </w:r>
          <w:r>
            <w:rPr>
              <w:rFonts w:hint="eastAsia" w:ascii="Times New Roman" w:hAnsi="Times New Roman" w:eastAsia="宋体" w:cs="Times New Roman"/>
              <w:szCs w:val="21"/>
              <w:lang w:val="en-US" w:eastAsia="zh-CN"/>
            </w:rPr>
            <w:t>元（含税），合计拟派发现金红利16,500,000.00元（含税）。公司剩余未分配利润结转以后年度，本年度不送股，也不进行资本公积金转增股本。如在实施权益分派的股权登记日前公司总股本发生变动的，公司拟维持每股分配比例不变，相应调整分配总额。本议案经董事会审议通过后，尚需提交公司股东会审议。</w:t>
          </w:r>
        </w:p>
      </w:sdtContent>
    </w:sdt>
    <w:p>
      <w:pPr>
        <w:kinsoku w:val="0"/>
        <w:overflowPunct w:val="0"/>
        <w:autoSpaceDE w:val="0"/>
        <w:autoSpaceDN w:val="0"/>
        <w:adjustRightInd w:val="0"/>
        <w:snapToGrid w:val="0"/>
        <w:spacing w:line="360" w:lineRule="exact"/>
      </w:pPr>
    </w:p>
    <w:p>
      <w:pPr>
        <w:kinsoku w:val="0"/>
        <w:overflowPunct w:val="0"/>
        <w:autoSpaceDE w:val="0"/>
        <w:autoSpaceDN w:val="0"/>
        <w:adjustRightInd w:val="0"/>
        <w:snapToGrid w:val="0"/>
        <w:spacing w:line="360" w:lineRule="exact"/>
        <w:rPr>
          <w:rFonts w:ascii="Calibri" w:hAnsi="Calibri"/>
          <w:b/>
          <w:bCs/>
          <w:szCs w:val="21"/>
        </w:rPr>
      </w:pPr>
      <w:bookmarkStart w:id="1" w:name="_Hlk188283359"/>
      <w:r>
        <w:rPr>
          <w:rFonts w:hint="eastAsia" w:ascii="Calibri" w:hAnsi="Calibri"/>
          <w:b/>
          <w:bCs/>
          <w:szCs w:val="21"/>
        </w:rPr>
        <w:t>截至报告期末，母公司存在未弥补亏损的相关情况及其对公司分红等事项的影响</w:t>
      </w:r>
    </w:p>
    <w:sdt>
      <w:sdtPr>
        <w:rPr>
          <w:rFonts w:hint="eastAsia"/>
        </w:rPr>
        <w:alias w:val="是否适用：母公司存在未弥补亏损的相关情况及对公司分红等事项的影响[双击切换]"/>
        <w:tag w:val="_GBC_f4072938560548dfb5ebe61b52489b8c"/>
        <w:id w:val="5624"/>
        <w:placeholder>
          <w:docPart w:val="GBC22222222222222222222222222222"/>
        </w:placeholder>
      </w:sdtPr>
      <w:sdtEndPr>
        <w:rPr>
          <w:rFonts w:hint="eastAsia"/>
        </w:rPr>
      </w:sdtEndPr>
      <w:sdtContent>
        <w:p>
          <w:r>
            <w:rPr>
              <w:rFonts w:hint="eastAsia" w:ascii="宋体" w:hAnsi="宋体"/>
            </w:rPr>
            <w:fldChar w:fldCharType="begin"/>
          </w:r>
          <w:r>
            <w:rPr>
              <w:rFonts w:hint="eastAsia" w:ascii="宋体" w:hAnsi="宋体"/>
            </w:rPr>
            <w:instrText xml:space="preserve"> MACROBUTTON  SnrToggleCheckbox □适用 </w:instrText>
          </w:r>
          <w:r>
            <w:rPr>
              <w:rFonts w:hint="eastAsia" w:ascii="宋体" w:hAnsi="宋体"/>
            </w:rPr>
            <w:fldChar w:fldCharType="end"/>
          </w:r>
          <w:r>
            <w:rPr>
              <w:rFonts w:hint="eastAsia" w:ascii="宋体" w:hAnsi="宋体"/>
            </w:rPr>
            <w:fldChar w:fldCharType="begin"/>
          </w:r>
          <w:r>
            <w:rPr>
              <w:rFonts w:hint="eastAsia" w:ascii="宋体" w:hAnsi="宋体"/>
            </w:rPr>
            <w:instrText xml:space="preserve"> MACROBUTTON  SnrToggleCheckbox √不适用 </w:instrText>
          </w:r>
          <w:r>
            <w:rPr>
              <w:rFonts w:hint="eastAsia" w:ascii="宋体" w:hAnsi="宋体"/>
            </w:rPr>
            <w:fldChar w:fldCharType="end"/>
          </w:r>
        </w:p>
      </w:sdtContent>
    </w:sdt>
    <w:p>
      <w:pPr>
        <w:kinsoku w:val="0"/>
        <w:overflowPunct w:val="0"/>
        <w:autoSpaceDE w:val="0"/>
        <w:autoSpaceDN w:val="0"/>
        <w:adjustRightInd w:val="0"/>
        <w:snapToGrid w:val="0"/>
        <w:spacing w:line="360" w:lineRule="exact"/>
        <w:rPr>
          <w:rFonts w:hint="eastAsia" w:asciiTheme="minorEastAsia" w:hAnsiTheme="minorEastAsia" w:eastAsiaTheme="minorEastAsia"/>
          <w:szCs w:val="21"/>
        </w:rPr>
      </w:pPr>
    </w:p>
    <w:bookmarkEnd w:id="1"/>
    <w:p>
      <w:pPr>
        <w:pStyle w:val="3"/>
        <w:numPr>
          <w:ilvl w:val="0"/>
          <w:numId w:val="1"/>
        </w:numPr>
        <w:tabs>
          <w:tab w:val="left" w:pos="504"/>
        </w:tabs>
        <w:spacing w:before="0"/>
      </w:pPr>
      <w:r>
        <w:t>前瞻性陈述的风险声明</w:t>
      </w:r>
    </w:p>
    <w:sdt>
      <w:sdtPr>
        <w:alias w:val="是否适用：前瞻性陈述的风险声明[双击切换]"/>
        <w:tag w:val="_GBC_5e5553f9f96e47e8b5eded9c0e6a26c0"/>
        <w:id w:val="5625"/>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szCs w:val="21"/>
        </w:rPr>
        <w:alias w:val="公司对报告涉及未来计划等前瞻性陈述的声明"/>
        <w:tag w:val="_GBC_1f83625afa8e46e9bb2a951797b077a3"/>
        <w:id w:val="5626"/>
        <w:placeholder>
          <w:docPart w:val="GBC22222222222222222222222222222"/>
        </w:placeholder>
      </w:sdtPr>
      <w:sdtEndPr>
        <w:rPr>
          <w:rFonts w:hint="eastAsia"/>
          <w:szCs w:val="21"/>
        </w:rPr>
      </w:sdtEndPr>
      <w:sdtContent>
        <w:p>
          <w:pPr>
            <w:kinsoku w:val="0"/>
            <w:overflowPunct w:val="0"/>
            <w:autoSpaceDE w:val="0"/>
            <w:autoSpaceDN w:val="0"/>
            <w:adjustRightInd w:val="0"/>
            <w:snapToGrid w:val="0"/>
            <w:spacing w:line="360" w:lineRule="exact"/>
            <w:ind w:firstLine="315"/>
            <w:rPr>
              <w:szCs w:val="21"/>
            </w:rPr>
          </w:pPr>
          <w:r>
            <w:rPr>
              <w:rFonts w:hint="eastAsia" w:ascii="宋体" w:eastAsia="宋体"/>
              <w:sz w:val="21"/>
              <w:szCs w:val="21"/>
            </w:rPr>
            <w:t>本年度报告中涉及未来计划等前瞻性陈述，不构成公司对投资者的实质承诺，请投资者注意投资风险。</w:t>
          </w:r>
        </w:p>
      </w:sdtContent>
    </w:sdt>
    <w:p>
      <w:pPr>
        <w:kinsoku w:val="0"/>
        <w:overflowPunct w:val="0"/>
        <w:autoSpaceDE w:val="0"/>
        <w:autoSpaceDN w:val="0"/>
        <w:adjustRightInd w:val="0"/>
        <w:snapToGrid w:val="0"/>
        <w:spacing w:line="360" w:lineRule="exact"/>
        <w:rPr>
          <w:szCs w:val="21"/>
        </w:rPr>
      </w:pPr>
    </w:p>
    <w:p>
      <w:pPr>
        <w:pStyle w:val="3"/>
        <w:numPr>
          <w:ilvl w:val="0"/>
          <w:numId w:val="1"/>
        </w:numPr>
        <w:tabs>
          <w:tab w:val="left" w:pos="434"/>
          <w:tab w:val="left" w:pos="644"/>
        </w:tabs>
        <w:spacing w:before="0"/>
      </w:pPr>
      <w:r>
        <w:t>是否存在被控股股东及其</w:t>
      </w:r>
      <w:r>
        <w:rPr>
          <w:rFonts w:hint="eastAsia"/>
        </w:rPr>
        <w:t>他</w:t>
      </w:r>
      <w:r>
        <w:t>关联方非经营性占用资金情况</w:t>
      </w:r>
    </w:p>
    <w:sdt>
      <w:sdtPr>
        <w:rPr>
          <w:rFonts w:hint="eastAsia" w:ascii="Arial" w:hAnsi="Arial"/>
          <w:bCs/>
          <w:szCs w:val="21"/>
        </w:rPr>
        <w:alias w:val="本公司是否存在大股东占用资金情况"/>
        <w:tag w:val="_GBC_a9b8d3170fbb4d50a645223c117f8b30"/>
        <w:id w:val="5627"/>
        <w:placeholder>
          <w:docPart w:val="GBC22222222222222222222222222222"/>
        </w:placeholder>
        <w:comboBox>
          <w:listItem w:displayText="是" w:value="true"/>
          <w:listItem w:displayText="否" w:value="false"/>
        </w:comboBox>
      </w:sdtPr>
      <w:sdtEndPr>
        <w:rPr>
          <w:rFonts w:hint="eastAsia" w:ascii="Arial" w:hAnsi="Arial"/>
          <w:bCs/>
          <w:szCs w:val="21"/>
        </w:rPr>
      </w:sdtEndPr>
      <w:sdtContent>
        <w:p>
          <w:pPr>
            <w:kinsoku w:val="0"/>
            <w:overflowPunct w:val="0"/>
            <w:autoSpaceDE w:val="0"/>
            <w:autoSpaceDN w:val="0"/>
            <w:adjustRightInd w:val="0"/>
            <w:snapToGrid w:val="0"/>
            <w:spacing w:line="360" w:lineRule="exact"/>
            <w:rPr>
              <w:rFonts w:ascii="Arial" w:hAnsi="Arial"/>
              <w:bCs/>
              <w:szCs w:val="21"/>
            </w:rPr>
          </w:pPr>
          <w:r>
            <w:rPr>
              <w:rFonts w:hint="eastAsia" w:ascii="Arial" w:hAnsi="Arial"/>
              <w:bCs/>
              <w:szCs w:val="21"/>
            </w:rPr>
            <w:t>否</w:t>
          </w:r>
        </w:p>
      </w:sdtContent>
    </w:sdt>
    <w:p>
      <w:pPr>
        <w:kinsoku w:val="0"/>
        <w:overflowPunct w:val="0"/>
        <w:autoSpaceDE w:val="0"/>
        <w:autoSpaceDN w:val="0"/>
        <w:adjustRightInd w:val="0"/>
        <w:snapToGrid w:val="0"/>
        <w:spacing w:line="360" w:lineRule="exact"/>
        <w:rPr>
          <w:rFonts w:ascii="Arial" w:hAnsi="Arial"/>
          <w:bCs/>
          <w:szCs w:val="21"/>
        </w:rPr>
      </w:pPr>
    </w:p>
    <w:p>
      <w:pPr>
        <w:pStyle w:val="3"/>
        <w:numPr>
          <w:ilvl w:val="0"/>
          <w:numId w:val="1"/>
        </w:numPr>
        <w:tabs>
          <w:tab w:val="left" w:pos="644"/>
        </w:tabs>
        <w:spacing w:before="0"/>
      </w:pPr>
      <w:r>
        <w:t>是否存在违反规定决策程序对外提供担保的情况</w:t>
      </w:r>
    </w:p>
    <w:sdt>
      <w:sdtPr>
        <w:rPr>
          <w:rFonts w:hint="eastAsia"/>
          <w:szCs w:val="21"/>
        </w:rPr>
        <w:alias w:val="本公司是否存在违反规定决策程序对外提供担保的情况"/>
        <w:tag w:val="_GBC_aef7ac6bbdf043bc8051c4f9fb55e5ea"/>
        <w:id w:val="5628"/>
        <w:placeholder>
          <w:docPart w:val="GBC22222222222222222222222222222"/>
        </w:placeholder>
        <w:comboBox>
          <w:listItem w:displayText="是" w:value="true"/>
          <w:listItem w:displayText="否" w:value="false"/>
        </w:comboBox>
      </w:sdtPr>
      <w:sdtEndPr>
        <w:rPr>
          <w:rFonts w:hint="eastAsia"/>
          <w:szCs w:val="21"/>
        </w:rPr>
      </w:sdtEndPr>
      <w:sdtContent>
        <w:p>
          <w:pPr>
            <w:rPr>
              <w:szCs w:val="21"/>
            </w:rPr>
          </w:pPr>
          <w:r>
            <w:rPr>
              <w:rFonts w:hint="eastAsia"/>
              <w:szCs w:val="21"/>
            </w:rPr>
            <w:t>否</w:t>
          </w:r>
        </w:p>
      </w:sdtContent>
    </w:sdt>
    <w:p/>
    <w:p>
      <w:pPr>
        <w:pStyle w:val="3"/>
        <w:numPr>
          <w:ilvl w:val="0"/>
          <w:numId w:val="1"/>
        </w:numPr>
        <w:tabs>
          <w:tab w:val="left" w:pos="644"/>
        </w:tabs>
        <w:spacing w:before="0"/>
        <w:rPr>
          <w:rFonts w:ascii="Calibri" w:hAnsi="Calibri" w:cs="宋体"/>
          <w:kern w:val="0"/>
        </w:rPr>
      </w:pPr>
      <w:bookmarkStart w:id="2" w:name="_Hlk61881950"/>
      <w:r>
        <w:rPr>
          <w:rFonts w:ascii="Calibri" w:hAnsi="Calibri" w:cs="宋体"/>
          <w:kern w:val="0"/>
        </w:rPr>
        <w:t>是否存在半数</w:t>
      </w:r>
      <w:r>
        <w:rPr>
          <w:rFonts w:hint="eastAsia" w:ascii="Calibri" w:hAnsi="Calibri" w:cs="宋体"/>
          <w:kern w:val="0"/>
        </w:rPr>
        <w:t>以上</w:t>
      </w:r>
      <w:r>
        <w:rPr>
          <w:rFonts w:ascii="Calibri" w:hAnsi="Calibri" w:cs="宋体"/>
          <w:kern w:val="0"/>
        </w:rPr>
        <w:t>董事无法保证公司所披露年度报告的真实性、准确性和完整性</w:t>
      </w:r>
      <w:bookmarkEnd w:id="2"/>
    </w:p>
    <w:sdt>
      <w:sdtPr>
        <w:rPr>
          <w:rFonts w:hint="eastAsia"/>
        </w:rPr>
        <w:alias w:val="是否存在半数以上董事无法保证公司所披露年度报告的真实性、准确性和完整性"/>
        <w:tag w:val="_GBC_abc43c78fabf487d8ee599f7fe1628a3"/>
        <w:id w:val="5629"/>
        <w:lock w:val="sdtLocked"/>
        <w:placeholder>
          <w:docPart w:val="GBC22222222222222222222222222222"/>
        </w:placeholder>
        <w:comboBox>
          <w:listItem w:displayText="是" w:value="是"/>
          <w:listItem w:displayText="否" w:value="否"/>
        </w:comboBox>
      </w:sdtPr>
      <w:sdtEndPr>
        <w:rPr>
          <w:rFonts w:hint="eastAsia"/>
        </w:rPr>
      </w:sdtEndPr>
      <w:sdtContent>
        <w:p>
          <w:r>
            <w:rPr>
              <w:rFonts w:hint="eastAsia"/>
            </w:rPr>
            <w:t>否</w:t>
          </w:r>
        </w:p>
      </w:sdtContent>
    </w:sdt>
    <w:p>
      <w:pPr>
        <w:pStyle w:val="3"/>
        <w:numPr>
          <w:ilvl w:val="0"/>
          <w:numId w:val="1"/>
        </w:numPr>
        <w:tabs>
          <w:tab w:val="left" w:pos="644"/>
        </w:tabs>
        <w:spacing w:before="0"/>
      </w:pPr>
      <w:r>
        <w:rPr>
          <w:rFonts w:hint="eastAsia"/>
        </w:rPr>
        <w:t>重大风险提示</w:t>
      </w:r>
    </w:p>
    <w:sdt>
      <w:sdtPr>
        <w:alias w:val="重大风险提示"/>
        <w:tag w:val="_GBC_43a6b8847e0241f1af5326af848c7cec"/>
        <w:id w:val="5630"/>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560" w:lineRule="exact"/>
            <w:ind w:firstLine="420" w:firstLineChars="200"/>
            <w:textAlignment w:val="auto"/>
          </w:pPr>
          <w:r>
            <w:rPr>
              <w:rFonts w:hint="eastAsia" w:ascii="宋体" w:eastAsia="宋体"/>
              <w:sz w:val="21"/>
              <w:szCs w:val="21"/>
            </w:rPr>
            <w:t>公司已在本报告中详细描述了存在的行业风险、市场风险、经营风险等，敬请查阅“第三节 管理层讨论与分析”之“六、公司关于公司未来发展的讨论与分析”之“（四）可能面对的风险”。</w:t>
          </w:r>
        </w:p>
      </w:sdtContent>
    </w:sdt>
    <w:p/>
    <w:p>
      <w:pPr>
        <w:pStyle w:val="3"/>
        <w:numPr>
          <w:ilvl w:val="0"/>
          <w:numId w:val="1"/>
        </w:numPr>
        <w:tabs>
          <w:tab w:val="left" w:pos="588"/>
          <w:tab w:val="left" w:pos="644"/>
          <w:tab w:val="left" w:pos="672"/>
        </w:tabs>
        <w:spacing w:before="0"/>
      </w:pPr>
      <w:r>
        <w:rPr>
          <w:rFonts w:hint="eastAsia"/>
        </w:rPr>
        <w:t>其他</w:t>
      </w:r>
    </w:p>
    <w:sdt>
      <w:sdtPr>
        <w:alias w:val="是否适用：其他重要提示[双击切换]"/>
        <w:tag w:val="_GBC_0eafa210a73340628544c13dacbc7643"/>
        <w:id w:val="5631"/>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rPr>
          <w:szCs w:val="21"/>
        </w:rPr>
      </w:pPr>
      <w:r>
        <w:rPr>
          <w:szCs w:val="21"/>
        </w:rPr>
        <w:br w:type="page"/>
      </w:r>
    </w:p>
    <w:p>
      <w:pPr>
        <w:spacing w:line="480" w:lineRule="auto"/>
        <w:jc w:val="center"/>
        <w:rPr>
          <w:b/>
          <w:sz w:val="28"/>
          <w:szCs w:val="28"/>
        </w:rPr>
      </w:pPr>
      <w:r>
        <w:rPr>
          <w:rFonts w:hint="eastAsia"/>
          <w:b/>
          <w:sz w:val="28"/>
          <w:szCs w:val="28"/>
          <w:shd w:val="solid" w:color="FFFFFF" w:fill="auto"/>
        </w:rPr>
        <w:t>目录</w:t>
      </w:r>
    </w:p>
    <w:p>
      <w:pPr>
        <w:pStyle w:val="28"/>
        <w:rPr>
          <w:rFonts w:asciiTheme="minorHAnsi" w:hAnsiTheme="minorHAnsi" w:eastAsiaTheme="minorEastAsia" w:cstheme="minorBidi"/>
          <w:b/>
          <w:bCs/>
          <w:sz w:val="22"/>
          <w:szCs w:val="24"/>
          <w14:ligatures w14:val="standardContextual"/>
        </w:rPr>
      </w:pPr>
      <w:r>
        <w:fldChar w:fldCharType="begin"/>
      </w:r>
      <w:r>
        <w:instrText xml:space="preserve"> TOC \o "1-1" \h \z \u </w:instrText>
      </w:r>
      <w:r>
        <w:fldChar w:fldCharType="separate"/>
      </w:r>
      <w:r>
        <w:fldChar w:fldCharType="begin"/>
      </w:r>
      <w:r>
        <w:instrText xml:space="preserve"> HYPERLINK \l "_Toc191024256" </w:instrText>
      </w:r>
      <w:r>
        <w:fldChar w:fldCharType="separate"/>
      </w:r>
      <w:r>
        <w:rPr>
          <w:rStyle w:val="42"/>
          <w:rFonts w:hint="eastAsia"/>
          <w:b/>
          <w:bCs/>
        </w:rPr>
        <w:t>第一节</w:t>
      </w:r>
      <w:r>
        <w:rPr>
          <w:rFonts w:hint="eastAsia" w:asciiTheme="minorHAnsi" w:hAnsiTheme="minorHAnsi" w:eastAsiaTheme="minorEastAsia" w:cstheme="minorBidi"/>
          <w:b/>
          <w:bCs/>
          <w:sz w:val="22"/>
          <w:szCs w:val="24"/>
          <w14:ligatures w14:val="standardContextual"/>
        </w:rPr>
        <w:tab/>
      </w:r>
      <w:r>
        <w:rPr>
          <w:rStyle w:val="42"/>
          <w:rFonts w:hint="eastAsia"/>
          <w:b/>
          <w:bCs/>
        </w:rPr>
        <w:t>释义</w:t>
      </w:r>
      <w:r>
        <w:rPr>
          <w:rFonts w:hint="eastAsia"/>
          <w:b/>
          <w:bCs/>
        </w:rPr>
        <w:tab/>
      </w:r>
      <w:r>
        <w:rPr>
          <w:rFonts w:hint="eastAsia"/>
          <w:b/>
          <w:bCs/>
        </w:rPr>
        <w:fldChar w:fldCharType="begin"/>
      </w:r>
      <w:r>
        <w:rPr>
          <w:rFonts w:hint="eastAsia"/>
          <w:b/>
          <w:bCs/>
        </w:rPr>
        <w:instrText xml:space="preserve"> </w:instrText>
      </w:r>
      <w:r>
        <w:rPr>
          <w:b/>
          <w:bCs/>
        </w:rPr>
        <w:instrText xml:space="preserve">PAGEREF _Toc191024256 \h</w:instrText>
      </w:r>
      <w:r>
        <w:rPr>
          <w:rFonts w:hint="eastAsia"/>
          <w:b/>
          <w:bCs/>
        </w:rPr>
        <w:instrText xml:space="preserve"> </w:instrText>
      </w:r>
      <w:r>
        <w:rPr>
          <w:rFonts w:hint="eastAsia"/>
          <w:b/>
          <w:bCs/>
        </w:rPr>
        <w:fldChar w:fldCharType="separate"/>
      </w:r>
      <w:r>
        <w:rPr>
          <w:b/>
          <w:bCs/>
        </w:rPr>
        <w:t>5</w:t>
      </w:r>
      <w:r>
        <w:rPr>
          <w:rFonts w:hint="eastAsia"/>
          <w:b/>
          <w:bCs/>
        </w:rPr>
        <w:fldChar w:fldCharType="end"/>
      </w:r>
      <w:r>
        <w:rPr>
          <w:rFonts w:hint="eastAsia"/>
          <w:b/>
          <w:bCs/>
        </w:rPr>
        <w:fldChar w:fldCharType="end"/>
      </w:r>
    </w:p>
    <w:p>
      <w:pPr>
        <w:pStyle w:val="28"/>
        <w:rPr>
          <w:rFonts w:asciiTheme="minorHAnsi" w:hAnsiTheme="minorHAnsi" w:eastAsiaTheme="minorEastAsia" w:cstheme="minorBidi"/>
          <w:b/>
          <w:bCs/>
          <w:sz w:val="22"/>
          <w:szCs w:val="24"/>
          <w14:ligatures w14:val="standardContextual"/>
        </w:rPr>
      </w:pPr>
      <w:r>
        <w:fldChar w:fldCharType="begin"/>
      </w:r>
      <w:r>
        <w:instrText xml:space="preserve"> HYPERLINK \l "_Toc191024257" </w:instrText>
      </w:r>
      <w:r>
        <w:fldChar w:fldCharType="separate"/>
      </w:r>
      <w:r>
        <w:rPr>
          <w:rStyle w:val="42"/>
          <w:rFonts w:hint="eastAsia"/>
          <w:b/>
          <w:bCs/>
        </w:rPr>
        <w:t>第二节</w:t>
      </w:r>
      <w:r>
        <w:rPr>
          <w:rFonts w:hint="eastAsia" w:asciiTheme="minorHAnsi" w:hAnsiTheme="minorHAnsi" w:eastAsiaTheme="minorEastAsia" w:cstheme="minorBidi"/>
          <w:b/>
          <w:bCs/>
          <w:sz w:val="22"/>
          <w:szCs w:val="24"/>
          <w14:ligatures w14:val="standardContextual"/>
        </w:rPr>
        <w:tab/>
      </w:r>
      <w:r>
        <w:rPr>
          <w:rStyle w:val="42"/>
          <w:rFonts w:hint="eastAsia"/>
          <w:b/>
          <w:bCs/>
        </w:rPr>
        <w:t>公司简介和主要财务指标</w:t>
      </w:r>
      <w:r>
        <w:rPr>
          <w:rFonts w:hint="eastAsia"/>
          <w:b/>
          <w:bCs/>
        </w:rPr>
        <w:tab/>
      </w:r>
      <w:r>
        <w:rPr>
          <w:rFonts w:hint="eastAsia"/>
          <w:b/>
          <w:bCs/>
        </w:rPr>
        <w:fldChar w:fldCharType="begin"/>
      </w:r>
      <w:r>
        <w:rPr>
          <w:rFonts w:hint="eastAsia"/>
          <w:b/>
          <w:bCs/>
        </w:rPr>
        <w:instrText xml:space="preserve"> </w:instrText>
      </w:r>
      <w:r>
        <w:rPr>
          <w:b/>
          <w:bCs/>
        </w:rPr>
        <w:instrText xml:space="preserve">PAGEREF _Toc191024257 \h</w:instrText>
      </w:r>
      <w:r>
        <w:rPr>
          <w:rFonts w:hint="eastAsia"/>
          <w:b/>
          <w:bCs/>
        </w:rPr>
        <w:instrText xml:space="preserve"> </w:instrText>
      </w:r>
      <w:r>
        <w:rPr>
          <w:rFonts w:hint="eastAsia"/>
          <w:b/>
          <w:bCs/>
        </w:rPr>
        <w:fldChar w:fldCharType="separate"/>
      </w:r>
      <w:r>
        <w:rPr>
          <w:b/>
          <w:bCs/>
        </w:rPr>
        <w:t>5</w:t>
      </w:r>
      <w:r>
        <w:rPr>
          <w:rFonts w:hint="eastAsia"/>
          <w:b/>
          <w:bCs/>
        </w:rPr>
        <w:fldChar w:fldCharType="end"/>
      </w:r>
      <w:r>
        <w:rPr>
          <w:rFonts w:hint="eastAsia"/>
          <w:b/>
          <w:bCs/>
        </w:rPr>
        <w:fldChar w:fldCharType="end"/>
      </w:r>
    </w:p>
    <w:p>
      <w:pPr>
        <w:pStyle w:val="28"/>
        <w:rPr>
          <w:rFonts w:asciiTheme="minorHAnsi" w:hAnsiTheme="minorHAnsi" w:eastAsiaTheme="minorEastAsia" w:cstheme="minorBidi"/>
          <w:b/>
          <w:bCs/>
          <w:sz w:val="22"/>
          <w:szCs w:val="24"/>
          <w14:ligatures w14:val="standardContextual"/>
        </w:rPr>
      </w:pPr>
      <w:r>
        <w:fldChar w:fldCharType="begin"/>
      </w:r>
      <w:r>
        <w:instrText xml:space="preserve"> HYPERLINK \l "_Toc191024258" </w:instrText>
      </w:r>
      <w:r>
        <w:fldChar w:fldCharType="separate"/>
      </w:r>
      <w:r>
        <w:rPr>
          <w:rStyle w:val="42"/>
          <w:rFonts w:hint="eastAsia"/>
          <w:b/>
          <w:bCs/>
        </w:rPr>
        <w:t>第三节</w:t>
      </w:r>
      <w:r>
        <w:rPr>
          <w:rFonts w:hint="eastAsia" w:asciiTheme="minorHAnsi" w:hAnsiTheme="minorHAnsi" w:eastAsiaTheme="minorEastAsia" w:cstheme="minorBidi"/>
          <w:b/>
          <w:bCs/>
          <w:sz w:val="22"/>
          <w:szCs w:val="24"/>
          <w14:ligatures w14:val="standardContextual"/>
        </w:rPr>
        <w:tab/>
      </w:r>
      <w:r>
        <w:rPr>
          <w:rStyle w:val="42"/>
          <w:rFonts w:hint="eastAsia"/>
          <w:b/>
          <w:bCs/>
        </w:rPr>
        <w:t>管理层讨论与分析</w:t>
      </w:r>
      <w:r>
        <w:rPr>
          <w:rFonts w:hint="eastAsia"/>
          <w:b/>
          <w:bCs/>
        </w:rPr>
        <w:tab/>
      </w:r>
      <w:r>
        <w:rPr>
          <w:rFonts w:hint="eastAsia"/>
          <w:b/>
          <w:bCs/>
        </w:rPr>
        <w:fldChar w:fldCharType="begin"/>
      </w:r>
      <w:r>
        <w:rPr>
          <w:rFonts w:hint="eastAsia"/>
          <w:b/>
          <w:bCs/>
        </w:rPr>
        <w:instrText xml:space="preserve"> </w:instrText>
      </w:r>
      <w:r>
        <w:rPr>
          <w:b/>
          <w:bCs/>
        </w:rPr>
        <w:instrText xml:space="preserve">PAGEREF _Toc191024258 \h</w:instrText>
      </w:r>
      <w:r>
        <w:rPr>
          <w:rFonts w:hint="eastAsia"/>
          <w:b/>
          <w:bCs/>
        </w:rPr>
        <w:instrText xml:space="preserve"> </w:instrText>
      </w:r>
      <w:r>
        <w:rPr>
          <w:rFonts w:hint="eastAsia"/>
          <w:b/>
          <w:bCs/>
        </w:rPr>
        <w:fldChar w:fldCharType="separate"/>
      </w:r>
      <w:r>
        <w:rPr>
          <w:b/>
          <w:bCs/>
        </w:rPr>
        <w:t>9</w:t>
      </w:r>
      <w:r>
        <w:rPr>
          <w:rFonts w:hint="eastAsia"/>
          <w:b/>
          <w:bCs/>
        </w:rPr>
        <w:fldChar w:fldCharType="end"/>
      </w:r>
      <w:r>
        <w:rPr>
          <w:rFonts w:hint="eastAsia"/>
          <w:b/>
          <w:bCs/>
        </w:rPr>
        <w:fldChar w:fldCharType="end"/>
      </w:r>
    </w:p>
    <w:p>
      <w:pPr>
        <w:pStyle w:val="28"/>
        <w:rPr>
          <w:rFonts w:asciiTheme="minorHAnsi" w:hAnsiTheme="minorHAnsi" w:eastAsiaTheme="minorEastAsia" w:cstheme="minorBidi"/>
          <w:b/>
          <w:bCs/>
          <w:sz w:val="22"/>
          <w:szCs w:val="24"/>
          <w14:ligatures w14:val="standardContextual"/>
        </w:rPr>
      </w:pPr>
      <w:r>
        <w:fldChar w:fldCharType="begin"/>
      </w:r>
      <w:r>
        <w:instrText xml:space="preserve"> HYPERLINK \l "_Toc191024259" </w:instrText>
      </w:r>
      <w:r>
        <w:fldChar w:fldCharType="separate"/>
      </w:r>
      <w:r>
        <w:rPr>
          <w:rStyle w:val="42"/>
          <w:rFonts w:hint="eastAsia"/>
          <w:b/>
          <w:bCs/>
        </w:rPr>
        <w:t>第四节</w:t>
      </w:r>
      <w:r>
        <w:rPr>
          <w:rFonts w:hint="eastAsia" w:asciiTheme="minorHAnsi" w:hAnsiTheme="minorHAnsi" w:eastAsiaTheme="minorEastAsia" w:cstheme="minorBidi"/>
          <w:b/>
          <w:bCs/>
          <w:sz w:val="22"/>
          <w:szCs w:val="24"/>
          <w14:ligatures w14:val="standardContextual"/>
        </w:rPr>
        <w:tab/>
      </w:r>
      <w:r>
        <w:rPr>
          <w:rStyle w:val="42"/>
          <w:rFonts w:hint="eastAsia"/>
          <w:b/>
          <w:bCs/>
        </w:rPr>
        <w:t>公司治理、环境和社会</w:t>
      </w:r>
      <w:r>
        <w:rPr>
          <w:rFonts w:hint="eastAsia"/>
          <w:b/>
          <w:bCs/>
        </w:rPr>
        <w:tab/>
      </w:r>
      <w:r>
        <w:rPr>
          <w:rFonts w:hint="eastAsia"/>
          <w:b/>
          <w:bCs/>
        </w:rPr>
        <w:fldChar w:fldCharType="begin"/>
      </w:r>
      <w:r>
        <w:rPr>
          <w:rFonts w:hint="eastAsia"/>
          <w:b/>
          <w:bCs/>
        </w:rPr>
        <w:instrText xml:space="preserve"> </w:instrText>
      </w:r>
      <w:r>
        <w:rPr>
          <w:b/>
          <w:bCs/>
        </w:rPr>
        <w:instrText xml:space="preserve">PAGEREF _Toc191024259 \h</w:instrText>
      </w:r>
      <w:r>
        <w:rPr>
          <w:rFonts w:hint="eastAsia"/>
          <w:b/>
          <w:bCs/>
        </w:rPr>
        <w:instrText xml:space="preserve"> </w:instrText>
      </w:r>
      <w:r>
        <w:rPr>
          <w:rFonts w:hint="eastAsia"/>
          <w:b/>
          <w:bCs/>
        </w:rPr>
        <w:fldChar w:fldCharType="separate"/>
      </w:r>
      <w:r>
        <w:rPr>
          <w:b/>
          <w:bCs/>
        </w:rPr>
        <w:t>29</w:t>
      </w:r>
      <w:r>
        <w:rPr>
          <w:rFonts w:hint="eastAsia"/>
          <w:b/>
          <w:bCs/>
        </w:rPr>
        <w:fldChar w:fldCharType="end"/>
      </w:r>
      <w:r>
        <w:rPr>
          <w:rFonts w:hint="eastAsia"/>
          <w:b/>
          <w:bCs/>
        </w:rPr>
        <w:fldChar w:fldCharType="end"/>
      </w:r>
    </w:p>
    <w:p>
      <w:pPr>
        <w:pStyle w:val="28"/>
        <w:rPr>
          <w:rFonts w:asciiTheme="minorHAnsi" w:hAnsiTheme="minorHAnsi" w:eastAsiaTheme="minorEastAsia" w:cstheme="minorBidi"/>
          <w:b/>
          <w:bCs/>
          <w:sz w:val="22"/>
          <w:szCs w:val="24"/>
          <w14:ligatures w14:val="standardContextual"/>
        </w:rPr>
      </w:pPr>
      <w:r>
        <w:fldChar w:fldCharType="begin"/>
      </w:r>
      <w:r>
        <w:instrText xml:space="preserve"> HYPERLINK \l "_Toc191024260" </w:instrText>
      </w:r>
      <w:r>
        <w:fldChar w:fldCharType="separate"/>
      </w:r>
      <w:r>
        <w:rPr>
          <w:rStyle w:val="42"/>
          <w:rFonts w:hint="eastAsia"/>
          <w:b/>
          <w:bCs/>
        </w:rPr>
        <w:t>第五节</w:t>
      </w:r>
      <w:r>
        <w:rPr>
          <w:rFonts w:hint="eastAsia" w:asciiTheme="minorHAnsi" w:hAnsiTheme="minorHAnsi" w:eastAsiaTheme="minorEastAsia" w:cstheme="minorBidi"/>
          <w:b/>
          <w:bCs/>
          <w:sz w:val="22"/>
          <w:szCs w:val="24"/>
          <w14:ligatures w14:val="standardContextual"/>
        </w:rPr>
        <w:tab/>
      </w:r>
      <w:r>
        <w:rPr>
          <w:rStyle w:val="42"/>
          <w:rFonts w:hint="eastAsia"/>
          <w:b/>
          <w:bCs/>
        </w:rPr>
        <w:t>重要事项</w:t>
      </w:r>
      <w:r>
        <w:rPr>
          <w:rFonts w:hint="eastAsia"/>
          <w:b/>
          <w:bCs/>
        </w:rPr>
        <w:tab/>
      </w:r>
      <w:r>
        <w:rPr>
          <w:rFonts w:hint="eastAsia"/>
          <w:b/>
          <w:bCs/>
        </w:rPr>
        <w:fldChar w:fldCharType="begin"/>
      </w:r>
      <w:r>
        <w:rPr>
          <w:rFonts w:hint="eastAsia"/>
          <w:b/>
          <w:bCs/>
        </w:rPr>
        <w:instrText xml:space="preserve"> </w:instrText>
      </w:r>
      <w:r>
        <w:rPr>
          <w:b/>
          <w:bCs/>
        </w:rPr>
        <w:instrText xml:space="preserve">PAGEREF _Toc191024260 \h</w:instrText>
      </w:r>
      <w:r>
        <w:rPr>
          <w:rFonts w:hint="eastAsia"/>
          <w:b/>
          <w:bCs/>
        </w:rPr>
        <w:instrText xml:space="preserve"> </w:instrText>
      </w:r>
      <w:r>
        <w:rPr>
          <w:rFonts w:hint="eastAsia"/>
          <w:b/>
          <w:bCs/>
        </w:rPr>
        <w:fldChar w:fldCharType="separate"/>
      </w:r>
      <w:r>
        <w:rPr>
          <w:b/>
          <w:bCs/>
        </w:rPr>
        <w:t>49</w:t>
      </w:r>
      <w:r>
        <w:rPr>
          <w:rFonts w:hint="eastAsia"/>
          <w:b/>
          <w:bCs/>
        </w:rPr>
        <w:fldChar w:fldCharType="end"/>
      </w:r>
      <w:r>
        <w:rPr>
          <w:rFonts w:hint="eastAsia"/>
          <w:b/>
          <w:bCs/>
        </w:rPr>
        <w:fldChar w:fldCharType="end"/>
      </w:r>
    </w:p>
    <w:p>
      <w:pPr>
        <w:pStyle w:val="28"/>
        <w:rPr>
          <w:rFonts w:asciiTheme="minorHAnsi" w:hAnsiTheme="minorHAnsi" w:eastAsiaTheme="minorEastAsia" w:cstheme="minorBidi"/>
          <w:b/>
          <w:bCs/>
          <w:sz w:val="22"/>
          <w:szCs w:val="24"/>
          <w14:ligatures w14:val="standardContextual"/>
        </w:rPr>
      </w:pPr>
      <w:r>
        <w:fldChar w:fldCharType="begin"/>
      </w:r>
      <w:r>
        <w:instrText xml:space="preserve"> HYPERLINK \l "_Toc191024261" </w:instrText>
      </w:r>
      <w:r>
        <w:fldChar w:fldCharType="separate"/>
      </w:r>
      <w:r>
        <w:rPr>
          <w:rStyle w:val="42"/>
          <w:rFonts w:hint="eastAsia"/>
          <w:b/>
          <w:bCs/>
        </w:rPr>
        <w:t>第六节</w:t>
      </w:r>
      <w:r>
        <w:rPr>
          <w:rFonts w:hint="eastAsia" w:asciiTheme="minorHAnsi" w:hAnsiTheme="minorHAnsi" w:eastAsiaTheme="minorEastAsia" w:cstheme="minorBidi"/>
          <w:b/>
          <w:bCs/>
          <w:sz w:val="22"/>
          <w:szCs w:val="24"/>
          <w14:ligatures w14:val="standardContextual"/>
        </w:rPr>
        <w:tab/>
      </w:r>
      <w:r>
        <w:rPr>
          <w:rStyle w:val="42"/>
          <w:rFonts w:hint="eastAsia"/>
          <w:b/>
          <w:bCs/>
        </w:rPr>
        <w:t>股份变动及股东情况</w:t>
      </w:r>
      <w:r>
        <w:rPr>
          <w:rFonts w:hint="eastAsia"/>
          <w:b/>
          <w:bCs/>
        </w:rPr>
        <w:tab/>
      </w:r>
      <w:r>
        <w:rPr>
          <w:rFonts w:hint="eastAsia"/>
          <w:b/>
          <w:bCs/>
        </w:rPr>
        <w:fldChar w:fldCharType="begin"/>
      </w:r>
      <w:r>
        <w:rPr>
          <w:rFonts w:hint="eastAsia"/>
          <w:b/>
          <w:bCs/>
        </w:rPr>
        <w:instrText xml:space="preserve"> </w:instrText>
      </w:r>
      <w:r>
        <w:rPr>
          <w:b/>
          <w:bCs/>
        </w:rPr>
        <w:instrText xml:space="preserve">PAGEREF _Toc191024261 \h</w:instrText>
      </w:r>
      <w:r>
        <w:rPr>
          <w:rFonts w:hint="eastAsia"/>
          <w:b/>
          <w:bCs/>
        </w:rPr>
        <w:instrText xml:space="preserve"> </w:instrText>
      </w:r>
      <w:r>
        <w:rPr>
          <w:rFonts w:hint="eastAsia"/>
          <w:b/>
          <w:bCs/>
        </w:rPr>
        <w:fldChar w:fldCharType="separate"/>
      </w:r>
      <w:r>
        <w:rPr>
          <w:b/>
          <w:bCs/>
        </w:rPr>
        <w:t>58</w:t>
      </w:r>
      <w:r>
        <w:rPr>
          <w:rFonts w:hint="eastAsia"/>
          <w:b/>
          <w:bCs/>
        </w:rPr>
        <w:fldChar w:fldCharType="end"/>
      </w:r>
      <w:r>
        <w:rPr>
          <w:rFonts w:hint="eastAsia"/>
          <w:b/>
          <w:bCs/>
        </w:rPr>
        <w:fldChar w:fldCharType="end"/>
      </w:r>
    </w:p>
    <w:p>
      <w:pPr>
        <w:pStyle w:val="28"/>
        <w:rPr>
          <w:rFonts w:asciiTheme="minorHAnsi" w:hAnsiTheme="minorHAnsi" w:eastAsiaTheme="minorEastAsia" w:cstheme="minorBidi"/>
          <w:b/>
          <w:bCs/>
          <w:sz w:val="22"/>
          <w:szCs w:val="24"/>
          <w14:ligatures w14:val="standardContextual"/>
        </w:rPr>
      </w:pPr>
      <w:r>
        <w:fldChar w:fldCharType="begin"/>
      </w:r>
      <w:r>
        <w:instrText xml:space="preserve"> HYPERLINK \l "_Toc191024262" </w:instrText>
      </w:r>
      <w:r>
        <w:fldChar w:fldCharType="separate"/>
      </w:r>
      <w:r>
        <w:rPr>
          <w:rStyle w:val="42"/>
          <w:rFonts w:hint="eastAsia"/>
          <w:b/>
          <w:bCs/>
        </w:rPr>
        <w:t>第七节</w:t>
      </w:r>
      <w:r>
        <w:rPr>
          <w:rFonts w:hint="eastAsia" w:asciiTheme="minorHAnsi" w:hAnsiTheme="minorHAnsi" w:eastAsiaTheme="minorEastAsia" w:cstheme="minorBidi"/>
          <w:b/>
          <w:bCs/>
          <w:sz w:val="22"/>
          <w:szCs w:val="24"/>
          <w14:ligatures w14:val="standardContextual"/>
        </w:rPr>
        <w:tab/>
      </w:r>
      <w:r>
        <w:rPr>
          <w:rStyle w:val="42"/>
          <w:rFonts w:hint="eastAsia"/>
          <w:b/>
          <w:bCs/>
        </w:rPr>
        <w:t>债券相关情况</w:t>
      </w:r>
      <w:r>
        <w:rPr>
          <w:rFonts w:hint="eastAsia"/>
          <w:b/>
          <w:bCs/>
        </w:rPr>
        <w:tab/>
      </w:r>
      <w:r>
        <w:rPr>
          <w:rFonts w:hint="eastAsia"/>
          <w:b/>
          <w:bCs/>
        </w:rPr>
        <w:fldChar w:fldCharType="begin"/>
      </w:r>
      <w:r>
        <w:rPr>
          <w:rFonts w:hint="eastAsia"/>
          <w:b/>
          <w:bCs/>
        </w:rPr>
        <w:instrText xml:space="preserve"> </w:instrText>
      </w:r>
      <w:r>
        <w:rPr>
          <w:b/>
          <w:bCs/>
        </w:rPr>
        <w:instrText xml:space="preserve">PAGEREF _Toc191024262 \h</w:instrText>
      </w:r>
      <w:r>
        <w:rPr>
          <w:rFonts w:hint="eastAsia"/>
          <w:b/>
          <w:bCs/>
        </w:rPr>
        <w:instrText xml:space="preserve"> </w:instrText>
      </w:r>
      <w:r>
        <w:rPr>
          <w:rFonts w:hint="eastAsia"/>
          <w:b/>
          <w:bCs/>
        </w:rPr>
        <w:fldChar w:fldCharType="separate"/>
      </w:r>
      <w:r>
        <w:rPr>
          <w:b/>
          <w:bCs/>
        </w:rPr>
        <w:t>63</w:t>
      </w:r>
      <w:r>
        <w:rPr>
          <w:rFonts w:hint="eastAsia"/>
          <w:b/>
          <w:bCs/>
        </w:rPr>
        <w:fldChar w:fldCharType="end"/>
      </w:r>
      <w:r>
        <w:rPr>
          <w:rFonts w:hint="eastAsia"/>
          <w:b/>
          <w:bCs/>
        </w:rPr>
        <w:fldChar w:fldCharType="end"/>
      </w:r>
    </w:p>
    <w:p>
      <w:pPr>
        <w:pStyle w:val="28"/>
        <w:rPr>
          <w:rFonts w:asciiTheme="minorHAnsi" w:hAnsiTheme="minorHAnsi" w:eastAsiaTheme="minorEastAsia" w:cstheme="minorBidi"/>
          <w:sz w:val="22"/>
          <w:szCs w:val="24"/>
          <w14:ligatures w14:val="standardContextual"/>
        </w:rPr>
      </w:pPr>
      <w:r>
        <w:fldChar w:fldCharType="begin"/>
      </w:r>
      <w:r>
        <w:instrText xml:space="preserve"> HYPERLINK \l "_Toc191024263" </w:instrText>
      </w:r>
      <w:r>
        <w:fldChar w:fldCharType="separate"/>
      </w:r>
      <w:r>
        <w:rPr>
          <w:rStyle w:val="42"/>
          <w:rFonts w:hint="eastAsia"/>
          <w:b/>
          <w:bCs/>
        </w:rPr>
        <w:t>第八节</w:t>
      </w:r>
      <w:r>
        <w:rPr>
          <w:rFonts w:hint="eastAsia" w:asciiTheme="minorHAnsi" w:hAnsiTheme="minorHAnsi" w:eastAsiaTheme="minorEastAsia" w:cstheme="minorBidi"/>
          <w:b/>
          <w:bCs/>
          <w:sz w:val="22"/>
          <w:szCs w:val="24"/>
          <w14:ligatures w14:val="standardContextual"/>
        </w:rPr>
        <w:tab/>
      </w:r>
      <w:r>
        <w:rPr>
          <w:rStyle w:val="42"/>
          <w:rFonts w:hint="eastAsia"/>
          <w:b/>
          <w:bCs/>
        </w:rPr>
        <w:t>财务报告</w:t>
      </w:r>
      <w:r>
        <w:rPr>
          <w:rFonts w:hint="eastAsia"/>
          <w:b/>
          <w:bCs/>
        </w:rPr>
        <w:tab/>
      </w:r>
      <w:r>
        <w:rPr>
          <w:rFonts w:hint="eastAsia"/>
          <w:b/>
          <w:bCs/>
        </w:rPr>
        <w:fldChar w:fldCharType="begin"/>
      </w:r>
      <w:r>
        <w:rPr>
          <w:rFonts w:hint="eastAsia"/>
          <w:b/>
          <w:bCs/>
        </w:rPr>
        <w:instrText xml:space="preserve"> </w:instrText>
      </w:r>
      <w:r>
        <w:rPr>
          <w:b/>
          <w:bCs/>
        </w:rPr>
        <w:instrText xml:space="preserve">PAGEREF _Toc191024263 \h</w:instrText>
      </w:r>
      <w:r>
        <w:rPr>
          <w:rFonts w:hint="eastAsia"/>
          <w:b/>
          <w:bCs/>
        </w:rPr>
        <w:instrText xml:space="preserve"> </w:instrText>
      </w:r>
      <w:r>
        <w:rPr>
          <w:rFonts w:hint="eastAsia"/>
          <w:b/>
          <w:bCs/>
        </w:rPr>
        <w:fldChar w:fldCharType="separate"/>
      </w:r>
      <w:r>
        <w:rPr>
          <w:b/>
          <w:bCs/>
        </w:rPr>
        <w:t>64</w:t>
      </w:r>
      <w:r>
        <w:rPr>
          <w:rFonts w:hint="eastAsia"/>
          <w:b/>
          <w:bCs/>
        </w:rPr>
        <w:fldChar w:fldCharType="end"/>
      </w:r>
      <w:r>
        <w:rPr>
          <w:rFonts w:hint="eastAsia"/>
          <w:b/>
          <w:bCs/>
        </w:rPr>
        <w:fldChar w:fldCharType="end"/>
      </w:r>
    </w:p>
    <w:p>
      <w:r>
        <w:fldChar w:fldCharType="end"/>
      </w:r>
      <w:bookmarkStart w:id="3" w:name="_Toc436392761"/>
      <w:bookmarkStart w:id="4" w:name="_Toc437440708"/>
      <w:bookmarkStart w:id="5" w:name="_Toc407111354"/>
    </w:p>
    <w:p>
      <w:pPr>
        <w:spacing w:line="360" w:lineRule="exact"/>
        <w:ind w:right="5"/>
        <w:rPr>
          <w:b/>
          <w:bCs/>
          <w:sz w:val="24"/>
        </w:rPr>
      </w:pPr>
      <w:bookmarkStart w:id="6" w:name="_Hlk90888086"/>
      <w:bookmarkStart w:id="7" w:name="_Hlk90893687"/>
      <w:bookmarkStart w:id="8" w:name="_Hlk90891770"/>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421"/>
        <w:gridCol w:w="7471"/>
      </w:tblGrid>
      <w:sdt>
        <w:sdtPr>
          <w:alias w:val="备查文件情况"/>
          <w:tag w:val="_TUP_bb3c6eba15bb4f89aaabf5b28bea5766"/>
          <w:id w:val="5632"/>
        </w:sdtPr>
        <w:sdtContent>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421" w:type="dxa"/>
                <w:vMerge w:val="restart"/>
                <w:tcBorders>
                  <w:top w:val="single" w:color="auto" w:sz="4" w:space="0"/>
                  <w:left w:val="single" w:color="auto" w:sz="4" w:space="0"/>
                  <w:bottom w:val="single" w:color="auto" w:sz="4" w:space="0"/>
                  <w:right w:val="single" w:color="auto" w:sz="4" w:space="0"/>
                </w:tcBorders>
                <w:vAlign w:val="center"/>
              </w:tcPr>
              <w:sdt>
                <w:sdtPr>
                  <w:tag w:val="_PLD_a77548a64feb4f70a4cecbb587219734"/>
                  <w:id w:val="5633"/>
                </w:sdtPr>
                <w:sdtContent>
                  <w:p>
                    <w:pPr>
                      <w:autoSpaceDE w:val="0"/>
                      <w:autoSpaceDN w:val="0"/>
                      <w:adjustRightInd w:val="0"/>
                      <w:jc w:val="center"/>
                    </w:pPr>
                    <w:r>
                      <w:t>备查文件目录</w:t>
                    </w:r>
                  </w:p>
                </w:sdtContent>
              </w:sdt>
            </w:tc>
            <w:tc>
              <w:tcPr>
                <w:tcW w:w="7471" w:type="dxa"/>
                <w:tcBorders>
                  <w:top w:val="single" w:color="auto" w:sz="4" w:space="0"/>
                  <w:left w:val="single" w:color="auto" w:sz="4" w:space="0"/>
                  <w:bottom w:val="single" w:color="auto" w:sz="4" w:space="0"/>
                  <w:right w:val="single" w:color="auto" w:sz="4" w:space="0"/>
                </w:tcBorders>
                <w:vAlign w:val="center"/>
              </w:tcPr>
              <w:sdt>
                <w:sdtPr>
                  <w:alias w:val="备查文件目录"/>
                  <w:tag w:val="_GBC_0c6e892b0eee4faaa5b2883811d0eed4"/>
                  <w:id w:val="5634"/>
                </w:sdtPr>
                <w:sdtContent>
                  <w:p>
                    <w:pPr>
                      <w:autoSpaceDE w:val="0"/>
                      <w:autoSpaceDN w:val="0"/>
                      <w:adjustRightInd w:val="0"/>
                    </w:pPr>
                    <w:r>
                      <w:t>载有公司负责人、主管会计工作负责人、会计机构负责人签名并盖章的财务报表</w:t>
                    </w:r>
                  </w:p>
                </w:sdtContent>
              </w:sdt>
            </w:tc>
          </w:tr>
        </w:sdtContent>
      </w:sdt>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421"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pPr>
          </w:p>
        </w:tc>
        <w:tc>
          <w:tcPr>
            <w:tcW w:w="747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pPr>
            <w:r>
              <w:t>载有会计师事务所盖章、中国注册会计师签名（并盖章）的审计报告原稿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421"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pPr>
          </w:p>
        </w:tc>
        <w:tc>
          <w:tcPr>
            <w:tcW w:w="747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pPr>
            <w:r>
              <w:t>报告期内在中国证监会指定报刊公开披露过的所有公司文件的正文及公告的原稿</w:t>
            </w:r>
          </w:p>
        </w:tc>
      </w:tr>
      <w:bookmarkEnd w:id="6"/>
      <w:bookmarkEnd w:id="7"/>
    </w:tbl>
    <w:p/>
    <w:bookmarkEnd w:id="8"/>
    <w:p>
      <w:pPr>
        <w:sectPr>
          <w:pgSz w:w="11906" w:h="16838"/>
          <w:pgMar w:top="1440" w:right="1797" w:bottom="1525" w:left="1276" w:header="855" w:footer="992" w:gutter="0"/>
          <w:cols w:space="425" w:num="1"/>
          <w:docGrid w:linePitch="312" w:charSpace="0"/>
        </w:sectPr>
      </w:pPr>
    </w:p>
    <w:sdt>
      <w:sdtPr>
        <w:tag w:val="_PLD_f283d31eda4d4961872a2beacfd33695"/>
        <w:id w:val="5635"/>
      </w:sdtPr>
      <w:sdtContent>
        <w:p>
          <w:pPr>
            <w:pStyle w:val="2"/>
            <w:numPr>
              <w:ilvl w:val="0"/>
              <w:numId w:val="2"/>
            </w:numPr>
          </w:pPr>
          <w:bookmarkStart w:id="9" w:name="_Toc191024256"/>
          <w:r>
            <w:rPr>
              <w:rFonts w:hint="eastAsia"/>
            </w:rPr>
            <w:t>释义</w:t>
          </w:r>
        </w:p>
      </w:sdtContent>
    </w:sdt>
    <w:bookmarkEnd w:id="3"/>
    <w:bookmarkEnd w:id="4"/>
    <w:bookmarkEnd w:id="5"/>
    <w:bookmarkEnd w:id="9"/>
    <w:p>
      <w:pPr>
        <w:pStyle w:val="3"/>
        <w:numPr>
          <w:ilvl w:val="0"/>
          <w:numId w:val="3"/>
        </w:numPr>
        <w:tabs>
          <w:tab w:val="left" w:pos="588"/>
        </w:tabs>
        <w:ind w:hangingChars="175"/>
      </w:pPr>
      <w:r>
        <w:t>释义</w:t>
      </w:r>
    </w:p>
    <w:p>
      <w:pPr>
        <w:rPr>
          <w:szCs w:val="21"/>
        </w:rPr>
      </w:pPr>
      <w:r>
        <w:rPr>
          <w:szCs w:val="21"/>
        </w:rPr>
        <w:t>在本报告书中，除非文义另有所指，下列词语具有如下含义：</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2"/>
        <w:gridCol w:w="851"/>
        <w:gridCol w:w="5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3" w:type="dxa"/>
            <w:gridSpan w:val="3"/>
            <w:vAlign w:val="center"/>
          </w:tcPr>
          <w:sdt>
            <w:sdtPr>
              <w:tag w:val="_PLD_bf37a984a1d34209a94aac58652eb6b9"/>
              <w:id w:val="5636"/>
            </w:sdtPr>
            <w:sdtContent>
              <w:p>
                <w:pPr>
                  <w:widowControl w:val="0"/>
                  <w:jc w:val="both"/>
                  <w:rPr>
                    <w:szCs w:val="21"/>
                  </w:rPr>
                </w:pPr>
                <w:r>
                  <w:rPr>
                    <w:szCs w:val="21"/>
                  </w:rPr>
                  <w:t>常用词语释义</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vAlign w:val="center"/>
          </w:tcPr>
          <w:p>
            <w:pPr>
              <w:widowControl w:val="0"/>
              <w:jc w:val="both"/>
              <w:rPr>
                <w:szCs w:val="21"/>
              </w:rPr>
            </w:pPr>
            <w:r>
              <w:rPr>
                <w:rFonts w:hint="eastAsia"/>
                <w:color w:val="auto"/>
              </w:rPr>
              <w:t>公司、母公司或本公司</w:t>
            </w:r>
          </w:p>
        </w:tc>
        <w:tc>
          <w:tcPr>
            <w:tcW w:w="851" w:type="dxa"/>
            <w:vAlign w:val="center"/>
          </w:tcPr>
          <w:p>
            <w:pPr>
              <w:widowControl w:val="0"/>
              <w:jc w:val="center"/>
              <w:rPr>
                <w:szCs w:val="21"/>
                <w:highlight w:val="lightGray"/>
              </w:rPr>
            </w:pPr>
            <w:r>
              <w:rPr>
                <w:rFonts w:hint="eastAsia"/>
                <w:szCs w:val="21"/>
              </w:rPr>
              <w:t>指</w:t>
            </w:r>
          </w:p>
        </w:tc>
        <w:tc>
          <w:tcPr>
            <w:tcW w:w="5000" w:type="dxa"/>
            <w:vAlign w:val="center"/>
          </w:tcPr>
          <w:p>
            <w:pPr>
              <w:widowControl w:val="0"/>
              <w:jc w:val="both"/>
              <w:rPr>
                <w:szCs w:val="21"/>
              </w:rPr>
            </w:pPr>
            <w:r>
              <w:rPr>
                <w:rFonts w:hint="eastAsia"/>
                <w:szCs w:val="21"/>
              </w:rPr>
              <w:t>柳州两面针股份有限公司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vAlign w:val="center"/>
          </w:tcPr>
          <w:p>
            <w:pPr>
              <w:widowControl w:val="0"/>
              <w:jc w:val="both"/>
              <w:rPr>
                <w:szCs w:val="21"/>
              </w:rPr>
            </w:pPr>
            <w:r>
              <w:rPr>
                <w:rFonts w:hint="eastAsia"/>
                <w:color w:val="auto"/>
              </w:rPr>
              <w:t>江苏实业公司</w:t>
            </w:r>
          </w:p>
        </w:tc>
        <w:tc>
          <w:tcPr>
            <w:tcW w:w="851" w:type="dxa"/>
            <w:vAlign w:val="center"/>
          </w:tcPr>
          <w:p>
            <w:pPr>
              <w:widowControl w:val="0"/>
              <w:jc w:val="center"/>
              <w:rPr>
                <w:szCs w:val="21"/>
                <w:highlight w:val="lightGray"/>
              </w:rPr>
            </w:pPr>
            <w:r>
              <w:rPr>
                <w:rFonts w:hint="eastAsia"/>
                <w:szCs w:val="21"/>
              </w:rPr>
              <w:t>指</w:t>
            </w:r>
          </w:p>
        </w:tc>
        <w:tc>
          <w:tcPr>
            <w:tcW w:w="5000" w:type="dxa"/>
            <w:vAlign w:val="center"/>
          </w:tcPr>
          <w:p>
            <w:pPr>
              <w:widowControl w:val="0"/>
              <w:jc w:val="both"/>
              <w:rPr>
                <w:szCs w:val="21"/>
              </w:rPr>
            </w:pPr>
            <w:r>
              <w:rPr>
                <w:rFonts w:hint="eastAsia"/>
                <w:szCs w:val="21"/>
              </w:rPr>
              <w:t>两面针（江苏）实业有限公司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vAlign w:val="center"/>
          </w:tcPr>
          <w:p>
            <w:pPr>
              <w:widowControl w:val="0"/>
              <w:jc w:val="both"/>
              <w:rPr>
                <w:szCs w:val="21"/>
              </w:rPr>
            </w:pPr>
            <w:r>
              <w:rPr>
                <w:rFonts w:hint="eastAsia"/>
                <w:color w:val="auto"/>
              </w:rPr>
              <w:t>亿康药业</w:t>
            </w:r>
          </w:p>
        </w:tc>
        <w:tc>
          <w:tcPr>
            <w:tcW w:w="851" w:type="dxa"/>
            <w:vAlign w:val="center"/>
          </w:tcPr>
          <w:p>
            <w:pPr>
              <w:widowControl w:val="0"/>
              <w:jc w:val="center"/>
              <w:rPr>
                <w:szCs w:val="21"/>
                <w:highlight w:val="lightGray"/>
              </w:rPr>
            </w:pPr>
            <w:r>
              <w:rPr>
                <w:rFonts w:hint="eastAsia"/>
                <w:szCs w:val="21"/>
              </w:rPr>
              <w:t>指</w:t>
            </w:r>
          </w:p>
        </w:tc>
        <w:tc>
          <w:tcPr>
            <w:tcW w:w="5000" w:type="dxa"/>
            <w:vAlign w:val="center"/>
          </w:tcPr>
          <w:p>
            <w:pPr>
              <w:widowControl w:val="0"/>
              <w:jc w:val="both"/>
              <w:rPr>
                <w:szCs w:val="21"/>
              </w:rPr>
            </w:pPr>
            <w:r>
              <w:rPr>
                <w:rFonts w:hint="eastAsia"/>
                <w:szCs w:val="21"/>
              </w:rPr>
              <w:t>广西两面针亿康药业股份有限公司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vAlign w:val="center"/>
          </w:tcPr>
          <w:p>
            <w:pPr>
              <w:widowControl w:val="0"/>
              <w:jc w:val="both"/>
              <w:rPr>
                <w:szCs w:val="21"/>
              </w:rPr>
            </w:pPr>
            <w:r>
              <w:rPr>
                <w:rFonts w:hint="eastAsia"/>
                <w:color w:val="auto"/>
              </w:rPr>
              <w:t>芳草公司</w:t>
            </w:r>
          </w:p>
        </w:tc>
        <w:tc>
          <w:tcPr>
            <w:tcW w:w="851" w:type="dxa"/>
            <w:vAlign w:val="center"/>
          </w:tcPr>
          <w:p>
            <w:pPr>
              <w:widowControl w:val="0"/>
              <w:jc w:val="center"/>
              <w:rPr>
                <w:szCs w:val="21"/>
                <w:highlight w:val="lightGray"/>
              </w:rPr>
            </w:pPr>
            <w:r>
              <w:rPr>
                <w:rFonts w:hint="eastAsia"/>
                <w:szCs w:val="21"/>
              </w:rPr>
              <w:t>指</w:t>
            </w:r>
          </w:p>
        </w:tc>
        <w:tc>
          <w:tcPr>
            <w:tcW w:w="5000" w:type="dxa"/>
            <w:vAlign w:val="center"/>
          </w:tcPr>
          <w:p>
            <w:pPr>
              <w:widowControl w:val="0"/>
              <w:jc w:val="both"/>
              <w:rPr>
                <w:szCs w:val="21"/>
              </w:rPr>
            </w:pPr>
            <w:r>
              <w:rPr>
                <w:rFonts w:hint="eastAsia"/>
                <w:szCs w:val="21"/>
              </w:rPr>
              <w:t>安徽两面针·芳草日化有限公司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vAlign w:val="center"/>
          </w:tcPr>
          <w:p>
            <w:pPr>
              <w:widowControl w:val="0"/>
              <w:jc w:val="both"/>
              <w:rPr>
                <w:szCs w:val="21"/>
              </w:rPr>
            </w:pPr>
            <w:r>
              <w:rPr>
                <w:rFonts w:hint="eastAsia"/>
                <w:color w:val="auto"/>
              </w:rPr>
              <w:t>中喜所</w:t>
            </w:r>
          </w:p>
        </w:tc>
        <w:tc>
          <w:tcPr>
            <w:tcW w:w="851" w:type="dxa"/>
            <w:vAlign w:val="center"/>
          </w:tcPr>
          <w:p>
            <w:pPr>
              <w:widowControl w:val="0"/>
              <w:jc w:val="center"/>
              <w:rPr>
                <w:szCs w:val="21"/>
                <w:highlight w:val="lightGray"/>
              </w:rPr>
            </w:pPr>
            <w:r>
              <w:rPr>
                <w:rFonts w:hint="eastAsia"/>
                <w:szCs w:val="21"/>
              </w:rPr>
              <w:t>指</w:t>
            </w:r>
          </w:p>
        </w:tc>
        <w:tc>
          <w:tcPr>
            <w:tcW w:w="5000" w:type="dxa"/>
            <w:vAlign w:val="center"/>
          </w:tcPr>
          <w:p>
            <w:pPr>
              <w:widowControl w:val="0"/>
              <w:jc w:val="both"/>
              <w:rPr>
                <w:szCs w:val="21"/>
              </w:rPr>
            </w:pPr>
            <w:r>
              <w:rPr>
                <w:rFonts w:hint="eastAsia"/>
                <w:szCs w:val="21"/>
              </w:rPr>
              <w:t>中喜会计师事务所（特殊普通合伙）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vAlign w:val="center"/>
          </w:tcPr>
          <w:p>
            <w:pPr>
              <w:widowControl w:val="0"/>
              <w:jc w:val="both"/>
              <w:rPr>
                <w:szCs w:val="21"/>
              </w:rPr>
            </w:pPr>
            <w:r>
              <w:rPr>
                <w:rFonts w:hint="eastAsia"/>
                <w:color w:val="auto"/>
              </w:rPr>
              <w:t>证监局</w:t>
            </w:r>
          </w:p>
        </w:tc>
        <w:tc>
          <w:tcPr>
            <w:tcW w:w="851" w:type="dxa"/>
            <w:vAlign w:val="center"/>
          </w:tcPr>
          <w:p>
            <w:pPr>
              <w:widowControl w:val="0"/>
              <w:jc w:val="center"/>
              <w:rPr>
                <w:szCs w:val="21"/>
                <w:highlight w:val="lightGray"/>
              </w:rPr>
            </w:pPr>
            <w:r>
              <w:rPr>
                <w:rFonts w:hint="eastAsia"/>
                <w:szCs w:val="21"/>
              </w:rPr>
              <w:t>指</w:t>
            </w:r>
          </w:p>
        </w:tc>
        <w:tc>
          <w:tcPr>
            <w:tcW w:w="5000" w:type="dxa"/>
            <w:vAlign w:val="center"/>
          </w:tcPr>
          <w:p>
            <w:pPr>
              <w:widowControl w:val="0"/>
              <w:jc w:val="both"/>
              <w:rPr>
                <w:szCs w:val="21"/>
              </w:rPr>
            </w:pPr>
            <w:r>
              <w:rPr>
                <w:rFonts w:hint="eastAsia"/>
                <w:szCs w:val="21"/>
              </w:rPr>
              <w:t>中国证券监督管理委员会广西监管局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vAlign w:val="center"/>
          </w:tcPr>
          <w:p>
            <w:pPr>
              <w:widowControl w:val="0"/>
              <w:jc w:val="both"/>
              <w:rPr>
                <w:szCs w:val="21"/>
              </w:rPr>
            </w:pPr>
            <w:r>
              <w:rPr>
                <w:rFonts w:hint="eastAsia"/>
                <w:color w:val="auto"/>
              </w:rPr>
              <w:t>上交所</w:t>
            </w:r>
          </w:p>
        </w:tc>
        <w:tc>
          <w:tcPr>
            <w:tcW w:w="851" w:type="dxa"/>
            <w:vAlign w:val="center"/>
          </w:tcPr>
          <w:p>
            <w:pPr>
              <w:widowControl w:val="0"/>
              <w:jc w:val="center"/>
              <w:rPr>
                <w:szCs w:val="21"/>
                <w:highlight w:val="lightGray"/>
              </w:rPr>
            </w:pPr>
            <w:r>
              <w:rPr>
                <w:rFonts w:hint="eastAsia"/>
                <w:szCs w:val="21"/>
              </w:rPr>
              <w:t>指</w:t>
            </w:r>
          </w:p>
        </w:tc>
        <w:tc>
          <w:tcPr>
            <w:tcW w:w="5000" w:type="dxa"/>
            <w:vAlign w:val="center"/>
          </w:tcPr>
          <w:p>
            <w:pPr>
              <w:widowControl w:val="0"/>
              <w:jc w:val="both"/>
              <w:rPr>
                <w:szCs w:val="21"/>
              </w:rPr>
            </w:pPr>
            <w:r>
              <w:rPr>
                <w:rFonts w:hint="eastAsia"/>
                <w:szCs w:val="21"/>
              </w:rPr>
              <w:t>上海证券交易所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vAlign w:val="center"/>
          </w:tcPr>
          <w:p>
            <w:pPr>
              <w:widowControl w:val="0"/>
              <w:jc w:val="both"/>
              <w:rPr>
                <w:szCs w:val="21"/>
              </w:rPr>
            </w:pPr>
            <w:r>
              <w:rPr>
                <w:rFonts w:hint="eastAsia"/>
                <w:color w:val="auto"/>
              </w:rPr>
              <w:t>证监会</w:t>
            </w:r>
          </w:p>
        </w:tc>
        <w:tc>
          <w:tcPr>
            <w:tcW w:w="851" w:type="dxa"/>
            <w:vAlign w:val="center"/>
          </w:tcPr>
          <w:p>
            <w:pPr>
              <w:widowControl w:val="0"/>
              <w:jc w:val="center"/>
              <w:rPr>
                <w:szCs w:val="21"/>
                <w:highlight w:val="lightGray"/>
              </w:rPr>
            </w:pPr>
            <w:r>
              <w:rPr>
                <w:rFonts w:hint="eastAsia"/>
                <w:szCs w:val="21"/>
              </w:rPr>
              <w:t>指</w:t>
            </w:r>
          </w:p>
        </w:tc>
        <w:tc>
          <w:tcPr>
            <w:tcW w:w="5000" w:type="dxa"/>
            <w:vAlign w:val="center"/>
          </w:tcPr>
          <w:p>
            <w:pPr>
              <w:widowControl w:val="0"/>
              <w:jc w:val="both"/>
              <w:rPr>
                <w:szCs w:val="21"/>
              </w:rPr>
            </w:pPr>
            <w:r>
              <w:rPr>
                <w:rFonts w:hint="eastAsia"/>
                <w:szCs w:val="21"/>
              </w:rPr>
              <w:t>中国证券监督管理委员会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vAlign w:val="center"/>
          </w:tcPr>
          <w:p>
            <w:pPr>
              <w:widowControl w:val="0"/>
              <w:jc w:val="both"/>
              <w:rPr>
                <w:szCs w:val="21"/>
              </w:rPr>
            </w:pPr>
            <w:r>
              <w:rPr>
                <w:rFonts w:hint="eastAsia"/>
                <w:color w:val="auto"/>
              </w:rPr>
              <w:t>报告期</w:t>
            </w:r>
          </w:p>
        </w:tc>
        <w:tc>
          <w:tcPr>
            <w:tcW w:w="851" w:type="dxa"/>
            <w:vAlign w:val="center"/>
          </w:tcPr>
          <w:p>
            <w:pPr>
              <w:widowControl w:val="0"/>
              <w:jc w:val="center"/>
              <w:rPr>
                <w:szCs w:val="21"/>
                <w:highlight w:val="lightGray"/>
              </w:rPr>
            </w:pPr>
            <w:r>
              <w:rPr>
                <w:rFonts w:hint="eastAsia"/>
                <w:szCs w:val="21"/>
              </w:rPr>
              <w:t>指</w:t>
            </w:r>
          </w:p>
        </w:tc>
        <w:tc>
          <w:tcPr>
            <w:tcW w:w="5000" w:type="dxa"/>
            <w:vAlign w:val="center"/>
          </w:tcPr>
          <w:p>
            <w:pPr>
              <w:widowControl w:val="0"/>
              <w:jc w:val="both"/>
              <w:rPr>
                <w:szCs w:val="21"/>
              </w:rPr>
            </w:pPr>
            <w:r>
              <w:rPr>
                <w:rFonts w:hint="eastAsia"/>
                <w:szCs w:val="21"/>
              </w:rPr>
              <w:t>2025年1月1日至2025年12月31日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vAlign w:val="center"/>
          </w:tcPr>
          <w:p>
            <w:pPr>
              <w:widowControl w:val="0"/>
              <w:jc w:val="both"/>
              <w:rPr>
                <w:szCs w:val="21"/>
              </w:rPr>
            </w:pPr>
            <w:r>
              <w:rPr>
                <w:rFonts w:hint="eastAsia"/>
                <w:color w:val="auto"/>
              </w:rPr>
              <w:t>元、万元、亿元</w:t>
            </w:r>
          </w:p>
        </w:tc>
        <w:tc>
          <w:tcPr>
            <w:tcW w:w="851" w:type="dxa"/>
            <w:vAlign w:val="center"/>
          </w:tcPr>
          <w:p>
            <w:pPr>
              <w:widowControl w:val="0"/>
              <w:jc w:val="center"/>
              <w:rPr>
                <w:szCs w:val="21"/>
                <w:highlight w:val="lightGray"/>
              </w:rPr>
            </w:pPr>
            <w:r>
              <w:rPr>
                <w:rFonts w:hint="eastAsia"/>
                <w:szCs w:val="21"/>
              </w:rPr>
              <w:t>指</w:t>
            </w:r>
          </w:p>
        </w:tc>
        <w:tc>
          <w:tcPr>
            <w:tcW w:w="5000" w:type="dxa"/>
            <w:vAlign w:val="center"/>
          </w:tcPr>
          <w:p>
            <w:pPr>
              <w:widowControl w:val="0"/>
              <w:jc w:val="both"/>
              <w:rPr>
                <w:szCs w:val="21"/>
              </w:rPr>
            </w:pPr>
            <w:r>
              <w:rPr>
                <w:rFonts w:hint="eastAsia"/>
                <w:szCs w:val="21"/>
              </w:rPr>
              <w:t>人民币元、万元、亿元，中国法定流通货币单位</w:t>
            </w:r>
          </w:p>
        </w:tc>
      </w:tr>
    </w:tbl>
    <w:p/>
    <w:sdt>
      <w:sdtPr>
        <w:tag w:val="_PLD_43939604ce024bfc83f16b630e139c76"/>
        <w:id w:val="5637"/>
      </w:sdtPr>
      <w:sdtContent>
        <w:p>
          <w:pPr>
            <w:pStyle w:val="2"/>
            <w:numPr>
              <w:ilvl w:val="0"/>
              <w:numId w:val="2"/>
            </w:numPr>
            <w:rPr>
              <w:u w:val="single"/>
            </w:rPr>
          </w:pPr>
          <w:bookmarkStart w:id="10" w:name="_Toc407111355"/>
          <w:bookmarkStart w:id="11" w:name="_Toc436392762"/>
          <w:bookmarkStart w:id="12" w:name="_Toc437440709"/>
          <w:bookmarkStart w:id="13" w:name="_Toc191024257"/>
          <w:r>
            <w:rPr>
              <w:rFonts w:hint="eastAsia"/>
            </w:rPr>
            <w:t>公司简介</w:t>
          </w:r>
          <w:bookmarkEnd w:id="10"/>
          <w:bookmarkEnd w:id="11"/>
          <w:r>
            <w:rPr>
              <w:rFonts w:hint="eastAsia"/>
            </w:rPr>
            <w:t>和主要财务指标</w:t>
          </w:r>
        </w:p>
      </w:sdtContent>
    </w:sdt>
    <w:bookmarkEnd w:id="12"/>
    <w:bookmarkEnd w:id="13"/>
    <w:p>
      <w:pPr>
        <w:pStyle w:val="3"/>
        <w:numPr>
          <w:ilvl w:val="1"/>
          <w:numId w:val="4"/>
        </w:numPr>
        <w:ind w:left="566" w:hanging="498" w:hangingChars="236"/>
        <w:rPr>
          <w:u w:val="single"/>
        </w:rPr>
      </w:pPr>
      <w:bookmarkStart w:id="14" w:name="_Toc342051041"/>
      <w:bookmarkStart w:id="15" w:name="_Toc342565881"/>
      <w:r>
        <w:rPr>
          <w:rFonts w:hint="eastAsia"/>
        </w:rPr>
        <w:t>公司信息</w:t>
      </w:r>
      <w:bookmarkEnd w:id="14"/>
      <w:bookmarkEnd w:id="15"/>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0" w:type="dxa"/>
          <w:bottom w:w="0" w:type="dxa"/>
          <w:right w:w="30" w:type="dxa"/>
        </w:tblCellMar>
      </w:tblPr>
      <w:tblGrid>
        <w:gridCol w:w="3857"/>
        <w:gridCol w:w="503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3857" w:type="dxa"/>
            <w:tcBorders>
              <w:top w:val="single" w:color="auto" w:sz="4" w:space="0"/>
              <w:bottom w:val="single" w:color="auto" w:sz="4" w:space="0"/>
              <w:right w:val="single" w:color="auto" w:sz="4" w:space="0"/>
            </w:tcBorders>
            <w:vAlign w:val="center"/>
          </w:tcPr>
          <w:sdt>
            <w:sdtPr>
              <w:tag w:val="_PLD_76a4e08611bc46959c5497248a51b877"/>
              <w:id w:val="5638"/>
            </w:sdtPr>
            <w:sdtContent>
              <w:p>
                <w:pPr>
                  <w:kinsoku w:val="0"/>
                  <w:overflowPunct w:val="0"/>
                  <w:autoSpaceDE w:val="0"/>
                  <w:autoSpaceDN w:val="0"/>
                  <w:adjustRightInd w:val="0"/>
                  <w:snapToGrid w:val="0"/>
                  <w:rPr>
                    <w:szCs w:val="21"/>
                  </w:rPr>
                </w:pPr>
                <w:r>
                  <w:rPr>
                    <w:rFonts w:hint="eastAsia"/>
                    <w:szCs w:val="21"/>
                  </w:rPr>
                  <w:t>公司的中文名称</w:t>
                </w:r>
              </w:p>
            </w:sdtContent>
          </w:sdt>
        </w:tc>
        <w:tc>
          <w:tcPr>
            <w:tcW w:w="5035" w:type="dxa"/>
            <w:tcBorders>
              <w:top w:val="single" w:color="auto" w:sz="4" w:space="0"/>
              <w:left w:val="single" w:color="auto" w:sz="4" w:space="0"/>
              <w:bottom w:val="single" w:color="auto" w:sz="4" w:space="0"/>
            </w:tcBorders>
            <w:vAlign w:val="center"/>
          </w:tcPr>
          <w:sdt>
            <w:sdtPr>
              <w:rPr>
                <w:rFonts w:hint="eastAsia"/>
                <w:szCs w:val="21"/>
              </w:rPr>
              <w:alias w:val="公司法定中文名称"/>
              <w:tag w:val="_GBC_7adfc39908d049d2970c391497a360e4"/>
              <w:id w:val="5639"/>
              <w:dataBinding w:prefixMappings="xmlns:clcid-cgi='clcid-cgi'" w:xpath="/*/clcid-cgi:GongSiFaDingZhongWenMingCheng[not(@periodRef)]" w:storeItemID="{89EBAB94-44A0-46A2-B712-30D997D04A6D}"/>
              <w:text/>
            </w:sdtPr>
            <w:sdtEndPr>
              <w:rPr>
                <w:rFonts w:hint="eastAsia"/>
                <w:szCs w:val="21"/>
              </w:rPr>
            </w:sdtEndPr>
            <w:sdtContent>
              <w:p>
                <w:pPr>
                  <w:kinsoku w:val="0"/>
                  <w:overflowPunct w:val="0"/>
                  <w:autoSpaceDE w:val="0"/>
                  <w:autoSpaceDN w:val="0"/>
                  <w:adjustRightInd w:val="0"/>
                  <w:snapToGrid w:val="0"/>
                  <w:rPr>
                    <w:color w:val="FFC000"/>
                    <w:szCs w:val="21"/>
                  </w:rPr>
                </w:pPr>
                <w:r>
                  <w:rPr>
                    <w:rFonts w:hint="eastAsia"/>
                    <w:szCs w:val="21"/>
                    <w:lang w:eastAsia="zh-CN"/>
                  </w:rPr>
                  <w:t>柳州两面针股份有限公司</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3857" w:type="dxa"/>
            <w:tcBorders>
              <w:top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szCs w:val="21"/>
              </w:rPr>
            </w:pPr>
            <w:r>
              <w:rPr>
                <w:rFonts w:hint="eastAsia"/>
                <w:szCs w:val="21"/>
              </w:rPr>
              <w:t>公司的中文简称</w:t>
            </w:r>
          </w:p>
        </w:tc>
        <w:tc>
          <w:tcPr>
            <w:tcW w:w="5035" w:type="dxa"/>
            <w:tcBorders>
              <w:top w:val="single" w:color="auto" w:sz="4" w:space="0"/>
              <w:left w:val="single" w:color="auto" w:sz="4" w:space="0"/>
              <w:bottom w:val="single" w:color="auto" w:sz="4" w:space="0"/>
            </w:tcBorders>
            <w:vAlign w:val="center"/>
          </w:tcPr>
          <w:p>
            <w:pPr>
              <w:kinsoku w:val="0"/>
              <w:overflowPunct w:val="0"/>
              <w:autoSpaceDE w:val="0"/>
              <w:autoSpaceDN w:val="0"/>
              <w:adjustRightInd w:val="0"/>
              <w:snapToGrid w:val="0"/>
              <w:rPr>
                <w:rFonts w:hint="eastAsia"/>
                <w:szCs w:val="21"/>
              </w:rPr>
            </w:pPr>
            <w:r>
              <w:rPr>
                <w:rFonts w:hint="eastAsia"/>
                <w:color w:val="auto"/>
                <w:szCs w:val="21"/>
              </w:rPr>
              <w:t>两面针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3857" w:type="dxa"/>
            <w:tcBorders>
              <w:top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szCs w:val="21"/>
              </w:rPr>
            </w:pPr>
            <w:r>
              <w:rPr>
                <w:szCs w:val="21"/>
              </w:rPr>
              <w:t>公司的外文名称</w:t>
            </w:r>
          </w:p>
        </w:tc>
        <w:tc>
          <w:tcPr>
            <w:tcW w:w="5035" w:type="dxa"/>
            <w:tcBorders>
              <w:top w:val="single" w:color="auto" w:sz="4" w:space="0"/>
              <w:left w:val="single" w:color="auto" w:sz="4" w:space="0"/>
              <w:bottom w:val="single" w:color="auto" w:sz="4" w:space="0"/>
            </w:tcBorders>
            <w:vAlign w:val="center"/>
          </w:tcPr>
          <w:p>
            <w:pPr>
              <w:kinsoku w:val="0"/>
              <w:overflowPunct w:val="0"/>
              <w:autoSpaceDE w:val="0"/>
              <w:autoSpaceDN w:val="0"/>
              <w:adjustRightInd w:val="0"/>
              <w:snapToGrid w:val="0"/>
              <w:rPr>
                <w:rFonts w:hint="eastAsia"/>
                <w:szCs w:val="21"/>
              </w:rPr>
            </w:pPr>
            <w:r>
              <w:rPr>
                <w:rFonts w:hint="eastAsia"/>
                <w:color w:val="auto"/>
                <w:szCs w:val="21"/>
              </w:rPr>
              <w:t>LIUZHOU LIANGMIANZHEN Co.,Ltd.</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3857" w:type="dxa"/>
            <w:tcBorders>
              <w:top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szCs w:val="21"/>
              </w:rPr>
            </w:pPr>
            <w:r>
              <w:rPr>
                <w:szCs w:val="21"/>
              </w:rPr>
              <w:t>公司的外文名称缩写</w:t>
            </w:r>
          </w:p>
        </w:tc>
        <w:tc>
          <w:tcPr>
            <w:tcW w:w="5035" w:type="dxa"/>
            <w:tcBorders>
              <w:top w:val="single" w:color="auto" w:sz="4" w:space="0"/>
              <w:left w:val="single" w:color="auto" w:sz="4" w:space="0"/>
              <w:bottom w:val="single" w:color="auto" w:sz="4" w:space="0"/>
            </w:tcBorders>
            <w:vAlign w:val="center"/>
          </w:tcPr>
          <w:p>
            <w:pPr>
              <w:kinsoku w:val="0"/>
              <w:overflowPunct w:val="0"/>
              <w:autoSpaceDE w:val="0"/>
              <w:autoSpaceDN w:val="0"/>
              <w:adjustRightInd w:val="0"/>
              <w:snapToGrid w:val="0"/>
              <w:rPr>
                <w:rFonts w:hint="eastAsia"/>
                <w:szCs w:val="21"/>
              </w:rPr>
            </w:pPr>
            <w:r>
              <w:rPr>
                <w:rFonts w:hint="eastAsia"/>
                <w:color w:val="auto"/>
                <w:szCs w:val="21"/>
              </w:rPr>
              <w:t>LMZ</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3857" w:type="dxa"/>
            <w:tcBorders>
              <w:top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szCs w:val="21"/>
              </w:rPr>
            </w:pPr>
            <w:r>
              <w:rPr>
                <w:szCs w:val="21"/>
              </w:rPr>
              <w:t>公司的法定代表人</w:t>
            </w:r>
          </w:p>
        </w:tc>
        <w:tc>
          <w:tcPr>
            <w:tcW w:w="5035" w:type="dxa"/>
            <w:tcBorders>
              <w:top w:val="single" w:color="auto" w:sz="4" w:space="0"/>
              <w:left w:val="single" w:color="auto" w:sz="4" w:space="0"/>
              <w:bottom w:val="single" w:color="auto" w:sz="4" w:space="0"/>
            </w:tcBorders>
            <w:vAlign w:val="center"/>
          </w:tcPr>
          <w:p>
            <w:pPr>
              <w:kinsoku w:val="0"/>
              <w:overflowPunct w:val="0"/>
              <w:autoSpaceDE w:val="0"/>
              <w:autoSpaceDN w:val="0"/>
              <w:adjustRightInd w:val="0"/>
              <w:snapToGrid w:val="0"/>
              <w:rPr>
                <w:szCs w:val="21"/>
              </w:rPr>
            </w:pPr>
            <w:r>
              <w:rPr>
                <w:rFonts w:hint="eastAsia"/>
                <w:szCs w:val="21"/>
              </w:rPr>
              <w:t>周云祥</w:t>
            </w:r>
          </w:p>
        </w:tc>
      </w:tr>
    </w:tbl>
    <w:p/>
    <w:p>
      <w:pPr>
        <w:pStyle w:val="3"/>
        <w:numPr>
          <w:ilvl w:val="1"/>
          <w:numId w:val="4"/>
        </w:numPr>
        <w:ind w:left="498" w:hanging="498" w:hangingChars="236"/>
      </w:pPr>
      <w:r>
        <w:rPr>
          <w:rFonts w:hint="eastAsia"/>
        </w:rPr>
        <w:t>联系人和联系方式</w:t>
      </w:r>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0" w:type="dxa"/>
          <w:bottom w:w="0" w:type="dxa"/>
          <w:right w:w="30" w:type="dxa"/>
        </w:tblCellMar>
      </w:tblPr>
      <w:tblGrid>
        <w:gridCol w:w="2424"/>
        <w:gridCol w:w="3503"/>
        <w:gridCol w:w="296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2424" w:type="dxa"/>
            <w:tcBorders>
              <w:top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szCs w:val="21"/>
              </w:rPr>
            </w:pPr>
            <w:bookmarkStart w:id="16" w:name="_Toc342051042"/>
            <w:bookmarkEnd w:id="16"/>
            <w:bookmarkStart w:id="17" w:name="_Toc342565882"/>
            <w:bookmarkEnd w:id="17"/>
            <w:bookmarkStart w:id="18" w:name="_Hlk186115833"/>
            <w:bookmarkStart w:id="19" w:name="_Hlk186112521"/>
            <w:bookmarkStart w:id="20" w:name="_Hlk186115772"/>
          </w:p>
        </w:tc>
        <w:tc>
          <w:tcPr>
            <w:tcW w:w="3503" w:type="dxa"/>
            <w:tcBorders>
              <w:top w:val="single" w:color="auto" w:sz="4" w:space="0"/>
              <w:left w:val="single" w:color="auto" w:sz="4" w:space="0"/>
              <w:bottom w:val="single" w:color="auto" w:sz="4" w:space="0"/>
              <w:right w:val="single" w:color="auto" w:sz="4" w:space="0"/>
            </w:tcBorders>
            <w:vAlign w:val="center"/>
          </w:tcPr>
          <w:p>
            <w:pPr>
              <w:pStyle w:val="15"/>
              <w:kinsoku w:val="0"/>
              <w:overflowPunct w:val="0"/>
              <w:autoSpaceDE w:val="0"/>
              <w:autoSpaceDN w:val="0"/>
              <w:adjustRightInd w:val="0"/>
              <w:snapToGrid w:val="0"/>
              <w:jc w:val="center"/>
              <w:rPr>
                <w:rFonts w:hint="eastAsia" w:ascii="宋体" w:hAnsi="宋体"/>
                <w:color w:val="008000"/>
              </w:rPr>
            </w:pPr>
            <w:sdt>
              <w:sdtPr>
                <w:tag w:val="_PLD_2c78c38f6b284d4589a2a9ae76ce4059"/>
                <w:id w:val="5640"/>
              </w:sdtPr>
              <w:sdtContent>
                <w:r>
                  <w:rPr>
                    <w:rFonts w:hint="eastAsia" w:ascii="宋体" w:hAnsi="宋体" w:cs="宋体"/>
                  </w:rPr>
                  <w:t>董事会秘书</w:t>
                </w:r>
              </w:sdtContent>
            </w:sdt>
          </w:p>
        </w:tc>
        <w:tc>
          <w:tcPr>
            <w:tcW w:w="2964" w:type="dxa"/>
            <w:tcBorders>
              <w:top w:val="single" w:color="auto" w:sz="4" w:space="0"/>
              <w:left w:val="single" w:color="auto" w:sz="4" w:space="0"/>
              <w:bottom w:val="single" w:color="auto" w:sz="4" w:space="0"/>
            </w:tcBorders>
            <w:vAlign w:val="center"/>
          </w:tcPr>
          <w:sdt>
            <w:sdtPr>
              <w:tag w:val="_PLD_8425474fc03f4f31a663ee46b4c6fa3a"/>
              <w:id w:val="5641"/>
            </w:sdtPr>
            <w:sdtContent>
              <w:p>
                <w:pPr>
                  <w:pStyle w:val="15"/>
                  <w:kinsoku w:val="0"/>
                  <w:overflowPunct w:val="0"/>
                  <w:autoSpaceDE w:val="0"/>
                  <w:autoSpaceDN w:val="0"/>
                  <w:adjustRightInd w:val="0"/>
                  <w:snapToGrid w:val="0"/>
                  <w:jc w:val="center"/>
                  <w:rPr>
                    <w:rFonts w:hint="eastAsia" w:ascii="宋体" w:hAnsi="宋体" w:cs="宋体"/>
                  </w:rPr>
                </w:pPr>
                <w:r>
                  <w:rPr>
                    <w:rFonts w:hint="eastAsia" w:ascii="宋体" w:hAnsi="宋体" w:cs="宋体"/>
                  </w:rPr>
                  <w:t>证券事务代表</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c>
          <w:tcPr>
            <w:tcW w:w="2424" w:type="dxa"/>
            <w:tcBorders>
              <w:top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szCs w:val="21"/>
              </w:rPr>
            </w:pPr>
            <w:r>
              <w:rPr>
                <w:rFonts w:hint="eastAsia"/>
                <w:szCs w:val="21"/>
              </w:rPr>
              <w:t>姓名</w:t>
            </w:r>
          </w:p>
        </w:tc>
        <w:tc>
          <w:tcPr>
            <w:tcW w:w="3503" w:type="dxa"/>
            <w:tcBorders>
              <w:top w:val="single" w:color="auto" w:sz="4" w:space="0"/>
              <w:left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rFonts w:hint="eastAsia"/>
                <w:szCs w:val="21"/>
              </w:rPr>
            </w:pPr>
            <w:r>
              <w:rPr>
                <w:rFonts w:hint="eastAsia"/>
                <w:color w:val="auto"/>
                <w:szCs w:val="21"/>
              </w:rPr>
              <w:t>韦元贤</w:t>
            </w:r>
          </w:p>
        </w:tc>
        <w:tc>
          <w:tcPr>
            <w:tcW w:w="2964" w:type="dxa"/>
            <w:tcBorders>
              <w:top w:val="single" w:color="auto" w:sz="4" w:space="0"/>
              <w:left w:val="single" w:color="auto" w:sz="4" w:space="0"/>
              <w:bottom w:val="single" w:color="auto" w:sz="4" w:space="0"/>
            </w:tcBorders>
            <w:vAlign w:val="center"/>
          </w:tcPr>
          <w:p>
            <w:pPr>
              <w:kinsoku w:val="0"/>
              <w:overflowPunct w:val="0"/>
              <w:autoSpaceDE w:val="0"/>
              <w:autoSpaceDN w:val="0"/>
              <w:adjustRightInd w:val="0"/>
              <w:snapToGrid w:val="0"/>
              <w:rPr>
                <w:rFonts w:hint="eastAsia"/>
                <w:szCs w:val="21"/>
              </w:rPr>
            </w:pPr>
            <w:r>
              <w:rPr>
                <w:rFonts w:hint="eastAsia"/>
                <w:color w:val="auto"/>
                <w:szCs w:val="21"/>
              </w:rPr>
              <w:t>杨彩莲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c>
          <w:tcPr>
            <w:tcW w:w="2424" w:type="dxa"/>
            <w:tcBorders>
              <w:top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szCs w:val="21"/>
              </w:rPr>
            </w:pPr>
            <w:r>
              <w:rPr>
                <w:rFonts w:hint="eastAsia"/>
                <w:szCs w:val="21"/>
              </w:rPr>
              <w:t>联系地址</w:t>
            </w:r>
          </w:p>
        </w:tc>
        <w:tc>
          <w:tcPr>
            <w:tcW w:w="3503" w:type="dxa"/>
            <w:tcBorders>
              <w:top w:val="single" w:color="auto" w:sz="4" w:space="0"/>
              <w:left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rFonts w:hint="eastAsia"/>
                <w:szCs w:val="21"/>
              </w:rPr>
            </w:pPr>
            <w:r>
              <w:rPr>
                <w:rFonts w:hint="eastAsia"/>
                <w:color w:val="auto"/>
                <w:szCs w:val="21"/>
              </w:rPr>
              <w:t>广西柳州市东环大道282号柳州两面针股份有限公司董事会办公室</w:t>
            </w:r>
          </w:p>
        </w:tc>
        <w:tc>
          <w:tcPr>
            <w:tcW w:w="2964" w:type="dxa"/>
            <w:tcBorders>
              <w:top w:val="single" w:color="auto" w:sz="4" w:space="0"/>
              <w:left w:val="single" w:color="auto" w:sz="4" w:space="0"/>
              <w:bottom w:val="single" w:color="auto" w:sz="4" w:space="0"/>
            </w:tcBorders>
            <w:vAlign w:val="center"/>
          </w:tcPr>
          <w:p>
            <w:pPr>
              <w:kinsoku w:val="0"/>
              <w:overflowPunct w:val="0"/>
              <w:autoSpaceDE w:val="0"/>
              <w:autoSpaceDN w:val="0"/>
              <w:adjustRightInd w:val="0"/>
              <w:snapToGrid w:val="0"/>
              <w:rPr>
                <w:rFonts w:hint="eastAsia"/>
                <w:szCs w:val="21"/>
              </w:rPr>
            </w:pPr>
            <w:r>
              <w:rPr>
                <w:rFonts w:hint="eastAsia"/>
                <w:color w:val="auto"/>
                <w:szCs w:val="21"/>
              </w:rPr>
              <w:t>广西柳州市东环大道282号柳州两面针股份有限公司董事会办公室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c>
          <w:tcPr>
            <w:tcW w:w="2424" w:type="dxa"/>
            <w:tcBorders>
              <w:top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szCs w:val="21"/>
              </w:rPr>
            </w:pPr>
            <w:r>
              <w:rPr>
                <w:szCs w:val="21"/>
              </w:rPr>
              <w:t>电话</w:t>
            </w:r>
          </w:p>
        </w:tc>
        <w:tc>
          <w:tcPr>
            <w:tcW w:w="3503" w:type="dxa"/>
            <w:tcBorders>
              <w:top w:val="single" w:color="auto" w:sz="4" w:space="0"/>
              <w:left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rFonts w:hint="eastAsia"/>
                <w:szCs w:val="21"/>
              </w:rPr>
            </w:pPr>
            <w:r>
              <w:rPr>
                <w:rFonts w:hint="eastAsia"/>
                <w:color w:val="auto"/>
                <w:szCs w:val="21"/>
              </w:rPr>
              <w:t>0772-2506159</w:t>
            </w:r>
          </w:p>
        </w:tc>
        <w:tc>
          <w:tcPr>
            <w:tcW w:w="2964" w:type="dxa"/>
            <w:tcBorders>
              <w:top w:val="single" w:color="auto" w:sz="4" w:space="0"/>
              <w:left w:val="single" w:color="auto" w:sz="4" w:space="0"/>
              <w:bottom w:val="single" w:color="auto" w:sz="4" w:space="0"/>
            </w:tcBorders>
            <w:vAlign w:val="center"/>
          </w:tcPr>
          <w:p>
            <w:pPr>
              <w:kinsoku w:val="0"/>
              <w:overflowPunct w:val="0"/>
              <w:autoSpaceDE w:val="0"/>
              <w:autoSpaceDN w:val="0"/>
              <w:adjustRightInd w:val="0"/>
              <w:snapToGrid w:val="0"/>
              <w:rPr>
                <w:rFonts w:hint="eastAsia"/>
                <w:szCs w:val="21"/>
              </w:rPr>
            </w:pPr>
            <w:r>
              <w:rPr>
                <w:rFonts w:hint="eastAsia"/>
                <w:color w:val="auto"/>
                <w:szCs w:val="21"/>
              </w:rPr>
              <w:t>0772-2506159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c>
          <w:tcPr>
            <w:tcW w:w="2424" w:type="dxa"/>
            <w:tcBorders>
              <w:top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szCs w:val="21"/>
              </w:rPr>
            </w:pPr>
            <w:r>
              <w:rPr>
                <w:szCs w:val="21"/>
              </w:rPr>
              <w:t>传真</w:t>
            </w:r>
          </w:p>
        </w:tc>
        <w:tc>
          <w:tcPr>
            <w:tcW w:w="3503" w:type="dxa"/>
            <w:tcBorders>
              <w:top w:val="single" w:color="auto" w:sz="4" w:space="0"/>
              <w:left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rFonts w:hint="eastAsia"/>
                <w:szCs w:val="21"/>
              </w:rPr>
            </w:pPr>
            <w:r>
              <w:rPr>
                <w:rFonts w:hint="eastAsia"/>
                <w:color w:val="auto"/>
                <w:szCs w:val="21"/>
              </w:rPr>
              <w:t>0772-2506158</w:t>
            </w:r>
          </w:p>
        </w:tc>
        <w:tc>
          <w:tcPr>
            <w:tcW w:w="2964" w:type="dxa"/>
            <w:tcBorders>
              <w:top w:val="single" w:color="auto" w:sz="4" w:space="0"/>
              <w:left w:val="single" w:color="auto" w:sz="4" w:space="0"/>
              <w:bottom w:val="single" w:color="auto" w:sz="4" w:space="0"/>
            </w:tcBorders>
            <w:vAlign w:val="center"/>
          </w:tcPr>
          <w:p>
            <w:pPr>
              <w:kinsoku w:val="0"/>
              <w:overflowPunct w:val="0"/>
              <w:autoSpaceDE w:val="0"/>
              <w:autoSpaceDN w:val="0"/>
              <w:adjustRightInd w:val="0"/>
              <w:snapToGrid w:val="0"/>
              <w:rPr>
                <w:rFonts w:hint="eastAsia"/>
                <w:szCs w:val="21"/>
              </w:rPr>
            </w:pPr>
            <w:r>
              <w:rPr>
                <w:rFonts w:hint="eastAsia"/>
                <w:color w:val="auto"/>
                <w:szCs w:val="21"/>
              </w:rPr>
              <w:t>0772-2506158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c>
          <w:tcPr>
            <w:tcW w:w="2424" w:type="dxa"/>
            <w:tcBorders>
              <w:top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szCs w:val="21"/>
              </w:rPr>
            </w:pPr>
            <w:r>
              <w:rPr>
                <w:szCs w:val="21"/>
              </w:rPr>
              <w:t>电子信箱</w:t>
            </w:r>
          </w:p>
        </w:tc>
        <w:tc>
          <w:tcPr>
            <w:tcW w:w="3503" w:type="dxa"/>
            <w:tcBorders>
              <w:top w:val="single" w:color="auto" w:sz="4" w:space="0"/>
              <w:left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rFonts w:hint="eastAsia"/>
                <w:szCs w:val="21"/>
              </w:rPr>
            </w:pPr>
            <w:r>
              <w:rPr>
                <w:rFonts w:hint="eastAsia"/>
                <w:color w:val="auto"/>
                <w:szCs w:val="21"/>
              </w:rPr>
              <w:t>lmzstock@lmz.com.cn</w:t>
            </w:r>
          </w:p>
        </w:tc>
        <w:tc>
          <w:tcPr>
            <w:tcW w:w="2964" w:type="dxa"/>
            <w:tcBorders>
              <w:top w:val="single" w:color="auto" w:sz="4" w:space="0"/>
              <w:left w:val="single" w:color="auto" w:sz="4" w:space="0"/>
              <w:bottom w:val="single" w:color="auto" w:sz="4" w:space="0"/>
            </w:tcBorders>
            <w:vAlign w:val="center"/>
          </w:tcPr>
          <w:p>
            <w:pPr>
              <w:kinsoku w:val="0"/>
              <w:overflowPunct w:val="0"/>
              <w:autoSpaceDE w:val="0"/>
              <w:autoSpaceDN w:val="0"/>
              <w:adjustRightInd w:val="0"/>
              <w:snapToGrid w:val="0"/>
              <w:rPr>
                <w:rFonts w:hint="eastAsia"/>
                <w:szCs w:val="21"/>
              </w:rPr>
            </w:pPr>
            <w:r>
              <w:rPr>
                <w:rFonts w:hint="eastAsia"/>
                <w:color w:val="auto"/>
                <w:szCs w:val="21"/>
              </w:rPr>
              <w:t>lmzstock@lmz.com.cn</w:t>
            </w:r>
          </w:p>
        </w:tc>
      </w:tr>
    </w:tbl>
    <w:p/>
    <w:bookmarkEnd w:id="18"/>
    <w:bookmarkEnd w:id="19"/>
    <w:bookmarkEnd w:id="20"/>
    <w:p>
      <w:pPr>
        <w:pStyle w:val="3"/>
        <w:numPr>
          <w:ilvl w:val="1"/>
          <w:numId w:val="4"/>
        </w:numPr>
        <w:ind w:left="496" w:hanging="498" w:hangingChars="236"/>
        <w:rPr>
          <w:rFonts w:hint="eastAsia" w:ascii="宋体" w:hAnsi="宋体"/>
        </w:rPr>
      </w:pPr>
      <w:r>
        <w:t>基本情况</w:t>
      </w:r>
      <w:r>
        <w:rPr>
          <w:rFonts w:hint="eastAsia"/>
        </w:rPr>
        <w:t>简介</w:t>
      </w:r>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0" w:type="dxa"/>
          <w:bottom w:w="0" w:type="dxa"/>
          <w:right w:w="30" w:type="dxa"/>
        </w:tblCellMar>
      </w:tblPr>
      <w:tblGrid>
        <w:gridCol w:w="3857"/>
        <w:gridCol w:w="503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3857" w:type="dxa"/>
            <w:tcBorders>
              <w:top w:val="single" w:color="auto" w:sz="4" w:space="0"/>
              <w:bottom w:val="single" w:color="auto" w:sz="4" w:space="0"/>
              <w:right w:val="single" w:color="auto" w:sz="4" w:space="0"/>
            </w:tcBorders>
            <w:vAlign w:val="center"/>
          </w:tcPr>
          <w:sdt>
            <w:sdtPr>
              <w:tag w:val="_PLD_65800154c9f246eeaabfb6d49f89b105"/>
              <w:id w:val="5642"/>
            </w:sdtPr>
            <w:sdtContent>
              <w:p>
                <w:pPr>
                  <w:kinsoku w:val="0"/>
                  <w:overflowPunct w:val="0"/>
                  <w:autoSpaceDE w:val="0"/>
                  <w:autoSpaceDN w:val="0"/>
                  <w:adjustRightInd w:val="0"/>
                  <w:snapToGrid w:val="0"/>
                  <w:rPr>
                    <w:szCs w:val="21"/>
                  </w:rPr>
                </w:pPr>
                <w:r>
                  <w:rPr>
                    <w:szCs w:val="21"/>
                  </w:rPr>
                  <w:t>公司注册地址</w:t>
                </w:r>
              </w:p>
            </w:sdtContent>
          </w:sdt>
        </w:tc>
        <w:tc>
          <w:tcPr>
            <w:tcW w:w="5035" w:type="dxa"/>
            <w:tcBorders>
              <w:top w:val="single" w:color="auto" w:sz="4" w:space="0"/>
              <w:left w:val="single" w:color="auto" w:sz="4" w:space="0"/>
              <w:bottom w:val="single" w:color="auto" w:sz="4" w:space="0"/>
            </w:tcBorders>
            <w:vAlign w:val="center"/>
          </w:tcPr>
          <w:sdt>
            <w:sdtPr>
              <w:rPr>
                <w:szCs w:val="21"/>
              </w:rPr>
              <w:alias w:val="公司注册地址"/>
              <w:tag w:val="_GBC_89833c4f8593417f8d5751e5d0001721"/>
              <w:id w:val="5643"/>
            </w:sdtPr>
            <w:sdtEndPr>
              <w:rPr>
                <w:szCs w:val="21"/>
              </w:rPr>
            </w:sdtEndPr>
            <w:sdtContent>
              <w:p>
                <w:pPr>
                  <w:kinsoku w:val="0"/>
                  <w:overflowPunct w:val="0"/>
                  <w:autoSpaceDE w:val="0"/>
                  <w:autoSpaceDN w:val="0"/>
                  <w:adjustRightInd w:val="0"/>
                  <w:snapToGrid w:val="0"/>
                  <w:rPr>
                    <w:szCs w:val="21"/>
                  </w:rPr>
                </w:pPr>
                <w:r>
                  <w:rPr>
                    <w:rFonts w:hint="eastAsia"/>
                    <w:szCs w:val="21"/>
                  </w:rPr>
                  <w:t>广西柳州市东环大道282号</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3857" w:type="dxa"/>
            <w:tcBorders>
              <w:top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pPr>
            <w:r>
              <w:rPr>
                <w:rFonts w:hint="eastAsia"/>
              </w:rPr>
              <w:t>公司注册地址的历史变更情况</w:t>
            </w:r>
          </w:p>
        </w:tc>
        <w:tc>
          <w:tcPr>
            <w:tcW w:w="5035" w:type="dxa"/>
            <w:tcBorders>
              <w:top w:val="single" w:color="auto" w:sz="4" w:space="0"/>
              <w:left w:val="single" w:color="auto" w:sz="4" w:space="0"/>
              <w:bottom w:val="single" w:color="auto" w:sz="4" w:space="0"/>
            </w:tcBorders>
            <w:vAlign w:val="center"/>
          </w:tcPr>
          <w:p>
            <w:pPr>
              <w:kinsoku w:val="0"/>
              <w:overflowPunct w:val="0"/>
              <w:autoSpaceDE w:val="0"/>
              <w:autoSpaceDN w:val="0"/>
              <w:adjustRightInd w:val="0"/>
              <w:snapToGrid w:val="0"/>
              <w:rPr>
                <w:szCs w:val="21"/>
              </w:rPr>
            </w:pPr>
            <w:r>
              <w:rPr>
                <w:rFonts w:hint="eastAsia"/>
                <w:color w:val="auto"/>
              </w:rPr>
              <w:t>2015年10月15日将注册地址由“广西柳州市柳北区长风路2号”变更为“广西柳州市东环大道282号”，详见公告临2015-038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3857" w:type="dxa"/>
            <w:tcBorders>
              <w:top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szCs w:val="21"/>
              </w:rPr>
            </w:pPr>
            <w:r>
              <w:rPr>
                <w:szCs w:val="21"/>
              </w:rPr>
              <w:t>公司办公地址</w:t>
            </w:r>
          </w:p>
        </w:tc>
        <w:tc>
          <w:tcPr>
            <w:tcW w:w="5035" w:type="dxa"/>
            <w:tcBorders>
              <w:top w:val="single" w:color="auto" w:sz="4" w:space="0"/>
              <w:left w:val="single" w:color="auto" w:sz="4" w:space="0"/>
              <w:bottom w:val="single" w:color="auto" w:sz="4" w:space="0"/>
            </w:tcBorders>
            <w:vAlign w:val="center"/>
          </w:tcPr>
          <w:p>
            <w:pPr>
              <w:kinsoku w:val="0"/>
              <w:overflowPunct w:val="0"/>
              <w:autoSpaceDE w:val="0"/>
              <w:autoSpaceDN w:val="0"/>
              <w:adjustRightInd w:val="0"/>
              <w:snapToGrid w:val="0"/>
              <w:rPr>
                <w:rFonts w:hint="eastAsia"/>
                <w:szCs w:val="21"/>
              </w:rPr>
            </w:pPr>
            <w:r>
              <w:rPr>
                <w:rFonts w:hint="eastAsia"/>
                <w:color w:val="auto"/>
                <w:szCs w:val="21"/>
              </w:rPr>
              <w:t>广西柳州市东环大道282号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3857" w:type="dxa"/>
            <w:tcBorders>
              <w:top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szCs w:val="21"/>
              </w:rPr>
            </w:pPr>
            <w:r>
              <w:rPr>
                <w:szCs w:val="21"/>
              </w:rPr>
              <w:t>公司办公地址的邮政编码</w:t>
            </w:r>
          </w:p>
        </w:tc>
        <w:tc>
          <w:tcPr>
            <w:tcW w:w="5035" w:type="dxa"/>
            <w:tcBorders>
              <w:top w:val="single" w:color="auto" w:sz="4" w:space="0"/>
              <w:left w:val="single" w:color="auto" w:sz="4" w:space="0"/>
              <w:bottom w:val="single" w:color="auto" w:sz="4" w:space="0"/>
            </w:tcBorders>
            <w:vAlign w:val="center"/>
          </w:tcPr>
          <w:p>
            <w:pPr>
              <w:kinsoku w:val="0"/>
              <w:overflowPunct w:val="0"/>
              <w:autoSpaceDE w:val="0"/>
              <w:autoSpaceDN w:val="0"/>
              <w:adjustRightInd w:val="0"/>
              <w:snapToGrid w:val="0"/>
              <w:rPr>
                <w:rFonts w:hint="eastAsia"/>
                <w:szCs w:val="21"/>
              </w:rPr>
            </w:pPr>
            <w:r>
              <w:rPr>
                <w:rFonts w:hint="eastAsia"/>
                <w:color w:val="auto"/>
                <w:szCs w:val="21"/>
              </w:rPr>
              <w:t>545006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3857" w:type="dxa"/>
            <w:tcBorders>
              <w:top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szCs w:val="21"/>
              </w:rPr>
            </w:pPr>
            <w:r>
              <w:rPr>
                <w:szCs w:val="21"/>
              </w:rPr>
              <w:t>公司网址</w:t>
            </w:r>
          </w:p>
        </w:tc>
        <w:tc>
          <w:tcPr>
            <w:tcW w:w="5035" w:type="dxa"/>
            <w:tcBorders>
              <w:top w:val="single" w:color="auto" w:sz="4" w:space="0"/>
              <w:left w:val="single" w:color="auto" w:sz="4" w:space="0"/>
              <w:bottom w:val="single" w:color="auto" w:sz="4" w:space="0"/>
            </w:tcBorders>
            <w:vAlign w:val="center"/>
          </w:tcPr>
          <w:p>
            <w:pPr>
              <w:kinsoku w:val="0"/>
              <w:overflowPunct w:val="0"/>
              <w:autoSpaceDE w:val="0"/>
              <w:autoSpaceDN w:val="0"/>
              <w:adjustRightInd w:val="0"/>
              <w:snapToGrid w:val="0"/>
              <w:rPr>
                <w:rFonts w:hint="eastAsia"/>
                <w:szCs w:val="21"/>
              </w:rPr>
            </w:pPr>
            <w:r>
              <w:rPr>
                <w:rFonts w:hint="eastAsia"/>
                <w:color w:val="auto"/>
                <w:szCs w:val="21"/>
              </w:rPr>
              <w:t>www.lmz.com.cn</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3857" w:type="dxa"/>
            <w:tcBorders>
              <w:top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szCs w:val="21"/>
              </w:rPr>
            </w:pPr>
            <w:r>
              <w:rPr>
                <w:szCs w:val="21"/>
              </w:rPr>
              <w:t>电子信箱</w:t>
            </w:r>
          </w:p>
        </w:tc>
        <w:tc>
          <w:tcPr>
            <w:tcW w:w="5035" w:type="dxa"/>
            <w:tcBorders>
              <w:top w:val="single" w:color="auto" w:sz="4" w:space="0"/>
              <w:left w:val="single" w:color="auto" w:sz="4" w:space="0"/>
              <w:bottom w:val="single" w:color="auto" w:sz="4" w:space="0"/>
            </w:tcBorders>
            <w:vAlign w:val="center"/>
          </w:tcPr>
          <w:p>
            <w:pPr>
              <w:kinsoku w:val="0"/>
              <w:overflowPunct w:val="0"/>
              <w:autoSpaceDE w:val="0"/>
              <w:autoSpaceDN w:val="0"/>
              <w:adjustRightInd w:val="0"/>
              <w:snapToGrid w:val="0"/>
              <w:rPr>
                <w:rFonts w:hint="eastAsia"/>
                <w:szCs w:val="21"/>
              </w:rPr>
            </w:pPr>
            <w:r>
              <w:rPr>
                <w:rFonts w:hint="eastAsia"/>
                <w:color w:val="auto"/>
                <w:szCs w:val="21"/>
              </w:rPr>
              <w:t>lmzstock@lmz.com.cn</w:t>
            </w:r>
          </w:p>
        </w:tc>
      </w:tr>
    </w:tbl>
    <w:p/>
    <w:p>
      <w:pPr>
        <w:pStyle w:val="3"/>
        <w:numPr>
          <w:ilvl w:val="1"/>
          <w:numId w:val="4"/>
        </w:numPr>
        <w:ind w:left="496" w:hanging="498" w:hangingChars="236"/>
        <w:rPr>
          <w:rFonts w:hint="eastAsia" w:ascii="宋体" w:hAnsi="宋体"/>
        </w:rPr>
      </w:pPr>
      <w:r>
        <w:t>信息披露及备置地点</w:t>
      </w:r>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0" w:type="dxa"/>
          <w:bottom w:w="0" w:type="dxa"/>
          <w:right w:w="30" w:type="dxa"/>
        </w:tblCellMar>
      </w:tblPr>
      <w:tblGrid>
        <w:gridCol w:w="4140"/>
        <w:gridCol w:w="475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4140" w:type="dxa"/>
            <w:tcBorders>
              <w:top w:val="single" w:color="auto" w:sz="4" w:space="0"/>
              <w:bottom w:val="single" w:color="auto" w:sz="4" w:space="0"/>
              <w:right w:val="single" w:color="auto" w:sz="4" w:space="0"/>
            </w:tcBorders>
            <w:vAlign w:val="center"/>
          </w:tcPr>
          <w:sdt>
            <w:sdtPr>
              <w:tag w:val="_PLD_bbba55a3ebda46da946a09caf15c63b6"/>
              <w:id w:val="5644"/>
            </w:sdtPr>
            <w:sdtContent>
              <w:p>
                <w:pPr>
                  <w:kinsoku w:val="0"/>
                  <w:overflowPunct w:val="0"/>
                  <w:autoSpaceDE w:val="0"/>
                  <w:autoSpaceDN w:val="0"/>
                  <w:adjustRightInd w:val="0"/>
                  <w:snapToGrid w:val="0"/>
                  <w:rPr>
                    <w:szCs w:val="21"/>
                  </w:rPr>
                </w:pPr>
                <w:r>
                  <w:rPr>
                    <w:szCs w:val="21"/>
                  </w:rPr>
                  <w:t>公司</w:t>
                </w:r>
                <w:r>
                  <w:rPr>
                    <w:rFonts w:hint="eastAsia"/>
                    <w:szCs w:val="21"/>
                  </w:rPr>
                  <w:t>披露年度报告的媒体</w:t>
                </w:r>
                <w:r>
                  <w:rPr>
                    <w:szCs w:val="21"/>
                  </w:rPr>
                  <w:t>名称</w:t>
                </w:r>
                <w:r>
                  <w:rPr>
                    <w:rFonts w:hint="eastAsia"/>
                    <w:szCs w:val="21"/>
                  </w:rPr>
                  <w:t>及网址</w:t>
                </w:r>
              </w:p>
            </w:sdtContent>
          </w:sdt>
        </w:tc>
        <w:tc>
          <w:tcPr>
            <w:tcW w:w="4752" w:type="dxa"/>
            <w:tcBorders>
              <w:top w:val="single" w:color="auto" w:sz="4" w:space="0"/>
              <w:left w:val="single" w:color="auto" w:sz="4" w:space="0"/>
              <w:bottom w:val="single" w:color="auto" w:sz="4" w:space="0"/>
            </w:tcBorders>
            <w:vAlign w:val="center"/>
          </w:tcPr>
          <w:sdt>
            <w:sdtPr>
              <w:rPr>
                <w:szCs w:val="21"/>
              </w:rPr>
              <w:alias w:val="公司选定的信息披露报纸名称"/>
              <w:tag w:val="_GBC_001b00e5e370415c93177612f89840ec"/>
              <w:id w:val="5645"/>
            </w:sdtPr>
            <w:sdtEndPr>
              <w:rPr>
                <w:szCs w:val="21"/>
              </w:rPr>
            </w:sdtEndPr>
            <w:sdtContent>
              <w:p>
                <w:pPr>
                  <w:kinsoku w:val="0"/>
                  <w:overflowPunct w:val="0"/>
                  <w:autoSpaceDE w:val="0"/>
                  <w:autoSpaceDN w:val="0"/>
                  <w:adjustRightInd w:val="0"/>
                  <w:snapToGrid w:val="0"/>
                  <w:rPr>
                    <w:szCs w:val="21"/>
                  </w:rPr>
                </w:pPr>
                <w:r>
                  <w:rPr>
                    <w:rFonts w:hint="eastAsia"/>
                    <w:szCs w:val="21"/>
                  </w:rPr>
                  <w:t>《中国证券报》《上海证券报》《证券日报》</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4140" w:type="dxa"/>
            <w:tcBorders>
              <w:top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szCs w:val="21"/>
              </w:rPr>
            </w:pPr>
            <w:r>
              <w:rPr>
                <w:rFonts w:hint="eastAsia"/>
                <w:szCs w:val="21"/>
              </w:rPr>
              <w:t>公司披露年度报告的证券交易所</w:t>
            </w:r>
            <w:r>
              <w:rPr>
                <w:szCs w:val="21"/>
              </w:rPr>
              <w:t>网址</w:t>
            </w:r>
          </w:p>
        </w:tc>
        <w:tc>
          <w:tcPr>
            <w:tcW w:w="4752" w:type="dxa"/>
            <w:tcBorders>
              <w:top w:val="single" w:color="auto" w:sz="4" w:space="0"/>
              <w:left w:val="single" w:color="auto" w:sz="4" w:space="0"/>
              <w:bottom w:val="single" w:color="auto" w:sz="4" w:space="0"/>
            </w:tcBorders>
            <w:vAlign w:val="center"/>
          </w:tcPr>
          <w:p>
            <w:pPr>
              <w:kinsoku w:val="0"/>
              <w:overflowPunct w:val="0"/>
              <w:autoSpaceDE w:val="0"/>
              <w:autoSpaceDN w:val="0"/>
              <w:adjustRightInd w:val="0"/>
              <w:snapToGrid w:val="0"/>
              <w:rPr>
                <w:szCs w:val="21"/>
              </w:rPr>
            </w:pPr>
            <w:r>
              <w:rPr>
                <w:rFonts w:hint="eastAsia"/>
                <w:color w:val="auto"/>
                <w:szCs w:val="21"/>
              </w:rPr>
              <w:t>www.sse.com.cn</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4140" w:type="dxa"/>
            <w:tcBorders>
              <w:top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rPr>
                <w:szCs w:val="21"/>
              </w:rPr>
            </w:pPr>
            <w:r>
              <w:rPr>
                <w:szCs w:val="21"/>
              </w:rPr>
              <w:t>公司年度报告备置地点</w:t>
            </w:r>
          </w:p>
        </w:tc>
        <w:tc>
          <w:tcPr>
            <w:tcW w:w="4752" w:type="dxa"/>
            <w:tcBorders>
              <w:top w:val="single" w:color="auto" w:sz="4" w:space="0"/>
              <w:left w:val="single" w:color="auto" w:sz="4" w:space="0"/>
              <w:bottom w:val="single" w:color="auto" w:sz="4" w:space="0"/>
            </w:tcBorders>
            <w:vAlign w:val="center"/>
          </w:tcPr>
          <w:p>
            <w:pPr>
              <w:kinsoku w:val="0"/>
              <w:overflowPunct w:val="0"/>
              <w:autoSpaceDE w:val="0"/>
              <w:autoSpaceDN w:val="0"/>
              <w:adjustRightInd w:val="0"/>
              <w:snapToGrid w:val="0"/>
              <w:rPr>
                <w:rFonts w:hint="eastAsia"/>
                <w:szCs w:val="21"/>
              </w:rPr>
            </w:pPr>
            <w:r>
              <w:rPr>
                <w:rFonts w:hint="eastAsia"/>
                <w:color w:val="auto"/>
                <w:szCs w:val="21"/>
              </w:rPr>
              <w:t>本公司董事会办公室</w:t>
            </w:r>
          </w:p>
        </w:tc>
      </w:tr>
    </w:tbl>
    <w:p/>
    <w:p>
      <w:pPr>
        <w:pStyle w:val="3"/>
        <w:numPr>
          <w:ilvl w:val="1"/>
          <w:numId w:val="4"/>
        </w:numPr>
        <w:ind w:left="566" w:hanging="498" w:hangingChars="236"/>
      </w:pPr>
      <w:bookmarkStart w:id="21" w:name="_Toc342565885"/>
      <w:bookmarkStart w:id="22" w:name="_Toc342051045"/>
      <w:r>
        <w:rPr>
          <w:rFonts w:hint="eastAsia"/>
        </w:rPr>
        <w:t>公司股票简况</w:t>
      </w:r>
      <w:bookmarkEnd w:id="21"/>
      <w:bookmarkEnd w:id="22"/>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0" w:type="dxa"/>
          <w:bottom w:w="0" w:type="dxa"/>
          <w:right w:w="30" w:type="dxa"/>
        </w:tblCellMar>
      </w:tblPr>
      <w:tblGrid>
        <w:gridCol w:w="1778"/>
        <w:gridCol w:w="1778"/>
        <w:gridCol w:w="1778"/>
        <w:gridCol w:w="1778"/>
        <w:gridCol w:w="177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8893" w:type="dxa"/>
            <w:gridSpan w:val="5"/>
            <w:tcBorders>
              <w:top w:val="single" w:color="auto" w:sz="4" w:space="0"/>
              <w:bottom w:val="single" w:color="auto" w:sz="4" w:space="0"/>
            </w:tcBorders>
            <w:vAlign w:val="center"/>
          </w:tcPr>
          <w:sdt>
            <w:sdtPr>
              <w:tag w:val="_PLD_71e874b79d5946dfbee802d1ebcf10a8"/>
              <w:id w:val="5646"/>
            </w:sdtPr>
            <w:sdtContent>
              <w:p>
                <w:pPr>
                  <w:kinsoku w:val="0"/>
                  <w:overflowPunct w:val="0"/>
                  <w:autoSpaceDE w:val="0"/>
                  <w:autoSpaceDN w:val="0"/>
                  <w:adjustRightInd w:val="0"/>
                  <w:snapToGrid w:val="0"/>
                  <w:jc w:val="center"/>
                  <w:rPr>
                    <w:szCs w:val="21"/>
                  </w:rPr>
                </w:pPr>
                <w:r>
                  <w:rPr>
                    <w:rFonts w:hint="eastAsia"/>
                    <w:szCs w:val="21"/>
                  </w:rPr>
                  <w:t>公司股票简况</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1778" w:type="dxa"/>
            <w:tcBorders>
              <w:top w:val="single" w:color="auto" w:sz="4" w:space="0"/>
              <w:bottom w:val="single" w:color="auto" w:sz="4" w:space="0"/>
              <w:right w:val="single" w:color="auto" w:sz="4" w:space="0"/>
            </w:tcBorders>
            <w:vAlign w:val="center"/>
          </w:tcPr>
          <w:sdt>
            <w:sdtPr>
              <w:tag w:val="_PLD_8c7d8e96d5f4491aa9e7c3c601503603"/>
              <w:id w:val="5647"/>
            </w:sdtPr>
            <w:sdtContent>
              <w:p>
                <w:pPr>
                  <w:kinsoku w:val="0"/>
                  <w:overflowPunct w:val="0"/>
                  <w:autoSpaceDE w:val="0"/>
                  <w:autoSpaceDN w:val="0"/>
                  <w:adjustRightInd w:val="0"/>
                  <w:snapToGrid w:val="0"/>
                  <w:jc w:val="center"/>
                  <w:rPr>
                    <w:szCs w:val="21"/>
                  </w:rPr>
                </w:pPr>
                <w:r>
                  <w:rPr>
                    <w:rFonts w:hint="eastAsia"/>
                    <w:szCs w:val="21"/>
                  </w:rPr>
                  <w:t>股票种类</w:t>
                </w:r>
              </w:p>
            </w:sdtContent>
          </w:sdt>
        </w:tc>
        <w:tc>
          <w:tcPr>
            <w:tcW w:w="1778" w:type="dxa"/>
            <w:tcBorders>
              <w:top w:val="single" w:color="auto" w:sz="4" w:space="0"/>
              <w:left w:val="single" w:color="auto" w:sz="4" w:space="0"/>
              <w:bottom w:val="single" w:color="auto" w:sz="4" w:space="0"/>
              <w:right w:val="single" w:color="auto" w:sz="4" w:space="0"/>
            </w:tcBorders>
            <w:vAlign w:val="center"/>
          </w:tcPr>
          <w:sdt>
            <w:sdtPr>
              <w:tag w:val="_PLD_b56a72f5279041b38925f5228f2089f6"/>
              <w:id w:val="5648"/>
            </w:sdtPr>
            <w:sdtContent>
              <w:p>
                <w:pPr>
                  <w:kinsoku w:val="0"/>
                  <w:overflowPunct w:val="0"/>
                  <w:autoSpaceDE w:val="0"/>
                  <w:autoSpaceDN w:val="0"/>
                  <w:adjustRightInd w:val="0"/>
                  <w:snapToGrid w:val="0"/>
                  <w:jc w:val="center"/>
                  <w:rPr>
                    <w:szCs w:val="21"/>
                  </w:rPr>
                </w:pPr>
                <w:r>
                  <w:rPr>
                    <w:rFonts w:hint="eastAsia"/>
                    <w:szCs w:val="21"/>
                  </w:rPr>
                  <w:t>股票上市交易所</w:t>
                </w:r>
              </w:p>
            </w:sdtContent>
          </w:sdt>
        </w:tc>
        <w:tc>
          <w:tcPr>
            <w:tcW w:w="1778" w:type="dxa"/>
            <w:tcBorders>
              <w:top w:val="single" w:color="auto" w:sz="4" w:space="0"/>
              <w:left w:val="single" w:color="auto" w:sz="4" w:space="0"/>
              <w:bottom w:val="single" w:color="auto" w:sz="4" w:space="0"/>
              <w:right w:val="single" w:color="auto" w:sz="4" w:space="0"/>
            </w:tcBorders>
            <w:vAlign w:val="center"/>
          </w:tcPr>
          <w:sdt>
            <w:sdtPr>
              <w:tag w:val="_PLD_6dd4e584e21c4367b3dfe6f7f5c64696"/>
              <w:id w:val="5649"/>
            </w:sdtPr>
            <w:sdtContent>
              <w:p>
                <w:pPr>
                  <w:kinsoku w:val="0"/>
                  <w:overflowPunct w:val="0"/>
                  <w:autoSpaceDE w:val="0"/>
                  <w:autoSpaceDN w:val="0"/>
                  <w:adjustRightInd w:val="0"/>
                  <w:snapToGrid w:val="0"/>
                  <w:jc w:val="center"/>
                  <w:rPr>
                    <w:szCs w:val="21"/>
                  </w:rPr>
                </w:pPr>
                <w:r>
                  <w:rPr>
                    <w:rFonts w:hint="eastAsia"/>
                    <w:szCs w:val="21"/>
                  </w:rPr>
                  <w:t>股票简称</w:t>
                </w:r>
              </w:p>
            </w:sdtContent>
          </w:sdt>
        </w:tc>
        <w:tc>
          <w:tcPr>
            <w:tcW w:w="1778" w:type="dxa"/>
            <w:tcBorders>
              <w:top w:val="single" w:color="auto" w:sz="4" w:space="0"/>
              <w:left w:val="single" w:color="auto" w:sz="4" w:space="0"/>
              <w:bottom w:val="single" w:color="auto" w:sz="4" w:space="0"/>
              <w:right w:val="single" w:color="auto" w:sz="4" w:space="0"/>
            </w:tcBorders>
            <w:vAlign w:val="center"/>
          </w:tcPr>
          <w:sdt>
            <w:sdtPr>
              <w:tag w:val="_PLD_e6f819a9bdc4409c94aa103da8c19dc3"/>
              <w:id w:val="5650"/>
            </w:sdtPr>
            <w:sdtContent>
              <w:p>
                <w:pPr>
                  <w:kinsoku w:val="0"/>
                  <w:overflowPunct w:val="0"/>
                  <w:autoSpaceDE w:val="0"/>
                  <w:autoSpaceDN w:val="0"/>
                  <w:adjustRightInd w:val="0"/>
                  <w:snapToGrid w:val="0"/>
                  <w:jc w:val="center"/>
                  <w:rPr>
                    <w:szCs w:val="21"/>
                  </w:rPr>
                </w:pPr>
                <w:r>
                  <w:rPr>
                    <w:rFonts w:hint="eastAsia"/>
                    <w:szCs w:val="21"/>
                  </w:rPr>
                  <w:t>股票代码</w:t>
                </w:r>
              </w:p>
            </w:sdtContent>
          </w:sdt>
        </w:tc>
        <w:tc>
          <w:tcPr>
            <w:tcW w:w="1778" w:type="dxa"/>
            <w:tcBorders>
              <w:top w:val="single" w:color="auto" w:sz="4" w:space="0"/>
              <w:left w:val="single" w:color="auto" w:sz="4" w:space="0"/>
              <w:bottom w:val="single" w:color="auto" w:sz="4" w:space="0"/>
            </w:tcBorders>
            <w:vAlign w:val="center"/>
          </w:tcPr>
          <w:sdt>
            <w:sdtPr>
              <w:tag w:val="_PLD_ca5cfb3ed3b74ffa856f651b379dc207"/>
              <w:id w:val="5651"/>
            </w:sdtPr>
            <w:sdtContent>
              <w:p>
                <w:pPr>
                  <w:kinsoku w:val="0"/>
                  <w:overflowPunct w:val="0"/>
                  <w:autoSpaceDE w:val="0"/>
                  <w:autoSpaceDN w:val="0"/>
                  <w:adjustRightInd w:val="0"/>
                  <w:snapToGrid w:val="0"/>
                  <w:jc w:val="center"/>
                  <w:rPr>
                    <w:szCs w:val="21"/>
                  </w:rPr>
                </w:pPr>
                <w:r>
                  <w:rPr>
                    <w:rFonts w:hint="eastAsia"/>
                    <w:szCs w:val="21"/>
                  </w:rPr>
                  <w:t>变更前股票简称</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1778" w:type="dxa"/>
            <w:tcBorders>
              <w:top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jc w:val="center"/>
              <w:rPr>
                <w:rFonts w:hint="eastAsia"/>
                <w:szCs w:val="21"/>
              </w:rPr>
            </w:pPr>
            <w:r>
              <w:rPr>
                <w:rFonts w:hint="eastAsia"/>
                <w:color w:val="auto"/>
                <w:szCs w:val="21"/>
              </w:rPr>
              <w:t>A股</w:t>
            </w:r>
          </w:p>
        </w:tc>
        <w:tc>
          <w:tcPr>
            <w:tcW w:w="1778" w:type="dxa"/>
            <w:tcBorders>
              <w:top w:val="single" w:color="auto" w:sz="4" w:space="0"/>
              <w:left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jc w:val="center"/>
              <w:rPr>
                <w:rFonts w:hint="eastAsia"/>
                <w:szCs w:val="21"/>
              </w:rPr>
            </w:pPr>
            <w:r>
              <w:rPr>
                <w:rFonts w:hint="eastAsia"/>
                <w:color w:val="auto"/>
                <w:szCs w:val="21"/>
              </w:rPr>
              <w:t>上海证券交易所</w:t>
            </w:r>
          </w:p>
        </w:tc>
        <w:tc>
          <w:tcPr>
            <w:tcW w:w="1778" w:type="dxa"/>
            <w:tcBorders>
              <w:top w:val="single" w:color="auto" w:sz="4" w:space="0"/>
              <w:left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jc w:val="center"/>
              <w:rPr>
                <w:rFonts w:hint="eastAsia"/>
                <w:szCs w:val="21"/>
              </w:rPr>
            </w:pPr>
            <w:r>
              <w:rPr>
                <w:rFonts w:hint="eastAsia"/>
                <w:color w:val="auto"/>
                <w:szCs w:val="21"/>
              </w:rPr>
              <w:t>两面针</w:t>
            </w:r>
          </w:p>
        </w:tc>
        <w:tc>
          <w:tcPr>
            <w:tcW w:w="1778" w:type="dxa"/>
            <w:tcBorders>
              <w:top w:val="single" w:color="auto" w:sz="4" w:space="0"/>
              <w:left w:val="single" w:color="auto" w:sz="4" w:space="0"/>
              <w:bottom w:val="single" w:color="auto" w:sz="4" w:space="0"/>
              <w:right w:val="single" w:color="auto" w:sz="4" w:space="0"/>
            </w:tcBorders>
            <w:vAlign w:val="center"/>
          </w:tcPr>
          <w:p>
            <w:pPr>
              <w:kinsoku w:val="0"/>
              <w:overflowPunct w:val="0"/>
              <w:autoSpaceDE w:val="0"/>
              <w:autoSpaceDN w:val="0"/>
              <w:adjustRightInd w:val="0"/>
              <w:snapToGrid w:val="0"/>
              <w:jc w:val="center"/>
              <w:rPr>
                <w:rFonts w:hint="eastAsia"/>
                <w:szCs w:val="21"/>
              </w:rPr>
            </w:pPr>
            <w:r>
              <w:rPr>
                <w:rFonts w:hint="eastAsia"/>
                <w:color w:val="auto"/>
                <w:szCs w:val="21"/>
              </w:rPr>
              <w:t>600249</w:t>
            </w:r>
          </w:p>
        </w:tc>
        <w:tc>
          <w:tcPr>
            <w:tcW w:w="1778" w:type="dxa"/>
            <w:tcBorders>
              <w:top w:val="single" w:color="auto" w:sz="4" w:space="0"/>
              <w:left w:val="single" w:color="auto" w:sz="4" w:space="0"/>
              <w:bottom w:val="single" w:color="auto" w:sz="4" w:space="0"/>
            </w:tcBorders>
            <w:vAlign w:val="center"/>
          </w:tcPr>
          <w:p>
            <w:pPr>
              <w:kinsoku w:val="0"/>
              <w:overflowPunct w:val="0"/>
              <w:autoSpaceDE w:val="0"/>
              <w:autoSpaceDN w:val="0"/>
              <w:adjustRightInd w:val="0"/>
              <w:snapToGrid w:val="0"/>
              <w:jc w:val="center"/>
              <w:rPr>
                <w:rFonts w:hint="eastAsia"/>
                <w:szCs w:val="21"/>
              </w:rPr>
            </w:pPr>
            <w:r>
              <w:rPr>
                <w:rFonts w:hint="eastAsia"/>
                <w:color w:val="auto"/>
                <w:szCs w:val="21"/>
              </w:rPr>
              <w:t>/</w:t>
            </w:r>
          </w:p>
        </w:tc>
      </w:tr>
    </w:tbl>
    <w:p>
      <w:pPr>
        <w:rPr>
          <w:color w:val="0070C0"/>
        </w:rPr>
      </w:pPr>
    </w:p>
    <w:p>
      <w:pPr>
        <w:pStyle w:val="3"/>
        <w:numPr>
          <w:ilvl w:val="1"/>
          <w:numId w:val="4"/>
        </w:numPr>
        <w:ind w:left="496" w:hanging="498" w:hangingChars="236"/>
      </w:pPr>
      <w:r>
        <w:t>其他</w:t>
      </w:r>
      <w:r>
        <w:rPr>
          <w:rFonts w:hint="eastAsia"/>
        </w:rPr>
        <w:t>相</w:t>
      </w:r>
      <w:r>
        <w:t>关资料</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1"/>
        <w:gridCol w:w="1868"/>
        <w:gridCol w:w="4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2561" w:type="dxa"/>
            <w:vMerge w:val="restart"/>
            <w:vAlign w:val="center"/>
          </w:tcPr>
          <w:sdt>
            <w:sdtPr>
              <w:tag w:val="_PLD_e6bf57c678134e2ab9f21f313ee3de3c"/>
              <w:id w:val="5652"/>
            </w:sdtPr>
            <w:sdtContent>
              <w:p>
                <w:pPr>
                  <w:widowControl w:val="0"/>
                  <w:jc w:val="both"/>
                  <w:rPr>
                    <w:szCs w:val="21"/>
                  </w:rPr>
                </w:pPr>
                <w:r>
                  <w:rPr>
                    <w:rFonts w:hint="eastAsia"/>
                    <w:szCs w:val="21"/>
                  </w:rPr>
                  <w:t>公司聘请的会计师事务所（境内）</w:t>
                </w:r>
              </w:p>
            </w:sdtContent>
          </w:sdt>
        </w:tc>
        <w:tc>
          <w:tcPr>
            <w:tcW w:w="1868" w:type="dxa"/>
            <w:vAlign w:val="center"/>
          </w:tcPr>
          <w:sdt>
            <w:sdtPr>
              <w:tag w:val="_PLD_8ca47cc04c324c599365d04f46dbfb0f"/>
              <w:id w:val="5653"/>
            </w:sdtPr>
            <w:sdtContent>
              <w:p>
                <w:pPr>
                  <w:widowControl w:val="0"/>
                  <w:jc w:val="both"/>
                  <w:rPr>
                    <w:szCs w:val="21"/>
                  </w:rPr>
                </w:pPr>
                <w:r>
                  <w:rPr>
                    <w:rFonts w:hint="eastAsia"/>
                    <w:szCs w:val="21"/>
                  </w:rPr>
                  <w:t>名称</w:t>
                </w:r>
              </w:p>
            </w:sdtContent>
          </w:sdt>
        </w:tc>
        <w:tc>
          <w:tcPr>
            <w:tcW w:w="4617" w:type="dxa"/>
            <w:vAlign w:val="center"/>
          </w:tcPr>
          <w:sdt>
            <w:sdtPr>
              <w:rPr>
                <w:rFonts w:hint="eastAsia"/>
                <w:szCs w:val="21"/>
              </w:rPr>
              <w:alias w:val="公司聘请的境内会计师事务所明细-名称"/>
              <w:tag w:val="_GBC_5e101497eaf44ba79cb610647f4aa3d5"/>
              <w:id w:val="5654"/>
            </w:sdtPr>
            <w:sdtEndPr>
              <w:rPr>
                <w:rFonts w:hint="eastAsia"/>
                <w:szCs w:val="21"/>
              </w:rPr>
            </w:sdtEndPr>
            <w:sdtContent>
              <w:p>
                <w:pPr>
                  <w:widowControl w:val="0"/>
                  <w:jc w:val="both"/>
                  <w:rPr>
                    <w:szCs w:val="21"/>
                  </w:rPr>
                </w:pPr>
                <w:r>
                  <w:rPr>
                    <w:rFonts w:hint="eastAsia"/>
                    <w:szCs w:val="21"/>
                  </w:rPr>
                  <w:t>中喜会计师事务所（特殊普通合伙）</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2561" w:type="dxa"/>
            <w:vMerge w:val="continue"/>
            <w:vAlign w:val="center"/>
          </w:tcPr>
          <w:p>
            <w:pPr>
              <w:widowControl w:val="0"/>
              <w:jc w:val="both"/>
              <w:rPr>
                <w:szCs w:val="21"/>
              </w:rPr>
            </w:pPr>
          </w:p>
        </w:tc>
        <w:tc>
          <w:tcPr>
            <w:tcW w:w="1868" w:type="dxa"/>
            <w:vAlign w:val="center"/>
          </w:tcPr>
          <w:p>
            <w:pPr>
              <w:widowControl w:val="0"/>
              <w:jc w:val="both"/>
              <w:rPr>
                <w:szCs w:val="21"/>
              </w:rPr>
            </w:pPr>
            <w:r>
              <w:rPr>
                <w:rFonts w:hint="eastAsia"/>
                <w:szCs w:val="21"/>
              </w:rPr>
              <w:t>办公地址</w:t>
            </w:r>
          </w:p>
        </w:tc>
        <w:tc>
          <w:tcPr>
            <w:tcW w:w="4617" w:type="dxa"/>
            <w:vAlign w:val="center"/>
          </w:tcPr>
          <w:p>
            <w:pPr>
              <w:widowControl w:val="0"/>
              <w:jc w:val="both"/>
              <w:rPr>
                <w:szCs w:val="21"/>
              </w:rPr>
            </w:pPr>
            <w:r>
              <w:rPr>
                <w:rFonts w:hint="eastAsia"/>
                <w:color w:val="auto"/>
                <w:szCs w:val="21"/>
              </w:rPr>
              <w:t>北京市东城区崇文门外大街11号11层1101室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2561" w:type="dxa"/>
            <w:vMerge w:val="continue"/>
            <w:vAlign w:val="center"/>
          </w:tcPr>
          <w:p>
            <w:pPr>
              <w:widowControl w:val="0"/>
              <w:jc w:val="both"/>
              <w:rPr>
                <w:szCs w:val="21"/>
              </w:rPr>
            </w:pPr>
          </w:p>
        </w:tc>
        <w:tc>
          <w:tcPr>
            <w:tcW w:w="1868" w:type="dxa"/>
            <w:vAlign w:val="center"/>
          </w:tcPr>
          <w:p>
            <w:pPr>
              <w:widowControl w:val="0"/>
              <w:jc w:val="both"/>
              <w:rPr>
                <w:szCs w:val="21"/>
              </w:rPr>
            </w:pPr>
            <w:r>
              <w:rPr>
                <w:rFonts w:hint="eastAsia"/>
                <w:szCs w:val="21"/>
              </w:rPr>
              <w:t>签字会计师姓名</w:t>
            </w:r>
          </w:p>
        </w:tc>
        <w:tc>
          <w:tcPr>
            <w:tcW w:w="4617" w:type="dxa"/>
            <w:vAlign w:val="center"/>
          </w:tcPr>
          <w:p>
            <w:pPr>
              <w:widowControl w:val="0"/>
              <w:jc w:val="both"/>
              <w:rPr>
                <w:szCs w:val="21"/>
              </w:rPr>
            </w:pPr>
            <w:r>
              <w:rPr>
                <w:rFonts w:hint="eastAsia"/>
                <w:color w:val="auto"/>
                <w:szCs w:val="21"/>
              </w:rPr>
              <w:t>饶世旗、张丽</w:t>
            </w:r>
          </w:p>
        </w:tc>
      </w:tr>
    </w:tbl>
    <w:p/>
    <w:p>
      <w:pPr>
        <w:pStyle w:val="3"/>
        <w:numPr>
          <w:ilvl w:val="1"/>
          <w:numId w:val="4"/>
        </w:numPr>
        <w:ind w:left="498" w:hanging="498" w:hangingChars="236"/>
      </w:pPr>
      <w:bookmarkStart w:id="23" w:name="_Toc342056397"/>
      <w:bookmarkStart w:id="24" w:name="_Toc342565889"/>
      <w:r>
        <w:rPr>
          <w:rFonts w:hint="eastAsia"/>
        </w:rPr>
        <w:t>近三年主要会计数据和财务指标</w:t>
      </w:r>
      <w:bookmarkEnd w:id="23"/>
      <w:bookmarkEnd w:id="24"/>
    </w:p>
    <w:p>
      <w:pPr>
        <w:pStyle w:val="4"/>
        <w:numPr>
          <w:ilvl w:val="1"/>
          <w:numId w:val="5"/>
        </w:numPr>
      </w:pPr>
      <w:r>
        <w:rPr>
          <w:rFonts w:hint="eastAsia"/>
        </w:rPr>
        <w:t>主要会计数据</w:t>
      </w:r>
    </w:p>
    <w:p>
      <w:pPr>
        <w:jc w:val="right"/>
        <w:rPr>
          <w:szCs w:val="21"/>
        </w:rPr>
      </w:pPr>
      <w:r>
        <w:rPr>
          <w:rFonts w:hint="eastAsia"/>
          <w:szCs w:val="21"/>
        </w:rPr>
        <w:t>单位：</w:t>
      </w:r>
      <w:sdt>
        <w:sdtPr>
          <w:rPr>
            <w:rFonts w:hint="eastAsia"/>
            <w:szCs w:val="21"/>
          </w:rPr>
          <w:alias w:val="单位：报告期末公司前三年主要会计数据和财务指标"/>
          <w:tag w:val="_GBC_831bf622af014dd988d7abf34a230ded"/>
          <w:id w:val="56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966177366f0d4256ae6aac54dd779761"/>
          <w:id w:val="565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sdt>
      <w:sdtPr>
        <w:rPr>
          <w:rFonts w:hint="eastAsia"/>
        </w:rPr>
        <w:alias w:val="选项模块:主要会计数据(无追溯)"/>
        <w:tag w:val="_SEC_054de9a865fc43068e5affd816d52d7b"/>
        <w:id w:val="5657"/>
        <w:placeholder>
          <w:docPart w:val="GBC22222222222222222222222222222"/>
        </w:placeholder>
      </w:sdtPr>
      <w:sdtEndPr>
        <w:rPr>
          <w:rFonts w:hint="default"/>
        </w:rPr>
      </w:sdtEndPr>
      <w:sdtContent>
        <w:tbl>
          <w:tblPr>
            <w:tblStyle w:val="39"/>
            <w:tblW w:w="0" w:type="auto"/>
            <w:tblInd w:w="-3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923"/>
            <w:gridCol w:w="1800"/>
            <w:gridCol w:w="1813"/>
            <w:gridCol w:w="1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168" w:type="dxa"/>
                <w:vAlign w:val="center"/>
              </w:tcPr>
              <w:sdt>
                <w:sdtPr>
                  <w:tag w:val="_PLD_11b4c598f0e64f3480d144156bedd8c8"/>
                  <w:id w:val="5658"/>
                </w:sdtPr>
                <w:sdtEndPr>
                  <w:rPr>
                    <w:rFonts w:hint="default"/>
                  </w:rPr>
                </w:sdtEndPr>
                <w:sdtContent>
                  <w:p>
                    <w:pPr>
                      <w:widowControl w:val="0"/>
                      <w:kinsoku w:val="0"/>
                      <w:overflowPunct w:val="0"/>
                      <w:autoSpaceDE w:val="0"/>
                      <w:autoSpaceDN w:val="0"/>
                      <w:adjustRightInd w:val="0"/>
                      <w:snapToGrid w:val="0"/>
                      <w:jc w:val="center"/>
                      <w:rPr>
                        <w:szCs w:val="21"/>
                      </w:rPr>
                    </w:pPr>
                    <w:r>
                      <w:rPr>
                        <w:rFonts w:hint="eastAsia"/>
                        <w:szCs w:val="21"/>
                      </w:rPr>
                      <w:t>主要会计数据</w:t>
                    </w:r>
                  </w:p>
                </w:sdtContent>
              </w:sdt>
            </w:tc>
            <w:tc>
              <w:tcPr>
                <w:tcW w:w="1923" w:type="dxa"/>
                <w:vAlign w:val="center"/>
              </w:tcPr>
              <w:sdt>
                <w:sdtPr>
                  <w:tag w:val="_PLD_b13b04da4c2a41028c11512814762a3d"/>
                  <w:id w:val="5659"/>
                </w:sdtPr>
                <w:sdtContent>
                  <w:p>
                    <w:pPr>
                      <w:widowControl w:val="0"/>
                      <w:kinsoku w:val="0"/>
                      <w:overflowPunct w:val="0"/>
                      <w:autoSpaceDE w:val="0"/>
                      <w:autoSpaceDN w:val="0"/>
                      <w:adjustRightInd w:val="0"/>
                      <w:snapToGrid w:val="0"/>
                      <w:jc w:val="center"/>
                      <w:rPr>
                        <w:szCs w:val="21"/>
                      </w:rPr>
                    </w:pPr>
                    <w:r>
                      <w:rPr>
                        <w:rFonts w:hint="eastAsia"/>
                        <w:szCs w:val="21"/>
                      </w:rPr>
                      <w:t>2025年</w:t>
                    </w:r>
                  </w:p>
                </w:sdtContent>
              </w:sdt>
            </w:tc>
            <w:tc>
              <w:tcPr>
                <w:tcW w:w="1800" w:type="dxa"/>
                <w:vAlign w:val="center"/>
              </w:tcPr>
              <w:sdt>
                <w:sdtPr>
                  <w:tag w:val="_PLD_0269ed04fa784ad3a61b37ff6ea4e755"/>
                  <w:id w:val="5660"/>
                </w:sdtPr>
                <w:sdtContent>
                  <w:p>
                    <w:pPr>
                      <w:widowControl w:val="0"/>
                      <w:kinsoku w:val="0"/>
                      <w:overflowPunct w:val="0"/>
                      <w:autoSpaceDE w:val="0"/>
                      <w:autoSpaceDN w:val="0"/>
                      <w:adjustRightInd w:val="0"/>
                      <w:snapToGrid w:val="0"/>
                      <w:jc w:val="center"/>
                      <w:rPr>
                        <w:szCs w:val="21"/>
                      </w:rPr>
                    </w:pPr>
                    <w:r>
                      <w:rPr>
                        <w:rFonts w:hint="eastAsia"/>
                        <w:szCs w:val="21"/>
                      </w:rPr>
                      <w:t>2024年</w:t>
                    </w:r>
                  </w:p>
                </w:sdtContent>
              </w:sdt>
            </w:tc>
            <w:tc>
              <w:tcPr>
                <w:tcW w:w="1813" w:type="dxa"/>
                <w:vAlign w:val="center"/>
              </w:tcPr>
              <w:sdt>
                <w:sdtPr>
                  <w:tag w:val="_PLD_04887d69202349c58f450c785cfaef93"/>
                  <w:id w:val="5661"/>
                </w:sdtPr>
                <w:sdtContent>
                  <w:p>
                    <w:pPr>
                      <w:widowControl w:val="0"/>
                      <w:kinsoku w:val="0"/>
                      <w:overflowPunct w:val="0"/>
                      <w:autoSpaceDE w:val="0"/>
                      <w:autoSpaceDN w:val="0"/>
                      <w:adjustRightInd w:val="0"/>
                      <w:snapToGrid w:val="0"/>
                      <w:jc w:val="center"/>
                      <w:rPr>
                        <w:szCs w:val="21"/>
                      </w:rPr>
                    </w:pPr>
                    <w:r>
                      <w:rPr>
                        <w:rFonts w:hint="eastAsia"/>
                        <w:szCs w:val="21"/>
                      </w:rPr>
                      <w:t>本期比上年同期增减</w:t>
                    </w:r>
                    <w:r>
                      <w:rPr>
                        <w:szCs w:val="21"/>
                      </w:rPr>
                      <w:t>(%)</w:t>
                    </w:r>
                  </w:p>
                </w:sdtContent>
              </w:sdt>
            </w:tc>
            <w:tc>
              <w:tcPr>
                <w:tcW w:w="1741" w:type="dxa"/>
                <w:vAlign w:val="center"/>
              </w:tcPr>
              <w:sdt>
                <w:sdtPr>
                  <w:tag w:val="_PLD_cf8d3caaf1bc4b2eb15a4b6e1b823368"/>
                  <w:id w:val="5662"/>
                </w:sdtPr>
                <w:sdtContent>
                  <w:p>
                    <w:pPr>
                      <w:widowControl w:val="0"/>
                      <w:kinsoku w:val="0"/>
                      <w:overflowPunct w:val="0"/>
                      <w:autoSpaceDE w:val="0"/>
                      <w:autoSpaceDN w:val="0"/>
                      <w:adjustRightInd w:val="0"/>
                      <w:snapToGrid w:val="0"/>
                      <w:jc w:val="center"/>
                      <w:rPr>
                        <w:szCs w:val="21"/>
                      </w:rPr>
                    </w:pPr>
                    <w:r>
                      <w:rPr>
                        <w:rFonts w:hint="eastAsia"/>
                        <w:szCs w:val="21"/>
                      </w:rPr>
                      <w:t>2023年</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68" w:type="dxa"/>
                <w:vAlign w:val="center"/>
              </w:tcPr>
              <w:p>
                <w:pPr>
                  <w:widowControl w:val="0"/>
                  <w:kinsoku w:val="0"/>
                  <w:overflowPunct w:val="0"/>
                  <w:autoSpaceDE w:val="0"/>
                  <w:autoSpaceDN w:val="0"/>
                  <w:adjustRightInd w:val="0"/>
                  <w:snapToGrid w:val="0"/>
                  <w:jc w:val="both"/>
                  <w:rPr>
                    <w:szCs w:val="21"/>
                  </w:rPr>
                </w:pPr>
                <w:r>
                  <w:rPr>
                    <w:rFonts w:hint="eastAsia"/>
                    <w:szCs w:val="21"/>
                  </w:rPr>
                  <w:t>营业收入</w:t>
                </w:r>
              </w:p>
            </w:tc>
            <w:tc>
              <w:tcPr>
                <w:tcW w:w="1923" w:type="dxa"/>
                <w:vAlign w:val="center"/>
              </w:tcPr>
              <w:p>
                <w:pPr>
                  <w:widowControl w:val="0"/>
                  <w:kinsoku w:val="0"/>
                  <w:overflowPunct w:val="0"/>
                  <w:autoSpaceDE w:val="0"/>
                  <w:autoSpaceDN w:val="0"/>
                  <w:adjustRightInd w:val="0"/>
                  <w:snapToGrid w:val="0"/>
                  <w:jc w:val="right"/>
                  <w:rPr>
                    <w:szCs w:val="21"/>
                  </w:rPr>
                </w:pPr>
                <w:r>
                  <w:rPr>
                    <w:rFonts w:hint="eastAsia"/>
                    <w:color w:val="auto"/>
                    <w:szCs w:val="21"/>
                  </w:rPr>
                  <w:t>1,062,576,709.88</w:t>
                </w:r>
              </w:p>
            </w:tc>
            <w:tc>
              <w:tcPr>
                <w:tcW w:w="1800" w:type="dxa"/>
                <w:vAlign w:val="center"/>
              </w:tcPr>
              <w:p>
                <w:pPr>
                  <w:widowControl w:val="0"/>
                  <w:kinsoku w:val="0"/>
                  <w:overflowPunct w:val="0"/>
                  <w:autoSpaceDE w:val="0"/>
                  <w:autoSpaceDN w:val="0"/>
                  <w:adjustRightInd w:val="0"/>
                  <w:snapToGrid w:val="0"/>
                  <w:jc w:val="right"/>
                  <w:rPr>
                    <w:bCs/>
                    <w:szCs w:val="21"/>
                  </w:rPr>
                </w:pPr>
                <w:r>
                  <w:rPr>
                    <w:rFonts w:hint="eastAsia"/>
                    <w:color w:val="auto"/>
                    <w:szCs w:val="21"/>
                  </w:rPr>
                  <w:t>1,053,051,877.62</w:t>
                </w:r>
              </w:p>
            </w:tc>
            <w:tc>
              <w:tcPr>
                <w:tcW w:w="1813" w:type="dxa"/>
                <w:vAlign w:val="center"/>
              </w:tcPr>
              <w:p>
                <w:pPr>
                  <w:widowControl w:val="0"/>
                  <w:kinsoku w:val="0"/>
                  <w:overflowPunct w:val="0"/>
                  <w:autoSpaceDE w:val="0"/>
                  <w:autoSpaceDN w:val="0"/>
                  <w:adjustRightInd w:val="0"/>
                  <w:snapToGrid w:val="0"/>
                  <w:jc w:val="right"/>
                  <w:rPr>
                    <w:szCs w:val="21"/>
                  </w:rPr>
                </w:pPr>
                <w:r>
                  <w:rPr>
                    <w:rFonts w:hint="eastAsia"/>
                    <w:color w:val="auto"/>
                  </w:rPr>
                  <w:t>0.90</w:t>
                </w:r>
              </w:p>
            </w:tc>
            <w:tc>
              <w:tcPr>
                <w:tcW w:w="1741" w:type="dxa"/>
                <w:vAlign w:val="center"/>
              </w:tcPr>
              <w:p>
                <w:pPr>
                  <w:widowControl w:val="0"/>
                  <w:kinsoku w:val="0"/>
                  <w:overflowPunct w:val="0"/>
                  <w:autoSpaceDE w:val="0"/>
                  <w:autoSpaceDN w:val="0"/>
                  <w:adjustRightInd w:val="0"/>
                  <w:snapToGrid w:val="0"/>
                  <w:jc w:val="right"/>
                  <w:rPr>
                    <w:szCs w:val="21"/>
                  </w:rPr>
                </w:pPr>
                <w:r>
                  <w:rPr>
                    <w:rFonts w:hint="eastAsia"/>
                    <w:color w:val="auto"/>
                    <w:szCs w:val="21"/>
                  </w:rPr>
                  <w:t>995,136,283.16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68" w:type="dxa"/>
                <w:vAlign w:val="center"/>
              </w:tcPr>
              <w:p>
                <w:pPr>
                  <w:widowControl w:val="0"/>
                  <w:kinsoku w:val="0"/>
                  <w:overflowPunct w:val="0"/>
                  <w:autoSpaceDE w:val="0"/>
                  <w:autoSpaceDN w:val="0"/>
                  <w:adjustRightInd w:val="0"/>
                  <w:snapToGrid w:val="0"/>
                  <w:jc w:val="both"/>
                </w:pPr>
                <w:r>
                  <w:rPr>
                    <w:rFonts w:hint="eastAsia"/>
                  </w:rPr>
                  <w:t>利润总额</w:t>
                </w:r>
              </w:p>
            </w:tc>
            <w:tc>
              <w:tcPr>
                <w:tcW w:w="1923" w:type="dxa"/>
                <w:vAlign w:val="center"/>
              </w:tcPr>
              <w:p>
                <w:pPr>
                  <w:widowControl w:val="0"/>
                  <w:kinsoku w:val="0"/>
                  <w:overflowPunct w:val="0"/>
                  <w:autoSpaceDE w:val="0"/>
                  <w:autoSpaceDN w:val="0"/>
                  <w:adjustRightInd w:val="0"/>
                  <w:snapToGrid w:val="0"/>
                  <w:jc w:val="right"/>
                  <w:rPr>
                    <w:szCs w:val="21"/>
                  </w:rPr>
                </w:pPr>
                <w:r>
                  <w:rPr>
                    <w:rStyle w:val="71"/>
                    <w:rFonts w:hint="eastAsia"/>
                    <w:color w:val="auto"/>
                  </w:rPr>
                  <w:t>10,561,161.28</w:t>
                </w:r>
              </w:p>
            </w:tc>
            <w:tc>
              <w:tcPr>
                <w:tcW w:w="1800" w:type="dxa"/>
                <w:vAlign w:val="center"/>
              </w:tcPr>
              <w:p>
                <w:pPr>
                  <w:widowControl w:val="0"/>
                  <w:kinsoku w:val="0"/>
                  <w:overflowPunct w:val="0"/>
                  <w:autoSpaceDE w:val="0"/>
                  <w:autoSpaceDN w:val="0"/>
                  <w:adjustRightInd w:val="0"/>
                  <w:snapToGrid w:val="0"/>
                  <w:jc w:val="right"/>
                  <w:rPr>
                    <w:bCs/>
                    <w:szCs w:val="21"/>
                  </w:rPr>
                </w:pPr>
                <w:r>
                  <w:rPr>
                    <w:rStyle w:val="71"/>
                    <w:rFonts w:hint="eastAsia"/>
                    <w:color w:val="auto"/>
                  </w:rPr>
                  <w:t>110,447,055.93</w:t>
                </w:r>
              </w:p>
            </w:tc>
            <w:tc>
              <w:tcPr>
                <w:tcW w:w="1813" w:type="dxa"/>
                <w:vAlign w:val="center"/>
              </w:tcPr>
              <w:p>
                <w:pPr>
                  <w:widowControl w:val="0"/>
                  <w:kinsoku w:val="0"/>
                  <w:overflowPunct w:val="0"/>
                  <w:autoSpaceDE w:val="0"/>
                  <w:autoSpaceDN w:val="0"/>
                  <w:adjustRightInd w:val="0"/>
                  <w:snapToGrid w:val="0"/>
                  <w:jc w:val="right"/>
                  <w:rPr>
                    <w:rFonts w:hint="eastAsia"/>
                    <w:szCs w:val="21"/>
                  </w:rPr>
                </w:pPr>
                <w:r>
                  <w:rPr>
                    <w:rStyle w:val="71"/>
                    <w:rFonts w:hint="eastAsia"/>
                    <w:color w:val="auto"/>
                  </w:rPr>
                  <w:t>-90.44</w:t>
                </w:r>
              </w:p>
            </w:tc>
            <w:tc>
              <w:tcPr>
                <w:tcW w:w="1741" w:type="dxa"/>
                <w:vAlign w:val="center"/>
              </w:tcPr>
              <w:p>
                <w:pPr>
                  <w:widowControl w:val="0"/>
                  <w:kinsoku w:val="0"/>
                  <w:overflowPunct w:val="0"/>
                  <w:autoSpaceDE w:val="0"/>
                  <w:autoSpaceDN w:val="0"/>
                  <w:adjustRightInd w:val="0"/>
                  <w:snapToGrid w:val="0"/>
                  <w:jc w:val="right"/>
                  <w:rPr>
                    <w:szCs w:val="21"/>
                  </w:rPr>
                </w:pPr>
                <w:r>
                  <w:rPr>
                    <w:rStyle w:val="71"/>
                    <w:rFonts w:hint="eastAsia"/>
                    <w:color w:val="auto"/>
                  </w:rPr>
                  <w:t>30,293,388.11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68" w:type="dxa"/>
                <w:vAlign w:val="center"/>
              </w:tcPr>
              <w:p>
                <w:pPr>
                  <w:widowControl w:val="0"/>
                  <w:kinsoku w:val="0"/>
                  <w:overflowPunct w:val="0"/>
                  <w:autoSpaceDE w:val="0"/>
                  <w:autoSpaceDN w:val="0"/>
                  <w:adjustRightInd w:val="0"/>
                  <w:snapToGrid w:val="0"/>
                  <w:jc w:val="both"/>
                  <w:rPr>
                    <w:szCs w:val="21"/>
                  </w:rPr>
                </w:pPr>
                <w:r>
                  <w:rPr>
                    <w:rFonts w:hint="eastAsia"/>
                    <w:szCs w:val="21"/>
                  </w:rPr>
                  <w:t>归属于上市公司股东的净利润</w:t>
                </w:r>
              </w:p>
            </w:tc>
            <w:tc>
              <w:tcPr>
                <w:tcW w:w="1923" w:type="dxa"/>
                <w:vAlign w:val="center"/>
              </w:tcPr>
              <w:p>
                <w:pPr>
                  <w:widowControl w:val="0"/>
                  <w:kinsoku w:val="0"/>
                  <w:overflowPunct w:val="0"/>
                  <w:autoSpaceDE w:val="0"/>
                  <w:autoSpaceDN w:val="0"/>
                  <w:adjustRightInd w:val="0"/>
                  <w:snapToGrid w:val="0"/>
                  <w:jc w:val="right"/>
                  <w:rPr>
                    <w:szCs w:val="21"/>
                  </w:rPr>
                </w:pPr>
                <w:r>
                  <w:rPr>
                    <w:rFonts w:hint="eastAsia"/>
                    <w:color w:val="auto"/>
                    <w:szCs w:val="21"/>
                  </w:rPr>
                  <w:t>9,846,147.90</w:t>
                </w:r>
              </w:p>
            </w:tc>
            <w:tc>
              <w:tcPr>
                <w:tcW w:w="1800" w:type="dxa"/>
                <w:vAlign w:val="center"/>
              </w:tcPr>
              <w:p>
                <w:pPr>
                  <w:widowControl w:val="0"/>
                  <w:kinsoku w:val="0"/>
                  <w:overflowPunct w:val="0"/>
                  <w:autoSpaceDE w:val="0"/>
                  <w:autoSpaceDN w:val="0"/>
                  <w:adjustRightInd w:val="0"/>
                  <w:snapToGrid w:val="0"/>
                  <w:jc w:val="right"/>
                  <w:rPr>
                    <w:bCs/>
                    <w:szCs w:val="21"/>
                  </w:rPr>
                </w:pPr>
                <w:r>
                  <w:rPr>
                    <w:rFonts w:hint="eastAsia"/>
                    <w:color w:val="auto"/>
                    <w:szCs w:val="21"/>
                  </w:rPr>
                  <w:t>81,098,815.85</w:t>
                </w:r>
              </w:p>
            </w:tc>
            <w:tc>
              <w:tcPr>
                <w:tcW w:w="1813" w:type="dxa"/>
                <w:vAlign w:val="center"/>
              </w:tcPr>
              <w:p>
                <w:pPr>
                  <w:widowControl w:val="0"/>
                  <w:kinsoku w:val="0"/>
                  <w:overflowPunct w:val="0"/>
                  <w:autoSpaceDE w:val="0"/>
                  <w:autoSpaceDN w:val="0"/>
                  <w:adjustRightInd w:val="0"/>
                  <w:snapToGrid w:val="0"/>
                  <w:jc w:val="right"/>
                  <w:rPr>
                    <w:szCs w:val="21"/>
                  </w:rPr>
                </w:pPr>
                <w:r>
                  <w:rPr>
                    <w:rFonts w:hint="eastAsia"/>
                    <w:color w:val="auto"/>
                  </w:rPr>
                  <w:t>-87.86</w:t>
                </w:r>
              </w:p>
            </w:tc>
            <w:tc>
              <w:tcPr>
                <w:tcW w:w="1741" w:type="dxa"/>
                <w:vAlign w:val="center"/>
              </w:tcPr>
              <w:p>
                <w:pPr>
                  <w:widowControl w:val="0"/>
                  <w:kinsoku w:val="0"/>
                  <w:overflowPunct w:val="0"/>
                  <w:autoSpaceDE w:val="0"/>
                  <w:autoSpaceDN w:val="0"/>
                  <w:adjustRightInd w:val="0"/>
                  <w:snapToGrid w:val="0"/>
                  <w:jc w:val="right"/>
                  <w:rPr>
                    <w:szCs w:val="21"/>
                  </w:rPr>
                </w:pPr>
                <w:r>
                  <w:rPr>
                    <w:rFonts w:hint="eastAsia"/>
                    <w:color w:val="auto"/>
                    <w:szCs w:val="21"/>
                  </w:rPr>
                  <w:t>22,806,658.88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68" w:type="dxa"/>
                <w:vAlign w:val="center"/>
              </w:tcPr>
              <w:p>
                <w:pPr>
                  <w:widowControl w:val="0"/>
                  <w:kinsoku w:val="0"/>
                  <w:overflowPunct w:val="0"/>
                  <w:autoSpaceDE w:val="0"/>
                  <w:autoSpaceDN w:val="0"/>
                  <w:adjustRightInd w:val="0"/>
                  <w:snapToGrid w:val="0"/>
                  <w:jc w:val="both"/>
                  <w:rPr>
                    <w:szCs w:val="21"/>
                  </w:rPr>
                </w:pPr>
                <w:r>
                  <w:rPr>
                    <w:rFonts w:hint="eastAsia"/>
                    <w:szCs w:val="21"/>
                  </w:rPr>
                  <w:t>归属于上市公司股东的扣除非经常性损益的净利润</w:t>
                </w:r>
              </w:p>
            </w:tc>
            <w:tc>
              <w:tcPr>
                <w:tcW w:w="1923" w:type="dxa"/>
                <w:vAlign w:val="center"/>
              </w:tcPr>
              <w:p>
                <w:pPr>
                  <w:widowControl w:val="0"/>
                  <w:kinsoku w:val="0"/>
                  <w:overflowPunct w:val="0"/>
                  <w:autoSpaceDE w:val="0"/>
                  <w:autoSpaceDN w:val="0"/>
                  <w:adjustRightInd w:val="0"/>
                  <w:snapToGrid w:val="0"/>
                  <w:jc w:val="right"/>
                  <w:rPr>
                    <w:szCs w:val="21"/>
                  </w:rPr>
                </w:pPr>
                <w:r>
                  <w:rPr>
                    <w:rFonts w:hint="eastAsia"/>
                    <w:color w:val="auto"/>
                  </w:rPr>
                  <w:t>4,279,815.70</w:t>
                </w:r>
              </w:p>
            </w:tc>
            <w:tc>
              <w:tcPr>
                <w:tcW w:w="1800" w:type="dxa"/>
                <w:vAlign w:val="center"/>
              </w:tcPr>
              <w:p>
                <w:pPr>
                  <w:widowControl w:val="0"/>
                  <w:kinsoku w:val="0"/>
                  <w:overflowPunct w:val="0"/>
                  <w:autoSpaceDE w:val="0"/>
                  <w:autoSpaceDN w:val="0"/>
                  <w:adjustRightInd w:val="0"/>
                  <w:snapToGrid w:val="0"/>
                  <w:jc w:val="right"/>
                  <w:rPr>
                    <w:bCs/>
                    <w:szCs w:val="21"/>
                  </w:rPr>
                </w:pPr>
                <w:r>
                  <w:rPr>
                    <w:rFonts w:hint="eastAsia"/>
                    <w:color w:val="auto"/>
                  </w:rPr>
                  <w:t>8,947,304.22</w:t>
                </w:r>
              </w:p>
            </w:tc>
            <w:tc>
              <w:tcPr>
                <w:tcW w:w="1813" w:type="dxa"/>
                <w:vAlign w:val="center"/>
              </w:tcPr>
              <w:p>
                <w:pPr>
                  <w:widowControl w:val="0"/>
                  <w:kinsoku w:val="0"/>
                  <w:overflowPunct w:val="0"/>
                  <w:autoSpaceDE w:val="0"/>
                  <w:autoSpaceDN w:val="0"/>
                  <w:adjustRightInd w:val="0"/>
                  <w:snapToGrid w:val="0"/>
                  <w:jc w:val="right"/>
                  <w:rPr>
                    <w:szCs w:val="21"/>
                  </w:rPr>
                </w:pPr>
                <w:r>
                  <w:rPr>
                    <w:rFonts w:hint="eastAsia"/>
                    <w:color w:val="auto"/>
                  </w:rPr>
                  <w:t>-52.17</w:t>
                </w:r>
              </w:p>
            </w:tc>
            <w:tc>
              <w:tcPr>
                <w:tcW w:w="1741" w:type="dxa"/>
                <w:vAlign w:val="center"/>
              </w:tcPr>
              <w:p>
                <w:pPr>
                  <w:widowControl w:val="0"/>
                  <w:kinsoku w:val="0"/>
                  <w:overflowPunct w:val="0"/>
                  <w:autoSpaceDE w:val="0"/>
                  <w:autoSpaceDN w:val="0"/>
                  <w:adjustRightInd w:val="0"/>
                  <w:snapToGrid w:val="0"/>
                  <w:jc w:val="right"/>
                  <w:rPr>
                    <w:szCs w:val="21"/>
                  </w:rPr>
                </w:pPr>
                <w:r>
                  <w:rPr>
                    <w:rFonts w:hint="eastAsia"/>
                    <w:color w:val="auto"/>
                  </w:rPr>
                  <w:t>14,231,151.55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68" w:type="dxa"/>
                <w:vAlign w:val="center"/>
              </w:tcPr>
              <w:p>
                <w:pPr>
                  <w:widowControl w:val="0"/>
                  <w:kinsoku w:val="0"/>
                  <w:overflowPunct w:val="0"/>
                  <w:autoSpaceDE w:val="0"/>
                  <w:autoSpaceDN w:val="0"/>
                  <w:adjustRightInd w:val="0"/>
                  <w:snapToGrid w:val="0"/>
                  <w:jc w:val="both"/>
                  <w:rPr>
                    <w:szCs w:val="21"/>
                    <w:highlight w:val="magenta"/>
                  </w:rPr>
                </w:pPr>
                <w:r>
                  <w:rPr>
                    <w:rFonts w:hint="eastAsia"/>
                    <w:szCs w:val="21"/>
                  </w:rPr>
                  <w:t>经营活动产生的现金流量净额</w:t>
                </w:r>
              </w:p>
            </w:tc>
            <w:tc>
              <w:tcPr>
                <w:tcW w:w="1923" w:type="dxa"/>
                <w:vAlign w:val="center"/>
              </w:tcPr>
              <w:p>
                <w:pPr>
                  <w:widowControl w:val="0"/>
                  <w:kinsoku w:val="0"/>
                  <w:overflowPunct w:val="0"/>
                  <w:autoSpaceDE w:val="0"/>
                  <w:autoSpaceDN w:val="0"/>
                  <w:adjustRightInd w:val="0"/>
                  <w:snapToGrid w:val="0"/>
                  <w:jc w:val="right"/>
                  <w:rPr>
                    <w:szCs w:val="21"/>
                  </w:rPr>
                </w:pPr>
                <w:r>
                  <w:rPr>
                    <w:rFonts w:hint="eastAsia"/>
                    <w:color w:val="auto"/>
                    <w:szCs w:val="21"/>
                  </w:rPr>
                  <w:t>61,011,949.22</w:t>
                </w:r>
              </w:p>
            </w:tc>
            <w:tc>
              <w:tcPr>
                <w:tcW w:w="1800" w:type="dxa"/>
                <w:vAlign w:val="center"/>
              </w:tcPr>
              <w:p>
                <w:pPr>
                  <w:widowControl w:val="0"/>
                  <w:kinsoku w:val="0"/>
                  <w:overflowPunct w:val="0"/>
                  <w:autoSpaceDE w:val="0"/>
                  <w:autoSpaceDN w:val="0"/>
                  <w:adjustRightInd w:val="0"/>
                  <w:snapToGrid w:val="0"/>
                  <w:jc w:val="right"/>
                  <w:rPr>
                    <w:szCs w:val="21"/>
                  </w:rPr>
                </w:pPr>
                <w:r>
                  <w:rPr>
                    <w:rFonts w:hint="eastAsia"/>
                    <w:color w:val="auto"/>
                    <w:szCs w:val="21"/>
                  </w:rPr>
                  <w:t>14,279,946.49</w:t>
                </w:r>
              </w:p>
            </w:tc>
            <w:tc>
              <w:tcPr>
                <w:tcW w:w="1813" w:type="dxa"/>
                <w:vAlign w:val="center"/>
              </w:tcPr>
              <w:p>
                <w:pPr>
                  <w:widowControl w:val="0"/>
                  <w:kinsoku w:val="0"/>
                  <w:overflowPunct w:val="0"/>
                  <w:autoSpaceDE w:val="0"/>
                  <w:autoSpaceDN w:val="0"/>
                  <w:adjustRightInd w:val="0"/>
                  <w:snapToGrid w:val="0"/>
                  <w:jc w:val="right"/>
                  <w:rPr>
                    <w:szCs w:val="21"/>
                  </w:rPr>
                </w:pPr>
                <w:r>
                  <w:rPr>
                    <w:rFonts w:hint="eastAsia"/>
                    <w:color w:val="auto"/>
                  </w:rPr>
                  <w:t>327.26</w:t>
                </w:r>
              </w:p>
            </w:tc>
            <w:tc>
              <w:tcPr>
                <w:tcW w:w="1741" w:type="dxa"/>
                <w:vAlign w:val="center"/>
              </w:tcPr>
              <w:p>
                <w:pPr>
                  <w:widowControl w:val="0"/>
                  <w:kinsoku w:val="0"/>
                  <w:overflowPunct w:val="0"/>
                  <w:autoSpaceDE w:val="0"/>
                  <w:autoSpaceDN w:val="0"/>
                  <w:adjustRightInd w:val="0"/>
                  <w:snapToGrid w:val="0"/>
                  <w:jc w:val="right"/>
                  <w:rPr>
                    <w:szCs w:val="21"/>
                  </w:rPr>
                </w:pPr>
                <w:r>
                  <w:rPr>
                    <w:rFonts w:hint="eastAsia"/>
                    <w:color w:val="auto"/>
                    <w:szCs w:val="21"/>
                  </w:rPr>
                  <w:t>38,368,320.17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168" w:type="dxa"/>
                <w:vAlign w:val="center"/>
              </w:tcPr>
              <w:p>
                <w:pPr>
                  <w:widowControl w:val="0"/>
                  <w:kinsoku w:val="0"/>
                  <w:overflowPunct w:val="0"/>
                  <w:autoSpaceDE w:val="0"/>
                  <w:autoSpaceDN w:val="0"/>
                  <w:adjustRightInd w:val="0"/>
                  <w:snapToGrid w:val="0"/>
                  <w:jc w:val="both"/>
                  <w:rPr>
                    <w:szCs w:val="21"/>
                  </w:rPr>
                </w:pPr>
              </w:p>
            </w:tc>
            <w:tc>
              <w:tcPr>
                <w:tcW w:w="1923" w:type="dxa"/>
                <w:vAlign w:val="center"/>
              </w:tcPr>
              <w:sdt>
                <w:sdtPr>
                  <w:tag w:val="_PLD_8b9fbdc9e2634c6292801d605b122b71"/>
                  <w:id w:val="5663"/>
                </w:sdtPr>
                <w:sdtContent>
                  <w:p>
                    <w:pPr>
                      <w:widowControl w:val="0"/>
                      <w:kinsoku w:val="0"/>
                      <w:overflowPunct w:val="0"/>
                      <w:autoSpaceDE w:val="0"/>
                      <w:autoSpaceDN w:val="0"/>
                      <w:adjustRightInd w:val="0"/>
                      <w:snapToGrid w:val="0"/>
                      <w:jc w:val="center"/>
                      <w:rPr>
                        <w:szCs w:val="21"/>
                      </w:rPr>
                    </w:pPr>
                    <w:r>
                      <w:rPr>
                        <w:rFonts w:hint="eastAsia"/>
                        <w:szCs w:val="21"/>
                      </w:rPr>
                      <w:t>2025年</w:t>
                    </w:r>
                    <w:r>
                      <w:rPr>
                        <w:szCs w:val="21"/>
                      </w:rPr>
                      <w:t>末</w:t>
                    </w:r>
                  </w:p>
                </w:sdtContent>
              </w:sdt>
            </w:tc>
            <w:tc>
              <w:tcPr>
                <w:tcW w:w="1800" w:type="dxa"/>
                <w:vAlign w:val="center"/>
              </w:tcPr>
              <w:sdt>
                <w:sdtPr>
                  <w:tag w:val="_PLD_81e66f862753453685ceebbc3f216adb"/>
                  <w:id w:val="5664"/>
                </w:sdtPr>
                <w:sdtContent>
                  <w:p>
                    <w:pPr>
                      <w:widowControl w:val="0"/>
                      <w:kinsoku w:val="0"/>
                      <w:overflowPunct w:val="0"/>
                      <w:autoSpaceDE w:val="0"/>
                      <w:autoSpaceDN w:val="0"/>
                      <w:adjustRightInd w:val="0"/>
                      <w:snapToGrid w:val="0"/>
                      <w:jc w:val="center"/>
                      <w:rPr>
                        <w:szCs w:val="21"/>
                      </w:rPr>
                    </w:pPr>
                    <w:r>
                      <w:rPr>
                        <w:rFonts w:hint="eastAsia"/>
                        <w:szCs w:val="21"/>
                      </w:rPr>
                      <w:t>2024年</w:t>
                    </w:r>
                    <w:r>
                      <w:rPr>
                        <w:szCs w:val="21"/>
                      </w:rPr>
                      <w:t>末</w:t>
                    </w:r>
                  </w:p>
                </w:sdtContent>
              </w:sdt>
            </w:tc>
            <w:tc>
              <w:tcPr>
                <w:tcW w:w="1813" w:type="dxa"/>
                <w:vAlign w:val="center"/>
              </w:tcPr>
              <w:sdt>
                <w:sdtPr>
                  <w:tag w:val="_PLD_eccdaa2d1ee940be88fdba6d8a4ef55d"/>
                  <w:id w:val="5665"/>
                </w:sdtPr>
                <w:sdtContent>
                  <w:p>
                    <w:pPr>
                      <w:widowControl w:val="0"/>
                      <w:kinsoku w:val="0"/>
                      <w:overflowPunct w:val="0"/>
                      <w:autoSpaceDE w:val="0"/>
                      <w:autoSpaceDN w:val="0"/>
                      <w:adjustRightInd w:val="0"/>
                      <w:snapToGrid w:val="0"/>
                      <w:jc w:val="center"/>
                      <w:rPr>
                        <w:szCs w:val="21"/>
                      </w:rPr>
                    </w:pPr>
                    <w:r>
                      <w:rPr>
                        <w:szCs w:val="21"/>
                      </w:rPr>
                      <w:t>本期末比上年同期末增减（</w:t>
                    </w:r>
                    <w:r>
                      <w:rPr>
                        <w:rFonts w:hint="eastAsia"/>
                        <w:szCs w:val="21"/>
                      </w:rPr>
                      <w:t>%</w:t>
                    </w:r>
                    <w:r>
                      <w:rPr>
                        <w:szCs w:val="21"/>
                      </w:rPr>
                      <w:t>）</w:t>
                    </w:r>
                  </w:p>
                </w:sdtContent>
              </w:sdt>
            </w:tc>
            <w:tc>
              <w:tcPr>
                <w:tcW w:w="1741" w:type="dxa"/>
                <w:vAlign w:val="center"/>
              </w:tcPr>
              <w:sdt>
                <w:sdtPr>
                  <w:tag w:val="_PLD_3af4b93afaec4509befbcf4b19db9883"/>
                  <w:id w:val="5666"/>
                </w:sdtPr>
                <w:sdtContent>
                  <w:p>
                    <w:pPr>
                      <w:widowControl w:val="0"/>
                      <w:kinsoku w:val="0"/>
                      <w:overflowPunct w:val="0"/>
                      <w:autoSpaceDE w:val="0"/>
                      <w:autoSpaceDN w:val="0"/>
                      <w:adjustRightInd w:val="0"/>
                      <w:snapToGrid w:val="0"/>
                      <w:jc w:val="center"/>
                      <w:rPr>
                        <w:szCs w:val="21"/>
                      </w:rPr>
                    </w:pPr>
                    <w:r>
                      <w:rPr>
                        <w:rFonts w:hint="eastAsia"/>
                        <w:szCs w:val="21"/>
                      </w:rPr>
                      <w:t>2023年末</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68" w:type="dxa"/>
                <w:vAlign w:val="center"/>
              </w:tcPr>
              <w:p>
                <w:pPr>
                  <w:widowControl w:val="0"/>
                  <w:kinsoku w:val="0"/>
                  <w:overflowPunct w:val="0"/>
                  <w:autoSpaceDE w:val="0"/>
                  <w:autoSpaceDN w:val="0"/>
                  <w:adjustRightInd w:val="0"/>
                  <w:snapToGrid w:val="0"/>
                  <w:jc w:val="both"/>
                  <w:rPr>
                    <w:szCs w:val="21"/>
                  </w:rPr>
                </w:pPr>
                <w:r>
                  <w:rPr>
                    <w:rFonts w:hint="eastAsia"/>
                    <w:szCs w:val="21"/>
                  </w:rPr>
                  <w:t>归属于上市公司股东的净资产</w:t>
                </w:r>
              </w:p>
            </w:tc>
            <w:tc>
              <w:tcPr>
                <w:tcW w:w="1923" w:type="dxa"/>
                <w:vAlign w:val="center"/>
              </w:tcPr>
              <w:p>
                <w:pPr>
                  <w:widowControl w:val="0"/>
                  <w:kinsoku w:val="0"/>
                  <w:overflowPunct w:val="0"/>
                  <w:autoSpaceDE w:val="0"/>
                  <w:autoSpaceDN w:val="0"/>
                  <w:adjustRightInd w:val="0"/>
                  <w:snapToGrid w:val="0"/>
                  <w:jc w:val="right"/>
                  <w:rPr>
                    <w:szCs w:val="21"/>
                  </w:rPr>
                </w:pPr>
                <w:r>
                  <w:rPr>
                    <w:rFonts w:hint="eastAsia"/>
                    <w:color w:val="auto"/>
                    <w:szCs w:val="21"/>
                  </w:rPr>
                  <w:t>2,177,795,295.97</w:t>
                </w:r>
              </w:p>
            </w:tc>
            <w:tc>
              <w:tcPr>
                <w:tcW w:w="1800" w:type="dxa"/>
                <w:vAlign w:val="center"/>
              </w:tcPr>
              <w:p>
                <w:pPr>
                  <w:widowControl w:val="0"/>
                  <w:kinsoku w:val="0"/>
                  <w:overflowPunct w:val="0"/>
                  <w:autoSpaceDE w:val="0"/>
                  <w:autoSpaceDN w:val="0"/>
                  <w:adjustRightInd w:val="0"/>
                  <w:snapToGrid w:val="0"/>
                  <w:jc w:val="right"/>
                  <w:rPr>
                    <w:bCs/>
                    <w:szCs w:val="21"/>
                  </w:rPr>
                </w:pPr>
                <w:r>
                  <w:rPr>
                    <w:rFonts w:hint="eastAsia"/>
                    <w:color w:val="auto"/>
                    <w:szCs w:val="21"/>
                  </w:rPr>
                  <w:t>2,184,449,148.07</w:t>
                </w:r>
              </w:p>
            </w:tc>
            <w:tc>
              <w:tcPr>
                <w:tcW w:w="1813" w:type="dxa"/>
                <w:vAlign w:val="center"/>
              </w:tcPr>
              <w:p>
                <w:pPr>
                  <w:widowControl w:val="0"/>
                  <w:kinsoku w:val="0"/>
                  <w:overflowPunct w:val="0"/>
                  <w:autoSpaceDE w:val="0"/>
                  <w:autoSpaceDN w:val="0"/>
                  <w:adjustRightInd w:val="0"/>
                  <w:snapToGrid w:val="0"/>
                  <w:jc w:val="right"/>
                  <w:rPr>
                    <w:szCs w:val="21"/>
                  </w:rPr>
                </w:pPr>
                <w:r>
                  <w:rPr>
                    <w:rFonts w:hint="eastAsia"/>
                    <w:color w:val="auto"/>
                  </w:rPr>
                  <w:t>-0.30</w:t>
                </w:r>
              </w:p>
            </w:tc>
            <w:tc>
              <w:tcPr>
                <w:tcW w:w="1741" w:type="dxa"/>
                <w:vAlign w:val="center"/>
              </w:tcPr>
              <w:p>
                <w:pPr>
                  <w:widowControl w:val="0"/>
                  <w:kinsoku w:val="0"/>
                  <w:overflowPunct w:val="0"/>
                  <w:autoSpaceDE w:val="0"/>
                  <w:autoSpaceDN w:val="0"/>
                  <w:adjustRightInd w:val="0"/>
                  <w:snapToGrid w:val="0"/>
                  <w:jc w:val="right"/>
                  <w:rPr>
                    <w:szCs w:val="21"/>
                  </w:rPr>
                </w:pPr>
                <w:r>
                  <w:rPr>
                    <w:rFonts w:hint="eastAsia"/>
                    <w:color w:val="auto"/>
                    <w:szCs w:val="21"/>
                  </w:rPr>
                  <w:t>2,119,850,332.22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2168" w:type="dxa"/>
                <w:vAlign w:val="center"/>
              </w:tcPr>
              <w:p>
                <w:pPr>
                  <w:widowControl w:val="0"/>
                  <w:kinsoku w:val="0"/>
                  <w:overflowPunct w:val="0"/>
                  <w:autoSpaceDE w:val="0"/>
                  <w:autoSpaceDN w:val="0"/>
                  <w:adjustRightInd w:val="0"/>
                  <w:snapToGrid w:val="0"/>
                  <w:jc w:val="both"/>
                  <w:rPr>
                    <w:szCs w:val="21"/>
                  </w:rPr>
                </w:pPr>
                <w:r>
                  <w:rPr>
                    <w:rFonts w:hint="eastAsia"/>
                    <w:szCs w:val="21"/>
                  </w:rPr>
                  <w:t>总资产</w:t>
                </w:r>
              </w:p>
            </w:tc>
            <w:tc>
              <w:tcPr>
                <w:tcW w:w="1923" w:type="dxa"/>
                <w:vAlign w:val="center"/>
              </w:tcPr>
              <w:p>
                <w:pPr>
                  <w:widowControl w:val="0"/>
                  <w:kinsoku w:val="0"/>
                  <w:overflowPunct w:val="0"/>
                  <w:autoSpaceDE w:val="0"/>
                  <w:autoSpaceDN w:val="0"/>
                  <w:adjustRightInd w:val="0"/>
                  <w:snapToGrid w:val="0"/>
                  <w:jc w:val="right"/>
                  <w:rPr>
                    <w:szCs w:val="21"/>
                  </w:rPr>
                </w:pPr>
                <w:r>
                  <w:rPr>
                    <w:rFonts w:hint="eastAsia"/>
                    <w:color w:val="auto"/>
                    <w:szCs w:val="21"/>
                  </w:rPr>
                  <w:t>2,723,561,869.40</w:t>
                </w:r>
              </w:p>
            </w:tc>
            <w:tc>
              <w:tcPr>
                <w:tcW w:w="1800" w:type="dxa"/>
                <w:vAlign w:val="center"/>
              </w:tcPr>
              <w:p>
                <w:pPr>
                  <w:widowControl w:val="0"/>
                  <w:kinsoku w:val="0"/>
                  <w:overflowPunct w:val="0"/>
                  <w:autoSpaceDE w:val="0"/>
                  <w:autoSpaceDN w:val="0"/>
                  <w:adjustRightInd w:val="0"/>
                  <w:snapToGrid w:val="0"/>
                  <w:jc w:val="right"/>
                  <w:rPr>
                    <w:bCs/>
                    <w:szCs w:val="21"/>
                  </w:rPr>
                </w:pPr>
                <w:r>
                  <w:rPr>
                    <w:rFonts w:hint="eastAsia"/>
                    <w:color w:val="auto"/>
                    <w:szCs w:val="21"/>
                  </w:rPr>
                  <w:t>2,720,923,571.60</w:t>
                </w:r>
              </w:p>
            </w:tc>
            <w:tc>
              <w:tcPr>
                <w:tcW w:w="1813" w:type="dxa"/>
                <w:vAlign w:val="center"/>
              </w:tcPr>
              <w:p>
                <w:pPr>
                  <w:widowControl w:val="0"/>
                  <w:kinsoku w:val="0"/>
                  <w:overflowPunct w:val="0"/>
                  <w:autoSpaceDE w:val="0"/>
                  <w:autoSpaceDN w:val="0"/>
                  <w:adjustRightInd w:val="0"/>
                  <w:snapToGrid w:val="0"/>
                  <w:jc w:val="right"/>
                  <w:rPr>
                    <w:szCs w:val="21"/>
                  </w:rPr>
                </w:pPr>
                <w:r>
                  <w:rPr>
                    <w:rFonts w:hint="eastAsia"/>
                    <w:color w:val="auto"/>
                  </w:rPr>
                  <w:t>0.10</w:t>
                </w:r>
              </w:p>
            </w:tc>
            <w:tc>
              <w:tcPr>
                <w:tcW w:w="1741" w:type="dxa"/>
                <w:vAlign w:val="center"/>
              </w:tcPr>
              <w:p>
                <w:pPr>
                  <w:widowControl w:val="0"/>
                  <w:kinsoku w:val="0"/>
                  <w:overflowPunct w:val="0"/>
                  <w:autoSpaceDE w:val="0"/>
                  <w:autoSpaceDN w:val="0"/>
                  <w:adjustRightInd w:val="0"/>
                  <w:snapToGrid w:val="0"/>
                  <w:jc w:val="right"/>
                  <w:rPr>
                    <w:szCs w:val="21"/>
                  </w:rPr>
                </w:pPr>
                <w:r>
                  <w:rPr>
                    <w:rFonts w:hint="eastAsia"/>
                    <w:color w:val="auto"/>
                    <w:szCs w:val="21"/>
                  </w:rPr>
                  <w:t>2,621,957,721.33</w:t>
                </w:r>
              </w:p>
            </w:tc>
          </w:tr>
        </w:tbl>
        <w:p/>
      </w:sdtContent>
    </w:sdt>
    <w:p>
      <w:pPr>
        <w:kinsoku w:val="0"/>
        <w:overflowPunct w:val="0"/>
        <w:autoSpaceDE w:val="0"/>
        <w:autoSpaceDN w:val="0"/>
        <w:adjustRightInd w:val="0"/>
        <w:snapToGrid w:val="0"/>
        <w:rPr>
          <w:szCs w:val="21"/>
        </w:rPr>
      </w:pPr>
      <w:bookmarkStart w:id="25" w:name="_Hlk61879976"/>
      <w:bookmarkEnd w:id="25"/>
    </w:p>
    <w:p>
      <w:pPr>
        <w:kinsoku w:val="0"/>
        <w:overflowPunct w:val="0"/>
        <w:autoSpaceDE w:val="0"/>
        <w:autoSpaceDN w:val="0"/>
        <w:adjustRightInd w:val="0"/>
        <w:snapToGrid w:val="0"/>
        <w:rPr>
          <w:szCs w:val="21"/>
        </w:rPr>
      </w:pPr>
      <w:bookmarkStart w:id="26" w:name="_Hlk61879983"/>
      <w:bookmarkEnd w:id="26"/>
    </w:p>
    <w:p>
      <w:pPr>
        <w:pStyle w:val="4"/>
        <w:numPr>
          <w:ilvl w:val="1"/>
          <w:numId w:val="5"/>
        </w:numPr>
        <w:rPr>
          <w:rFonts w:hint="eastAsia" w:ascii="宋体" w:hAnsi="宋体"/>
          <w:szCs w:val="21"/>
        </w:rPr>
      </w:pPr>
      <w:bookmarkStart w:id="27" w:name="_Hlk61879994"/>
      <w:bookmarkEnd w:id="27"/>
      <w:r>
        <w:t>主要财务指标</w:t>
      </w:r>
    </w:p>
    <w:sdt>
      <w:sdtPr>
        <w:rPr>
          <w:szCs w:val="21"/>
        </w:rPr>
        <w:alias w:val="选项模块:主要财务指标(无追溯)"/>
        <w:tag w:val="_SEC_ca679c431b23410b8002c2ae2c543dab"/>
        <w:id w:val="5667"/>
        <w:placeholder>
          <w:docPart w:val="GBC22222222222222222222222222222"/>
        </w:placeholder>
      </w:sdtPr>
      <w:sdtEndPr>
        <w:rPr>
          <w:szCs w:val="20"/>
        </w:rPr>
      </w:sdtEndPr>
      <w:sdtContent>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4"/>
            <w:gridCol w:w="1453"/>
            <w:gridCol w:w="1324"/>
            <w:gridCol w:w="1983"/>
            <w:gridCol w:w="1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4" w:type="dxa"/>
                <w:vAlign w:val="center"/>
              </w:tcPr>
              <w:sdt>
                <w:sdtPr>
                  <w:tag w:val="_PLD_a5c59cd3e5544374a4bd7ceda5f62092"/>
                  <w:id w:val="5668"/>
                </w:sdtPr>
                <w:sdtEndPr>
                  <w:rPr>
                    <w:szCs w:val="20"/>
                  </w:rPr>
                </w:sdtEndPr>
                <w:sdtContent>
                  <w:p>
                    <w:pPr>
                      <w:widowControl w:val="0"/>
                      <w:kinsoku w:val="0"/>
                      <w:overflowPunct w:val="0"/>
                      <w:autoSpaceDE w:val="0"/>
                      <w:autoSpaceDN w:val="0"/>
                      <w:adjustRightInd w:val="0"/>
                      <w:snapToGrid w:val="0"/>
                      <w:jc w:val="center"/>
                      <w:rPr>
                        <w:szCs w:val="21"/>
                      </w:rPr>
                    </w:pPr>
                    <w:r>
                      <w:rPr>
                        <w:szCs w:val="21"/>
                      </w:rPr>
                      <w:t>主要财务指标</w:t>
                    </w:r>
                  </w:p>
                </w:sdtContent>
              </w:sdt>
            </w:tc>
            <w:tc>
              <w:tcPr>
                <w:tcW w:w="1453" w:type="dxa"/>
                <w:vAlign w:val="center"/>
              </w:tcPr>
              <w:sdt>
                <w:sdtPr>
                  <w:tag w:val="_PLD_1a1e4f34f77949538a9c656b241499b6"/>
                  <w:id w:val="5669"/>
                </w:sdtPr>
                <w:sdtContent>
                  <w:p>
                    <w:pPr>
                      <w:widowControl w:val="0"/>
                      <w:kinsoku w:val="0"/>
                      <w:overflowPunct w:val="0"/>
                      <w:autoSpaceDE w:val="0"/>
                      <w:autoSpaceDN w:val="0"/>
                      <w:adjustRightInd w:val="0"/>
                      <w:snapToGrid w:val="0"/>
                      <w:jc w:val="center"/>
                      <w:rPr>
                        <w:szCs w:val="21"/>
                      </w:rPr>
                    </w:pPr>
                    <w:r>
                      <w:rPr>
                        <w:rFonts w:hint="eastAsia"/>
                        <w:szCs w:val="21"/>
                      </w:rPr>
                      <w:t>2025年</w:t>
                    </w:r>
                  </w:p>
                </w:sdtContent>
              </w:sdt>
            </w:tc>
            <w:tc>
              <w:tcPr>
                <w:tcW w:w="1324" w:type="dxa"/>
                <w:vAlign w:val="center"/>
              </w:tcPr>
              <w:sdt>
                <w:sdtPr>
                  <w:tag w:val="_PLD_9310148e9c2c4e968f8a8cf7147fc9a7"/>
                  <w:id w:val="5670"/>
                </w:sdtPr>
                <w:sdtContent>
                  <w:p>
                    <w:pPr>
                      <w:widowControl w:val="0"/>
                      <w:kinsoku w:val="0"/>
                      <w:overflowPunct w:val="0"/>
                      <w:autoSpaceDE w:val="0"/>
                      <w:autoSpaceDN w:val="0"/>
                      <w:adjustRightInd w:val="0"/>
                      <w:snapToGrid w:val="0"/>
                      <w:jc w:val="center"/>
                      <w:rPr>
                        <w:szCs w:val="21"/>
                      </w:rPr>
                    </w:pPr>
                    <w:r>
                      <w:rPr>
                        <w:rFonts w:hint="eastAsia"/>
                        <w:szCs w:val="21"/>
                      </w:rPr>
                      <w:t>2024年</w:t>
                    </w:r>
                  </w:p>
                </w:sdtContent>
              </w:sdt>
            </w:tc>
            <w:tc>
              <w:tcPr>
                <w:tcW w:w="1983" w:type="dxa"/>
                <w:vAlign w:val="center"/>
              </w:tcPr>
              <w:sdt>
                <w:sdtPr>
                  <w:tag w:val="_PLD_5901f5518cb6434888ae838febb8af68"/>
                  <w:id w:val="5671"/>
                </w:sdtPr>
                <w:sdtContent>
                  <w:p>
                    <w:pPr>
                      <w:widowControl w:val="0"/>
                      <w:kinsoku w:val="0"/>
                      <w:overflowPunct w:val="0"/>
                      <w:autoSpaceDE w:val="0"/>
                      <w:autoSpaceDN w:val="0"/>
                      <w:adjustRightInd w:val="0"/>
                      <w:snapToGrid w:val="0"/>
                      <w:jc w:val="center"/>
                      <w:rPr>
                        <w:szCs w:val="21"/>
                      </w:rPr>
                    </w:pPr>
                    <w:r>
                      <w:rPr>
                        <w:szCs w:val="21"/>
                      </w:rPr>
                      <w:t>本期比上年同期增减(%)</w:t>
                    </w:r>
                  </w:p>
                </w:sdtContent>
              </w:sdt>
            </w:tc>
            <w:tc>
              <w:tcPr>
                <w:tcW w:w="1093" w:type="dxa"/>
                <w:vAlign w:val="center"/>
              </w:tcPr>
              <w:sdt>
                <w:sdtPr>
                  <w:tag w:val="_PLD_437266ed462e4dd1873b86621495169c"/>
                  <w:id w:val="5672"/>
                </w:sdtPr>
                <w:sdtContent>
                  <w:p>
                    <w:pPr>
                      <w:widowControl w:val="0"/>
                      <w:kinsoku w:val="0"/>
                      <w:overflowPunct w:val="0"/>
                      <w:autoSpaceDE w:val="0"/>
                      <w:autoSpaceDN w:val="0"/>
                      <w:adjustRightInd w:val="0"/>
                      <w:snapToGrid w:val="0"/>
                      <w:jc w:val="center"/>
                      <w:rPr>
                        <w:szCs w:val="21"/>
                      </w:rPr>
                    </w:pPr>
                    <w:r>
                      <w:rPr>
                        <w:rFonts w:hint="eastAsia"/>
                        <w:szCs w:val="21"/>
                      </w:rPr>
                      <w:t>2023年</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4" w:type="dxa"/>
                <w:vAlign w:val="center"/>
              </w:tcPr>
              <w:p>
                <w:pPr>
                  <w:widowControl w:val="0"/>
                  <w:kinsoku w:val="0"/>
                  <w:overflowPunct w:val="0"/>
                  <w:autoSpaceDE w:val="0"/>
                  <w:autoSpaceDN w:val="0"/>
                  <w:adjustRightInd w:val="0"/>
                  <w:snapToGrid w:val="0"/>
                  <w:jc w:val="both"/>
                  <w:rPr>
                    <w:szCs w:val="21"/>
                  </w:rPr>
                </w:pPr>
                <w:r>
                  <w:rPr>
                    <w:szCs w:val="21"/>
                  </w:rPr>
                  <w:t>基本每股收益（元／股）</w:t>
                </w:r>
              </w:p>
            </w:tc>
            <w:tc>
              <w:tcPr>
                <w:tcW w:w="1453" w:type="dxa"/>
                <w:vAlign w:val="center"/>
              </w:tcPr>
              <w:p>
                <w:pPr>
                  <w:widowControl w:val="0"/>
                  <w:kinsoku w:val="0"/>
                  <w:overflowPunct w:val="0"/>
                  <w:autoSpaceDE w:val="0"/>
                  <w:autoSpaceDN w:val="0"/>
                  <w:adjustRightInd w:val="0"/>
                  <w:snapToGrid w:val="0"/>
                  <w:jc w:val="right"/>
                  <w:rPr>
                    <w:rFonts w:hint="eastAsia"/>
                    <w:szCs w:val="21"/>
                  </w:rPr>
                </w:pPr>
                <w:r>
                  <w:rPr>
                    <w:rFonts w:hint="eastAsia"/>
                    <w:color w:val="auto"/>
                    <w:szCs w:val="21"/>
                  </w:rPr>
                  <w:t>0.0179</w:t>
                </w:r>
              </w:p>
            </w:tc>
            <w:tc>
              <w:tcPr>
                <w:tcW w:w="1324" w:type="dxa"/>
                <w:vAlign w:val="center"/>
              </w:tcPr>
              <w:p>
                <w:pPr>
                  <w:widowControl w:val="0"/>
                  <w:kinsoku w:val="0"/>
                  <w:overflowPunct w:val="0"/>
                  <w:autoSpaceDE w:val="0"/>
                  <w:autoSpaceDN w:val="0"/>
                  <w:adjustRightInd w:val="0"/>
                  <w:snapToGrid w:val="0"/>
                  <w:jc w:val="right"/>
                  <w:rPr>
                    <w:rFonts w:hint="eastAsia"/>
                    <w:szCs w:val="21"/>
                  </w:rPr>
                </w:pPr>
                <w:r>
                  <w:rPr>
                    <w:rFonts w:hint="eastAsia"/>
                    <w:color w:val="auto"/>
                    <w:szCs w:val="21"/>
                  </w:rPr>
                  <w:t>0.1475</w:t>
                </w:r>
              </w:p>
            </w:tc>
            <w:tc>
              <w:tcPr>
                <w:tcW w:w="1983" w:type="dxa"/>
                <w:vAlign w:val="center"/>
              </w:tcPr>
              <w:p>
                <w:pPr>
                  <w:widowControl w:val="0"/>
                  <w:kinsoku w:val="0"/>
                  <w:overflowPunct w:val="0"/>
                  <w:autoSpaceDE w:val="0"/>
                  <w:autoSpaceDN w:val="0"/>
                  <w:adjustRightInd w:val="0"/>
                  <w:snapToGrid w:val="0"/>
                  <w:jc w:val="right"/>
                  <w:rPr>
                    <w:rFonts w:hint="eastAsia"/>
                    <w:szCs w:val="21"/>
                  </w:rPr>
                </w:pPr>
                <w:r>
                  <w:rPr>
                    <w:rFonts w:hint="eastAsia"/>
                    <w:color w:val="auto"/>
                  </w:rPr>
                  <w:t>-87.86</w:t>
                </w:r>
              </w:p>
            </w:tc>
            <w:tc>
              <w:tcPr>
                <w:tcW w:w="1093" w:type="dxa"/>
                <w:vAlign w:val="center"/>
              </w:tcPr>
              <w:p>
                <w:pPr>
                  <w:widowControl w:val="0"/>
                  <w:kinsoku w:val="0"/>
                  <w:overflowPunct w:val="0"/>
                  <w:autoSpaceDE w:val="0"/>
                  <w:autoSpaceDN w:val="0"/>
                  <w:adjustRightInd w:val="0"/>
                  <w:snapToGrid w:val="0"/>
                  <w:jc w:val="right"/>
                  <w:rPr>
                    <w:rFonts w:hint="eastAsia"/>
                    <w:szCs w:val="21"/>
                  </w:rPr>
                </w:pPr>
                <w:r>
                  <w:rPr>
                    <w:rFonts w:hint="eastAsia"/>
                    <w:color w:val="auto"/>
                    <w:szCs w:val="21"/>
                  </w:rPr>
                  <w:t>0.0415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4" w:type="dxa"/>
                <w:vAlign w:val="center"/>
              </w:tcPr>
              <w:p>
                <w:pPr>
                  <w:widowControl w:val="0"/>
                  <w:kinsoku w:val="0"/>
                  <w:overflowPunct w:val="0"/>
                  <w:autoSpaceDE w:val="0"/>
                  <w:autoSpaceDN w:val="0"/>
                  <w:adjustRightInd w:val="0"/>
                  <w:snapToGrid w:val="0"/>
                  <w:jc w:val="both"/>
                  <w:rPr>
                    <w:szCs w:val="21"/>
                  </w:rPr>
                </w:pPr>
                <w:r>
                  <w:rPr>
                    <w:szCs w:val="21"/>
                  </w:rPr>
                  <w:t>稀释每股收益（元／股）</w:t>
                </w:r>
              </w:p>
            </w:tc>
            <w:tc>
              <w:tcPr>
                <w:tcW w:w="1453" w:type="dxa"/>
                <w:vAlign w:val="center"/>
              </w:tcPr>
              <w:p>
                <w:pPr>
                  <w:widowControl w:val="0"/>
                  <w:kinsoku w:val="0"/>
                  <w:overflowPunct w:val="0"/>
                  <w:autoSpaceDE w:val="0"/>
                  <w:autoSpaceDN w:val="0"/>
                  <w:adjustRightInd w:val="0"/>
                  <w:snapToGrid w:val="0"/>
                  <w:jc w:val="right"/>
                  <w:rPr>
                    <w:rFonts w:hint="eastAsia"/>
                    <w:szCs w:val="21"/>
                  </w:rPr>
                </w:pPr>
                <w:r>
                  <w:rPr>
                    <w:rFonts w:hint="eastAsia"/>
                    <w:color w:val="auto"/>
                    <w:szCs w:val="21"/>
                  </w:rPr>
                  <w:t>/</w:t>
                </w:r>
              </w:p>
            </w:tc>
            <w:tc>
              <w:tcPr>
                <w:tcW w:w="1324" w:type="dxa"/>
                <w:vAlign w:val="center"/>
              </w:tcPr>
              <w:p>
                <w:pPr>
                  <w:widowControl w:val="0"/>
                  <w:kinsoku w:val="0"/>
                  <w:overflowPunct w:val="0"/>
                  <w:autoSpaceDE w:val="0"/>
                  <w:autoSpaceDN w:val="0"/>
                  <w:adjustRightInd w:val="0"/>
                  <w:snapToGrid w:val="0"/>
                  <w:jc w:val="right"/>
                  <w:rPr>
                    <w:rFonts w:hint="eastAsia"/>
                    <w:szCs w:val="21"/>
                  </w:rPr>
                </w:pPr>
                <w:r>
                  <w:rPr>
                    <w:rFonts w:hint="eastAsia"/>
                    <w:color w:val="auto"/>
                    <w:szCs w:val="21"/>
                  </w:rPr>
                  <w:t>/</w:t>
                </w:r>
              </w:p>
            </w:tc>
            <w:tc>
              <w:tcPr>
                <w:tcW w:w="1983" w:type="dxa"/>
                <w:vAlign w:val="center"/>
              </w:tcPr>
              <w:p>
                <w:pPr>
                  <w:widowControl w:val="0"/>
                  <w:kinsoku w:val="0"/>
                  <w:overflowPunct w:val="0"/>
                  <w:autoSpaceDE w:val="0"/>
                  <w:autoSpaceDN w:val="0"/>
                  <w:adjustRightInd w:val="0"/>
                  <w:snapToGrid w:val="0"/>
                  <w:jc w:val="right"/>
                  <w:rPr>
                    <w:rFonts w:hint="eastAsia"/>
                    <w:szCs w:val="21"/>
                  </w:rPr>
                </w:pPr>
                <w:r>
                  <w:rPr>
                    <w:rFonts w:hint="eastAsia"/>
                    <w:color w:val="auto"/>
                  </w:rPr>
                  <w:t>/</w:t>
                </w:r>
              </w:p>
            </w:tc>
            <w:tc>
              <w:tcPr>
                <w:tcW w:w="1093" w:type="dxa"/>
                <w:vAlign w:val="center"/>
              </w:tcPr>
              <w:p>
                <w:pPr>
                  <w:widowControl w:val="0"/>
                  <w:kinsoku w:val="0"/>
                  <w:overflowPunct w:val="0"/>
                  <w:autoSpaceDE w:val="0"/>
                  <w:autoSpaceDN w:val="0"/>
                  <w:adjustRightInd w:val="0"/>
                  <w:snapToGrid w:val="0"/>
                  <w:jc w:val="right"/>
                  <w:rPr>
                    <w:rFonts w:hint="eastAsia"/>
                    <w:szCs w:val="21"/>
                  </w:rPr>
                </w:pPr>
                <w:r>
                  <w:rPr>
                    <w:rFonts w:hint="eastAsia"/>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4" w:type="dxa"/>
                <w:vAlign w:val="center"/>
              </w:tcPr>
              <w:p>
                <w:pPr>
                  <w:widowControl w:val="0"/>
                  <w:kinsoku w:val="0"/>
                  <w:overflowPunct w:val="0"/>
                  <w:autoSpaceDE w:val="0"/>
                  <w:autoSpaceDN w:val="0"/>
                  <w:adjustRightInd w:val="0"/>
                  <w:snapToGrid w:val="0"/>
                  <w:jc w:val="both"/>
                  <w:rPr>
                    <w:szCs w:val="21"/>
                  </w:rPr>
                </w:pPr>
                <w:r>
                  <w:rPr>
                    <w:szCs w:val="21"/>
                  </w:rPr>
                  <w:t>扣除非经常性损益后的基本每股收益（元／股）</w:t>
                </w:r>
              </w:p>
            </w:tc>
            <w:tc>
              <w:tcPr>
                <w:tcW w:w="1453" w:type="dxa"/>
                <w:vAlign w:val="center"/>
              </w:tcPr>
              <w:p>
                <w:pPr>
                  <w:widowControl w:val="0"/>
                  <w:kinsoku w:val="0"/>
                  <w:overflowPunct w:val="0"/>
                  <w:autoSpaceDE w:val="0"/>
                  <w:autoSpaceDN w:val="0"/>
                  <w:adjustRightInd w:val="0"/>
                  <w:snapToGrid w:val="0"/>
                  <w:jc w:val="right"/>
                  <w:rPr>
                    <w:rFonts w:hint="eastAsia"/>
                    <w:szCs w:val="21"/>
                  </w:rPr>
                </w:pPr>
                <w:r>
                  <w:rPr>
                    <w:rFonts w:hint="eastAsia"/>
                    <w:color w:val="auto"/>
                    <w:szCs w:val="21"/>
                  </w:rPr>
                  <w:t>0.0078</w:t>
                </w:r>
              </w:p>
            </w:tc>
            <w:tc>
              <w:tcPr>
                <w:tcW w:w="1324" w:type="dxa"/>
                <w:vAlign w:val="center"/>
              </w:tcPr>
              <w:p>
                <w:pPr>
                  <w:widowControl w:val="0"/>
                  <w:kinsoku w:val="0"/>
                  <w:overflowPunct w:val="0"/>
                  <w:autoSpaceDE w:val="0"/>
                  <w:autoSpaceDN w:val="0"/>
                  <w:adjustRightInd w:val="0"/>
                  <w:snapToGrid w:val="0"/>
                  <w:jc w:val="right"/>
                  <w:rPr>
                    <w:rFonts w:hint="eastAsia"/>
                    <w:szCs w:val="21"/>
                  </w:rPr>
                </w:pPr>
                <w:r>
                  <w:rPr>
                    <w:rFonts w:hint="eastAsia"/>
                    <w:color w:val="auto"/>
                    <w:szCs w:val="21"/>
                  </w:rPr>
                  <w:t>0.0163</w:t>
                </w:r>
              </w:p>
            </w:tc>
            <w:tc>
              <w:tcPr>
                <w:tcW w:w="1983" w:type="dxa"/>
                <w:vAlign w:val="center"/>
              </w:tcPr>
              <w:p>
                <w:pPr>
                  <w:widowControl w:val="0"/>
                  <w:kinsoku w:val="0"/>
                  <w:overflowPunct w:val="0"/>
                  <w:autoSpaceDE w:val="0"/>
                  <w:autoSpaceDN w:val="0"/>
                  <w:adjustRightInd w:val="0"/>
                  <w:snapToGrid w:val="0"/>
                  <w:jc w:val="right"/>
                  <w:rPr>
                    <w:rFonts w:hint="eastAsia"/>
                    <w:szCs w:val="21"/>
                  </w:rPr>
                </w:pPr>
                <w:r>
                  <w:rPr>
                    <w:rFonts w:hint="eastAsia"/>
                    <w:color w:val="auto"/>
                  </w:rPr>
                  <w:t>-52.15</w:t>
                </w:r>
              </w:p>
            </w:tc>
            <w:tc>
              <w:tcPr>
                <w:tcW w:w="1093" w:type="dxa"/>
                <w:vAlign w:val="center"/>
              </w:tcPr>
              <w:p>
                <w:pPr>
                  <w:widowControl w:val="0"/>
                  <w:kinsoku w:val="0"/>
                  <w:overflowPunct w:val="0"/>
                  <w:autoSpaceDE w:val="0"/>
                  <w:autoSpaceDN w:val="0"/>
                  <w:adjustRightInd w:val="0"/>
                  <w:snapToGrid w:val="0"/>
                  <w:jc w:val="right"/>
                  <w:rPr>
                    <w:rFonts w:hint="eastAsia"/>
                    <w:szCs w:val="21"/>
                  </w:rPr>
                </w:pPr>
                <w:r>
                  <w:rPr>
                    <w:rFonts w:hint="eastAsia"/>
                    <w:color w:val="auto"/>
                    <w:szCs w:val="21"/>
                  </w:rPr>
                  <w:t>0.0259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4" w:type="dxa"/>
                <w:vAlign w:val="center"/>
              </w:tcPr>
              <w:p>
                <w:pPr>
                  <w:widowControl w:val="0"/>
                  <w:kinsoku w:val="0"/>
                  <w:overflowPunct w:val="0"/>
                  <w:autoSpaceDE w:val="0"/>
                  <w:autoSpaceDN w:val="0"/>
                  <w:adjustRightInd w:val="0"/>
                  <w:snapToGrid w:val="0"/>
                  <w:jc w:val="both"/>
                  <w:rPr>
                    <w:szCs w:val="21"/>
                  </w:rPr>
                </w:pPr>
                <w:r>
                  <w:rPr>
                    <w:szCs w:val="21"/>
                  </w:rPr>
                  <w:t>加权平均净资产收益率（%）</w:t>
                </w:r>
              </w:p>
            </w:tc>
            <w:tc>
              <w:tcPr>
                <w:tcW w:w="1453" w:type="dxa"/>
                <w:vAlign w:val="center"/>
              </w:tcPr>
              <w:p>
                <w:pPr>
                  <w:widowControl w:val="0"/>
                  <w:kinsoku w:val="0"/>
                  <w:overflowPunct w:val="0"/>
                  <w:autoSpaceDE w:val="0"/>
                  <w:autoSpaceDN w:val="0"/>
                  <w:adjustRightInd w:val="0"/>
                  <w:snapToGrid w:val="0"/>
                  <w:jc w:val="right"/>
                  <w:rPr>
                    <w:rFonts w:hint="eastAsia"/>
                    <w:szCs w:val="21"/>
                  </w:rPr>
                </w:pPr>
                <w:r>
                  <w:rPr>
                    <w:rFonts w:hint="eastAsia"/>
                    <w:color w:val="auto"/>
                    <w:szCs w:val="21"/>
                  </w:rPr>
                  <w:t>0.45</w:t>
                </w:r>
              </w:p>
            </w:tc>
            <w:tc>
              <w:tcPr>
                <w:tcW w:w="1324" w:type="dxa"/>
                <w:vAlign w:val="center"/>
              </w:tcPr>
              <w:p>
                <w:pPr>
                  <w:widowControl w:val="0"/>
                  <w:kinsoku w:val="0"/>
                  <w:overflowPunct w:val="0"/>
                  <w:autoSpaceDE w:val="0"/>
                  <w:autoSpaceDN w:val="0"/>
                  <w:adjustRightInd w:val="0"/>
                  <w:snapToGrid w:val="0"/>
                  <w:jc w:val="right"/>
                  <w:rPr>
                    <w:rFonts w:hint="eastAsia"/>
                    <w:szCs w:val="21"/>
                  </w:rPr>
                </w:pPr>
                <w:r>
                  <w:rPr>
                    <w:rFonts w:hint="eastAsia"/>
                    <w:color w:val="auto"/>
                    <w:szCs w:val="21"/>
                  </w:rPr>
                  <w:t>3.75</w:t>
                </w:r>
              </w:p>
            </w:tc>
            <w:tc>
              <w:tcPr>
                <w:tcW w:w="1983" w:type="dxa"/>
                <w:vAlign w:val="center"/>
              </w:tcPr>
              <w:p>
                <w:pPr>
                  <w:widowControl w:val="0"/>
                  <w:kinsoku w:val="0"/>
                  <w:overflowPunct w:val="0"/>
                  <w:autoSpaceDE w:val="0"/>
                  <w:autoSpaceDN w:val="0"/>
                  <w:adjustRightInd w:val="0"/>
                  <w:snapToGrid w:val="0"/>
                  <w:jc w:val="right"/>
                  <w:rPr>
                    <w:rFonts w:hint="eastAsia"/>
                    <w:szCs w:val="21"/>
                  </w:rPr>
                </w:pPr>
                <w:r>
                  <w:rPr>
                    <w:rFonts w:hint="eastAsia"/>
                    <w:color w:val="auto"/>
                  </w:rPr>
                  <w:t>减少3.30个百分点</w:t>
                </w:r>
              </w:p>
            </w:tc>
            <w:tc>
              <w:tcPr>
                <w:tcW w:w="1093" w:type="dxa"/>
                <w:vAlign w:val="center"/>
              </w:tcPr>
              <w:p>
                <w:pPr>
                  <w:widowControl w:val="0"/>
                  <w:kinsoku w:val="0"/>
                  <w:overflowPunct w:val="0"/>
                  <w:autoSpaceDE w:val="0"/>
                  <w:autoSpaceDN w:val="0"/>
                  <w:adjustRightInd w:val="0"/>
                  <w:snapToGrid w:val="0"/>
                  <w:jc w:val="right"/>
                  <w:rPr>
                    <w:rFonts w:hint="eastAsia"/>
                    <w:szCs w:val="21"/>
                  </w:rPr>
                </w:pPr>
                <w:r>
                  <w:rPr>
                    <w:rFonts w:hint="eastAsia"/>
                    <w:color w:val="auto"/>
                    <w:szCs w:val="21"/>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4" w:type="dxa"/>
                <w:vAlign w:val="center"/>
              </w:tcPr>
              <w:p>
                <w:pPr>
                  <w:widowControl w:val="0"/>
                  <w:kinsoku w:val="0"/>
                  <w:overflowPunct w:val="0"/>
                  <w:autoSpaceDE w:val="0"/>
                  <w:autoSpaceDN w:val="0"/>
                  <w:adjustRightInd w:val="0"/>
                  <w:snapToGrid w:val="0"/>
                  <w:jc w:val="both"/>
                  <w:rPr>
                    <w:szCs w:val="21"/>
                  </w:rPr>
                </w:pPr>
                <w:r>
                  <w:rPr>
                    <w:szCs w:val="21"/>
                  </w:rPr>
                  <w:t>扣除非经常性损益后的加权平均净资产收益率（%）</w:t>
                </w:r>
              </w:p>
            </w:tc>
            <w:tc>
              <w:tcPr>
                <w:tcW w:w="1453" w:type="dxa"/>
                <w:vAlign w:val="center"/>
              </w:tcPr>
              <w:p>
                <w:pPr>
                  <w:widowControl w:val="0"/>
                  <w:kinsoku w:val="0"/>
                  <w:overflowPunct w:val="0"/>
                  <w:autoSpaceDE w:val="0"/>
                  <w:autoSpaceDN w:val="0"/>
                  <w:adjustRightInd w:val="0"/>
                  <w:snapToGrid w:val="0"/>
                  <w:jc w:val="right"/>
                  <w:rPr>
                    <w:rFonts w:hint="eastAsia"/>
                    <w:szCs w:val="21"/>
                  </w:rPr>
                </w:pPr>
                <w:r>
                  <w:rPr>
                    <w:rFonts w:hint="eastAsia"/>
                    <w:color w:val="auto"/>
                    <w:szCs w:val="21"/>
                  </w:rPr>
                  <w:t>0.20</w:t>
                </w:r>
              </w:p>
            </w:tc>
            <w:tc>
              <w:tcPr>
                <w:tcW w:w="1324" w:type="dxa"/>
                <w:vAlign w:val="center"/>
              </w:tcPr>
              <w:p>
                <w:pPr>
                  <w:widowControl w:val="0"/>
                  <w:kinsoku w:val="0"/>
                  <w:overflowPunct w:val="0"/>
                  <w:autoSpaceDE w:val="0"/>
                  <w:autoSpaceDN w:val="0"/>
                  <w:adjustRightInd w:val="0"/>
                  <w:snapToGrid w:val="0"/>
                  <w:jc w:val="right"/>
                  <w:rPr>
                    <w:rFonts w:hint="eastAsia"/>
                    <w:szCs w:val="21"/>
                  </w:rPr>
                </w:pPr>
                <w:r>
                  <w:rPr>
                    <w:rFonts w:hint="eastAsia"/>
                    <w:color w:val="auto"/>
                    <w:szCs w:val="21"/>
                  </w:rPr>
                  <w:t>0.41</w:t>
                </w:r>
              </w:p>
            </w:tc>
            <w:tc>
              <w:tcPr>
                <w:tcW w:w="1983" w:type="dxa"/>
                <w:vAlign w:val="center"/>
              </w:tcPr>
              <w:p>
                <w:pPr>
                  <w:widowControl w:val="0"/>
                  <w:kinsoku w:val="0"/>
                  <w:overflowPunct w:val="0"/>
                  <w:autoSpaceDE w:val="0"/>
                  <w:autoSpaceDN w:val="0"/>
                  <w:adjustRightInd w:val="0"/>
                  <w:snapToGrid w:val="0"/>
                  <w:jc w:val="right"/>
                  <w:rPr>
                    <w:rFonts w:hint="eastAsia"/>
                    <w:szCs w:val="21"/>
                  </w:rPr>
                </w:pPr>
                <w:r>
                  <w:rPr>
                    <w:rFonts w:hint="eastAsia"/>
                    <w:color w:val="auto"/>
                  </w:rPr>
                  <w:t>减少0.21个百分点</w:t>
                </w:r>
              </w:p>
            </w:tc>
            <w:tc>
              <w:tcPr>
                <w:tcW w:w="1093" w:type="dxa"/>
                <w:vAlign w:val="center"/>
              </w:tcPr>
              <w:p>
                <w:pPr>
                  <w:widowControl w:val="0"/>
                  <w:kinsoku w:val="0"/>
                  <w:overflowPunct w:val="0"/>
                  <w:autoSpaceDE w:val="0"/>
                  <w:autoSpaceDN w:val="0"/>
                  <w:adjustRightInd w:val="0"/>
                  <w:snapToGrid w:val="0"/>
                  <w:jc w:val="right"/>
                  <w:rPr>
                    <w:rFonts w:hint="eastAsia"/>
                    <w:szCs w:val="21"/>
                  </w:rPr>
                </w:pPr>
                <w:r>
                  <w:rPr>
                    <w:rFonts w:hint="eastAsia"/>
                    <w:color w:val="auto"/>
                    <w:szCs w:val="21"/>
                  </w:rPr>
                  <w:t>0.67</w:t>
                </w:r>
              </w:p>
            </w:tc>
          </w:tr>
        </w:tbl>
        <w:p/>
      </w:sdtContent>
    </w:sdt>
    <w:p>
      <w:pPr>
        <w:kinsoku w:val="0"/>
        <w:overflowPunct w:val="0"/>
        <w:autoSpaceDE w:val="0"/>
        <w:autoSpaceDN w:val="0"/>
        <w:adjustRightInd w:val="0"/>
        <w:snapToGrid w:val="0"/>
        <w:rPr>
          <w:szCs w:val="21"/>
        </w:rPr>
      </w:pPr>
      <w:bookmarkStart w:id="28" w:name="_Hlk25325424"/>
      <w:bookmarkEnd w:id="28"/>
    </w:p>
    <w:p>
      <w:pPr>
        <w:kinsoku w:val="0"/>
        <w:overflowPunct w:val="0"/>
        <w:autoSpaceDE w:val="0"/>
        <w:autoSpaceDN w:val="0"/>
        <w:adjustRightInd w:val="0"/>
        <w:snapToGrid w:val="0"/>
        <w:rPr>
          <w:szCs w:val="21"/>
        </w:rPr>
      </w:pPr>
    </w:p>
    <w:p>
      <w:pPr>
        <w:rPr>
          <w:szCs w:val="21"/>
        </w:rPr>
      </w:pPr>
      <w:r>
        <w:rPr>
          <w:rFonts w:hint="eastAsia"/>
          <w:szCs w:val="21"/>
        </w:rPr>
        <w:t>报告期末公司前三年主要会计数据和财务指标的说明</w:t>
      </w:r>
    </w:p>
    <w:sdt>
      <w:sdtPr>
        <w:rPr>
          <w:szCs w:val="21"/>
        </w:rPr>
        <w:alias w:val="是否适用：报告期末公司前三年主要会计数据和财务指标的说明[双击切换]"/>
        <w:tag w:val="_GBC_d855ab48af34454bb263a03266267a43"/>
        <w:id w:val="5673"/>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sdt>
      <w:sdtPr>
        <w:tag w:val="_PLD_b0ffd718554f492b823f2b55b36eb094"/>
        <w:id w:val="5674"/>
      </w:sdtPr>
      <w:sdtContent>
        <w:p>
          <w:pPr>
            <w:pStyle w:val="3"/>
            <w:numPr>
              <w:ilvl w:val="1"/>
              <w:numId w:val="4"/>
            </w:numPr>
            <w:ind w:left="498" w:hanging="498" w:hangingChars="236"/>
          </w:pPr>
          <w:r>
            <w:rPr>
              <w:rFonts w:hint="eastAsia"/>
            </w:rPr>
            <w:t>境内外会计准则下会计数据差异</w:t>
          </w:r>
        </w:p>
      </w:sdtContent>
    </w:sdt>
    <w:p>
      <w:pPr>
        <w:pStyle w:val="4"/>
        <w:numPr>
          <w:ilvl w:val="0"/>
          <w:numId w:val="6"/>
        </w:numPr>
        <w:ind w:left="0" w:firstLine="0"/>
        <w:rPr>
          <w:szCs w:val="21"/>
        </w:rPr>
      </w:pPr>
      <w:r>
        <w:rPr>
          <w:rFonts w:hint="eastAsia"/>
          <w:szCs w:val="21"/>
        </w:rPr>
        <w:t>同时按照国际会计准则与按中国会计准则披露的财务报告中净利润和归属于上市公司股东的净资产差异情况</w:t>
      </w:r>
    </w:p>
    <w:sdt>
      <w:sdtPr>
        <w:rPr>
          <w:szCs w:val="21"/>
        </w:rPr>
        <w:alias w:val="是否适用：同时按照国际会计准则与按中国会计准则披露的财务报告中净利润和净资产差异情况[双击切换]"/>
        <w:tag w:val="_GBC_bb9cf96a724c468d909aca01e1066e6b"/>
        <w:id w:val="5675"/>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Pr>
        <w:pStyle w:val="4"/>
        <w:numPr>
          <w:ilvl w:val="0"/>
          <w:numId w:val="6"/>
        </w:numPr>
        <w:ind w:left="0" w:firstLine="0"/>
        <w:rPr>
          <w:szCs w:val="21"/>
        </w:rPr>
      </w:pPr>
      <w:r>
        <w:rPr>
          <w:szCs w:val="21"/>
        </w:rPr>
        <w:t>同时按照境外会计准则与按中国会计准则披露的财务报告中净利润和</w:t>
      </w:r>
      <w:r>
        <w:rPr>
          <w:rFonts w:hint="eastAsia"/>
          <w:szCs w:val="21"/>
        </w:rPr>
        <w:t>归</w:t>
      </w:r>
      <w:r>
        <w:rPr>
          <w:szCs w:val="21"/>
        </w:rPr>
        <w:t>属于上市公司股东的净资产差异情况</w:t>
      </w:r>
    </w:p>
    <w:sdt>
      <w:sdtPr>
        <w:alias w:val="是否适用：同时按照境外会计准则与按中国会计准则披露的财务报告中净利润和净资产差异情况[双击切换]"/>
        <w:tag w:val="_GBC_a97367c44d2842a1bfb53d78727711bb"/>
        <w:id w:val="5676"/>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Pr>
        <w:pStyle w:val="4"/>
        <w:numPr>
          <w:ilvl w:val="0"/>
          <w:numId w:val="6"/>
        </w:numPr>
        <w:ind w:hangingChars="175"/>
      </w:pPr>
      <w:r>
        <w:t>境内外会计准则差异的说明：</w:t>
      </w:r>
    </w:p>
    <w:sdt>
      <w:sdtPr>
        <w:alias w:val="是否适用：境内外会计准则差异的说明[双击切换]"/>
        <w:tag w:val="_GBC_fb9a5edc484f49ab948423fc0bade519"/>
        <w:id w:val="5677"/>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3"/>
        <w:numPr>
          <w:ilvl w:val="1"/>
          <w:numId w:val="4"/>
        </w:numPr>
        <w:ind w:left="498" w:hanging="498" w:hangingChars="236"/>
      </w:pPr>
      <w:r>
        <w:rPr>
          <w:rFonts w:hint="eastAsia" w:asciiTheme="minorEastAsia" w:hAnsiTheme="minorEastAsia" w:eastAsiaTheme="minorEastAsia"/>
        </w:rPr>
        <w:t>2025年分季度主要财务数据</w:t>
      </w:r>
    </w:p>
    <w:p>
      <w:pPr>
        <w:jc w:val="right"/>
        <w:rPr>
          <w:szCs w:val="21"/>
        </w:rPr>
      </w:pPr>
      <w:r>
        <w:rPr>
          <w:rFonts w:hint="eastAsia"/>
          <w:szCs w:val="21"/>
        </w:rPr>
        <w:t>单位：</w:t>
      </w:r>
      <w:sdt>
        <w:sdtPr>
          <w:rPr>
            <w:rFonts w:hint="eastAsia"/>
            <w:szCs w:val="21"/>
          </w:rPr>
          <w:alias w:val="单位：分季度主要财务数据"/>
          <w:tag w:val="_GBC_c7bf8a69799342519e2da375e77f8d89"/>
          <w:id w:val="567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分季度主要财务数据"/>
          <w:tag w:val="_GBC_e825fbcd15674ffd86165e4ed7dcbbaf"/>
          <w:id w:val="567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842"/>
        <w:gridCol w:w="1558"/>
        <w:gridCol w:w="1558"/>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pPr>
              <w:widowControl w:val="0"/>
              <w:jc w:val="center"/>
            </w:pPr>
          </w:p>
        </w:tc>
        <w:tc>
          <w:tcPr>
            <w:tcW w:w="1842" w:type="dxa"/>
            <w:vAlign w:val="center"/>
          </w:tcPr>
          <w:sdt>
            <w:sdtPr>
              <w:tag w:val="_PLD_2d7ae3b1c4bd43a98e284f10d0bdc51f"/>
              <w:id w:val="5680"/>
            </w:sdtPr>
            <w:sdtContent>
              <w:p>
                <w:pPr>
                  <w:widowControl w:val="0"/>
                  <w:jc w:val="center"/>
                </w:pPr>
                <w:r>
                  <w:rPr>
                    <w:rFonts w:hint="eastAsia"/>
                  </w:rPr>
                  <w:t>第一季度</w:t>
                </w:r>
              </w:p>
              <w:p>
                <w:pPr>
                  <w:widowControl w:val="0"/>
                  <w:jc w:val="center"/>
                </w:pPr>
                <w:r>
                  <w:rPr>
                    <w:rFonts w:hint="eastAsia"/>
                  </w:rPr>
                  <w:t>（1-3月份）</w:t>
                </w:r>
              </w:p>
            </w:sdtContent>
          </w:sdt>
        </w:tc>
        <w:tc>
          <w:tcPr>
            <w:tcW w:w="1558" w:type="dxa"/>
            <w:vAlign w:val="center"/>
          </w:tcPr>
          <w:sdt>
            <w:sdtPr>
              <w:tag w:val="_PLD_07258d0e3e7e4393960c3400b24cda70"/>
              <w:id w:val="5681"/>
            </w:sdtPr>
            <w:sdtContent>
              <w:p>
                <w:pPr>
                  <w:widowControl w:val="0"/>
                  <w:jc w:val="center"/>
                </w:pPr>
                <w:r>
                  <w:rPr>
                    <w:rFonts w:hint="eastAsia"/>
                  </w:rPr>
                  <w:t>第二季度</w:t>
                </w:r>
              </w:p>
              <w:p>
                <w:pPr>
                  <w:widowControl w:val="0"/>
                  <w:jc w:val="center"/>
                </w:pPr>
                <w:r>
                  <w:rPr>
                    <w:rFonts w:hint="eastAsia"/>
                  </w:rPr>
                  <w:t>（4-6月份）</w:t>
                </w:r>
              </w:p>
            </w:sdtContent>
          </w:sdt>
        </w:tc>
        <w:tc>
          <w:tcPr>
            <w:tcW w:w="1558" w:type="dxa"/>
            <w:vAlign w:val="center"/>
          </w:tcPr>
          <w:sdt>
            <w:sdtPr>
              <w:tag w:val="_PLD_f34790307d174eceaa953001c5186096"/>
              <w:id w:val="5682"/>
            </w:sdtPr>
            <w:sdtContent>
              <w:p>
                <w:pPr>
                  <w:widowControl w:val="0"/>
                  <w:jc w:val="center"/>
                </w:pPr>
                <w:r>
                  <w:rPr>
                    <w:rFonts w:hint="eastAsia"/>
                  </w:rPr>
                  <w:t>第三季度</w:t>
                </w:r>
              </w:p>
              <w:p>
                <w:pPr>
                  <w:widowControl w:val="0"/>
                  <w:jc w:val="center"/>
                </w:pPr>
                <w:r>
                  <w:rPr>
                    <w:rFonts w:hint="eastAsia"/>
                  </w:rPr>
                  <w:t>（7-9月份）</w:t>
                </w:r>
              </w:p>
            </w:sdtContent>
          </w:sdt>
        </w:tc>
        <w:tc>
          <w:tcPr>
            <w:tcW w:w="1683" w:type="dxa"/>
            <w:vAlign w:val="center"/>
          </w:tcPr>
          <w:sdt>
            <w:sdtPr>
              <w:tag w:val="_PLD_18cc80c8863d4859a79676f49ef83412"/>
              <w:id w:val="5683"/>
            </w:sdtPr>
            <w:sdtContent>
              <w:p>
                <w:pPr>
                  <w:widowControl w:val="0"/>
                  <w:jc w:val="center"/>
                </w:pPr>
                <w:r>
                  <w:rPr>
                    <w:rFonts w:hint="eastAsia"/>
                  </w:rPr>
                  <w:t>第四季度</w:t>
                </w:r>
              </w:p>
              <w:p>
                <w:pPr>
                  <w:widowControl w:val="0"/>
                  <w:jc w:val="center"/>
                </w:pPr>
                <w:r>
                  <w:rPr>
                    <w:rFonts w:hint="eastAsia"/>
                  </w:rPr>
                  <w:t>（10-12月份）</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pPr>
              <w:widowControl w:val="0"/>
              <w:jc w:val="both"/>
            </w:pPr>
            <w:r>
              <w:rPr>
                <w:rFonts w:hint="eastAsia"/>
                <w:szCs w:val="21"/>
              </w:rPr>
              <w:t>营业收入</w:t>
            </w:r>
          </w:p>
        </w:tc>
        <w:tc>
          <w:tcPr>
            <w:tcW w:w="1842" w:type="dxa"/>
            <w:vAlign w:val="center"/>
          </w:tcPr>
          <w:p>
            <w:pPr>
              <w:widowControl w:val="0"/>
              <w:jc w:val="right"/>
            </w:pPr>
            <w:r>
              <w:rPr>
                <w:rFonts w:hint="eastAsia"/>
                <w:color w:val="auto"/>
              </w:rPr>
              <w:t>239,980,888.70</w:t>
            </w:r>
          </w:p>
        </w:tc>
        <w:tc>
          <w:tcPr>
            <w:tcW w:w="1558" w:type="dxa"/>
            <w:vAlign w:val="center"/>
          </w:tcPr>
          <w:p>
            <w:pPr>
              <w:widowControl w:val="0"/>
              <w:jc w:val="right"/>
            </w:pPr>
            <w:r>
              <w:rPr>
                <w:rFonts w:hint="eastAsia"/>
                <w:color w:val="auto"/>
              </w:rPr>
              <w:t>282,264,225.60</w:t>
            </w:r>
          </w:p>
        </w:tc>
        <w:tc>
          <w:tcPr>
            <w:tcW w:w="1558" w:type="dxa"/>
            <w:vAlign w:val="center"/>
          </w:tcPr>
          <w:p>
            <w:pPr>
              <w:widowControl w:val="0"/>
              <w:jc w:val="right"/>
            </w:pPr>
            <w:r>
              <w:rPr>
                <w:rFonts w:hint="eastAsia"/>
                <w:color w:val="auto"/>
              </w:rPr>
              <w:t>293,134,925.09</w:t>
            </w:r>
          </w:p>
        </w:tc>
        <w:tc>
          <w:tcPr>
            <w:tcW w:w="1683" w:type="dxa"/>
            <w:vAlign w:val="center"/>
          </w:tcPr>
          <w:p>
            <w:pPr>
              <w:widowControl w:val="0"/>
              <w:jc w:val="right"/>
            </w:pPr>
            <w:r>
              <w:rPr>
                <w:rFonts w:hint="eastAsia"/>
                <w:color w:val="auto"/>
              </w:rPr>
              <w:t>247,196,670.49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pPr>
              <w:widowControl w:val="0"/>
              <w:jc w:val="both"/>
            </w:pPr>
            <w:r>
              <w:rPr>
                <w:rFonts w:hint="eastAsia"/>
                <w:szCs w:val="21"/>
              </w:rPr>
              <w:t>归属于上市公司股东的净利润</w:t>
            </w:r>
          </w:p>
        </w:tc>
        <w:tc>
          <w:tcPr>
            <w:tcW w:w="1842" w:type="dxa"/>
            <w:vAlign w:val="center"/>
          </w:tcPr>
          <w:p>
            <w:pPr>
              <w:widowControl w:val="0"/>
              <w:jc w:val="right"/>
            </w:pPr>
            <w:r>
              <w:rPr>
                <w:rFonts w:hint="eastAsia"/>
                <w:color w:val="auto"/>
              </w:rPr>
              <w:t>-14,169,477.46</w:t>
            </w:r>
          </w:p>
        </w:tc>
        <w:tc>
          <w:tcPr>
            <w:tcW w:w="1558" w:type="dxa"/>
            <w:vAlign w:val="center"/>
          </w:tcPr>
          <w:p>
            <w:pPr>
              <w:widowControl w:val="0"/>
              <w:jc w:val="right"/>
            </w:pPr>
            <w:r>
              <w:rPr>
                <w:rFonts w:hint="eastAsia"/>
                <w:color w:val="auto"/>
              </w:rPr>
              <w:t>9,085,297.95</w:t>
            </w:r>
          </w:p>
        </w:tc>
        <w:tc>
          <w:tcPr>
            <w:tcW w:w="1558" w:type="dxa"/>
            <w:vAlign w:val="center"/>
          </w:tcPr>
          <w:p>
            <w:pPr>
              <w:widowControl w:val="0"/>
              <w:jc w:val="right"/>
            </w:pPr>
            <w:r>
              <w:rPr>
                <w:rFonts w:hint="eastAsia"/>
                <w:color w:val="auto"/>
              </w:rPr>
              <w:t>28,574,484.42</w:t>
            </w:r>
          </w:p>
        </w:tc>
        <w:tc>
          <w:tcPr>
            <w:tcW w:w="1683" w:type="dxa"/>
            <w:vAlign w:val="center"/>
          </w:tcPr>
          <w:p>
            <w:pPr>
              <w:widowControl w:val="0"/>
              <w:jc w:val="right"/>
            </w:pPr>
            <w:r>
              <w:rPr>
                <w:rFonts w:hint="eastAsia"/>
                <w:color w:val="auto"/>
              </w:rPr>
              <w:t>-13,644,157.01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pPr>
              <w:widowControl w:val="0"/>
              <w:jc w:val="both"/>
            </w:pPr>
            <w:r>
              <w:rPr>
                <w:rFonts w:hint="eastAsia"/>
                <w:szCs w:val="21"/>
              </w:rPr>
              <w:t>归属于上市公司股东的扣除非经常性损益后的净利润</w:t>
            </w:r>
          </w:p>
        </w:tc>
        <w:tc>
          <w:tcPr>
            <w:tcW w:w="1842" w:type="dxa"/>
            <w:vAlign w:val="center"/>
          </w:tcPr>
          <w:p>
            <w:pPr>
              <w:widowControl w:val="0"/>
              <w:jc w:val="right"/>
            </w:pPr>
            <w:r>
              <w:rPr>
                <w:rFonts w:hint="eastAsia"/>
                <w:color w:val="auto"/>
              </w:rPr>
              <w:t>4,941,137.52</w:t>
            </w:r>
          </w:p>
        </w:tc>
        <w:tc>
          <w:tcPr>
            <w:tcW w:w="1558" w:type="dxa"/>
            <w:vAlign w:val="center"/>
          </w:tcPr>
          <w:p>
            <w:pPr>
              <w:widowControl w:val="0"/>
              <w:jc w:val="right"/>
            </w:pPr>
            <w:r>
              <w:rPr>
                <w:rFonts w:hint="eastAsia"/>
                <w:color w:val="auto"/>
              </w:rPr>
              <w:t>-129,797.93</w:t>
            </w:r>
          </w:p>
        </w:tc>
        <w:tc>
          <w:tcPr>
            <w:tcW w:w="1558" w:type="dxa"/>
            <w:vAlign w:val="center"/>
          </w:tcPr>
          <w:p>
            <w:pPr>
              <w:widowControl w:val="0"/>
              <w:jc w:val="right"/>
            </w:pPr>
            <w:r>
              <w:rPr>
                <w:rFonts w:hint="eastAsia"/>
                <w:color w:val="auto"/>
              </w:rPr>
              <w:t>10,693,000.33</w:t>
            </w:r>
          </w:p>
        </w:tc>
        <w:tc>
          <w:tcPr>
            <w:tcW w:w="1683" w:type="dxa"/>
            <w:vAlign w:val="center"/>
          </w:tcPr>
          <w:p>
            <w:pPr>
              <w:widowControl w:val="0"/>
              <w:jc w:val="right"/>
            </w:pPr>
            <w:r>
              <w:rPr>
                <w:rFonts w:hint="eastAsia"/>
              </w:rPr>
              <w:t>-11</w:t>
            </w:r>
            <w:bookmarkStart w:id="438" w:name="_GoBack"/>
            <w:bookmarkEnd w:id="438"/>
            <w:r>
              <w:rPr>
                <w:rFonts w:hint="eastAsia"/>
              </w:rPr>
              <w:t>,224,524.22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pPr>
              <w:widowControl w:val="0"/>
              <w:jc w:val="both"/>
            </w:pPr>
            <w:r>
              <w:rPr>
                <w:rFonts w:hint="eastAsia"/>
                <w:szCs w:val="21"/>
              </w:rPr>
              <w:t>经营活动产生的现金流量净额</w:t>
            </w:r>
          </w:p>
        </w:tc>
        <w:tc>
          <w:tcPr>
            <w:tcW w:w="1842" w:type="dxa"/>
            <w:vAlign w:val="center"/>
          </w:tcPr>
          <w:p>
            <w:pPr>
              <w:widowControl w:val="0"/>
              <w:jc w:val="right"/>
            </w:pPr>
            <w:r>
              <w:rPr>
                <w:rFonts w:hint="eastAsia"/>
                <w:color w:val="auto"/>
              </w:rPr>
              <w:t>12,490,316.54</w:t>
            </w:r>
          </w:p>
        </w:tc>
        <w:tc>
          <w:tcPr>
            <w:tcW w:w="1558" w:type="dxa"/>
            <w:vAlign w:val="center"/>
          </w:tcPr>
          <w:p>
            <w:pPr>
              <w:widowControl w:val="0"/>
              <w:jc w:val="right"/>
            </w:pPr>
            <w:r>
              <w:rPr>
                <w:rFonts w:hint="eastAsia"/>
                <w:color w:val="auto"/>
              </w:rPr>
              <w:t>24,188,089.83</w:t>
            </w:r>
          </w:p>
        </w:tc>
        <w:tc>
          <w:tcPr>
            <w:tcW w:w="1558" w:type="dxa"/>
            <w:vAlign w:val="center"/>
          </w:tcPr>
          <w:p>
            <w:pPr>
              <w:widowControl w:val="0"/>
              <w:jc w:val="right"/>
            </w:pPr>
            <w:r>
              <w:rPr>
                <w:rFonts w:hint="eastAsia"/>
                <w:color w:val="auto"/>
              </w:rPr>
              <w:t>17,120,322.91</w:t>
            </w:r>
          </w:p>
        </w:tc>
        <w:tc>
          <w:tcPr>
            <w:tcW w:w="1683" w:type="dxa"/>
            <w:vAlign w:val="center"/>
          </w:tcPr>
          <w:p>
            <w:pPr>
              <w:widowControl w:val="0"/>
              <w:jc w:val="right"/>
            </w:pPr>
            <w:r>
              <w:rPr>
                <w:rFonts w:hint="eastAsia"/>
                <w:color w:val="auto"/>
              </w:rPr>
              <w:t>7,213,219.94</w:t>
            </w:r>
          </w:p>
        </w:tc>
      </w:tr>
    </w:tbl>
    <w:p/>
    <w:p>
      <w:pPr>
        <w:rPr>
          <w:rFonts w:ascii="Calibri" w:hAnsi="Calibri"/>
          <w:bCs/>
          <w:kern w:val="2"/>
          <w:szCs w:val="32"/>
        </w:rPr>
      </w:pPr>
      <w:r>
        <w:rPr>
          <w:rFonts w:hint="eastAsia" w:ascii="Calibri" w:hAnsi="Calibri"/>
          <w:bCs/>
          <w:kern w:val="2"/>
          <w:szCs w:val="32"/>
        </w:rPr>
        <w:t>季度数据与已披露定期报告数据差异说明</w:t>
      </w:r>
    </w:p>
    <w:sdt>
      <w:sdtPr>
        <w:rPr>
          <w:szCs w:val="21"/>
        </w:rPr>
        <w:alias w:val="是否适用：季度数据与已披露定期报告数据差异说明[双击切换]"/>
        <w:tag w:val="_GBC_90abe51569fb4ccda7eaf6149fe8f3a9"/>
        <w:id w:val="5684"/>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hint="eastAsia" w:ascii="宋体" w:hAnsi="宋体"/>
              <w:szCs w:val="21"/>
            </w:rPr>
            <w:instrText xml:space="preserve"> MACROBUTTON  SnrToggleCheckbox √不适用 </w:instrText>
          </w:r>
          <w:r>
            <w:rPr>
              <w:rFonts w:ascii="宋体" w:hAnsi="宋体"/>
              <w:szCs w:val="21"/>
            </w:rPr>
            <w:fldChar w:fldCharType="end"/>
          </w:r>
        </w:p>
      </w:sdtContent>
    </w:sdt>
    <w:p/>
    <w:p>
      <w:pPr>
        <w:pStyle w:val="3"/>
        <w:numPr>
          <w:ilvl w:val="1"/>
          <w:numId w:val="4"/>
        </w:numPr>
        <w:ind w:left="496" w:hanging="498" w:hangingChars="236"/>
      </w:pPr>
      <w:bookmarkStart w:id="29" w:name="_Hlk152579713"/>
      <w:bookmarkStart w:id="30" w:name="_Hlk24640273"/>
      <w:r>
        <w:rPr>
          <w:rFonts w:hint="eastAsia"/>
        </w:rPr>
        <w:t>非经常性损益项目和金额</w:t>
      </w:r>
    </w:p>
    <w:sdt>
      <w:sdtPr>
        <w:rPr>
          <w:szCs w:val="21"/>
        </w:rPr>
        <w:alias w:val="是否适用：扣除非经常性损益项目和金额[双击切换]"/>
        <w:tag w:val="_GBC_d311c3479a4945ceb1266734910915b6"/>
        <w:id w:val="5685"/>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jc w:val="right"/>
        <w:rPr>
          <w:szCs w:val="21"/>
        </w:rPr>
      </w:pPr>
      <w:r>
        <w:rPr>
          <w:rFonts w:hint="eastAsia"/>
          <w:szCs w:val="21"/>
        </w:rPr>
        <w:t>单位：</w:t>
      </w:r>
      <w:sdt>
        <w:sdtPr>
          <w:rPr>
            <w:rFonts w:hint="eastAsia"/>
            <w:szCs w:val="21"/>
          </w:rPr>
          <w:alias w:val="单位：扣除非经常性损益项目和金额"/>
          <w:tag w:val="_GBC_120471c8e4434d7bbf8c91141121ab39"/>
          <w:id w:val="5686"/>
          <w:placeholder>
            <w:docPart w:val="GBC22222222222222222222222222222"/>
          </w:placeholder>
          <w:dataBinding w:prefixMappings="xmlns:clcid-ci-ar='clcid-ci-ar'" w:xpath="/*/clcid-ci-ar:DanWeiKouChuFeiJingChangXingSunYiXiangMuHeJinE[not(@periodRef)]" w:storeItemID="{89EBAB94-44A0-46A2-B712-30D997D04A6D}"/>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lang w:eastAsia="zh-CN"/>
            </w:rPr>
            <w:t>元</w:t>
          </w:r>
        </w:sdtContent>
      </w:sdt>
      <w:r>
        <w:rPr>
          <w:rFonts w:hint="eastAsia"/>
          <w:szCs w:val="21"/>
        </w:rPr>
        <w:t xml:space="preserve">  币种：</w:t>
      </w:r>
      <w:sdt>
        <w:sdtPr>
          <w:rPr>
            <w:rFonts w:hint="eastAsia"/>
            <w:szCs w:val="21"/>
          </w:rPr>
          <w:alias w:val="币种：扣除非经常性损益项目和金额"/>
          <w:tag w:val="_GBC_8d756f42e06c4610a2149f35e1d51a62"/>
          <w:id w:val="5687"/>
          <w:placeholder>
            <w:docPart w:val="GBC22222222222222222222222222222"/>
          </w:placeholder>
          <w:dataBinding w:prefixMappings="xmlns:clcid-ci-ar='clcid-ci-ar'" w:xpath="/*/clcid-ci-ar:BiZhongKouChuFeiJingChangXingSunYiXiangMuHeJinE[not(@periodRef)]" w:storeItemID="{89EBAB94-44A0-46A2-B712-30D997D04A6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lang w:eastAsia="zh-CN"/>
            </w:rPr>
            <w:t>人民币</w:t>
          </w:r>
        </w:sdtContent>
      </w:sdt>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5"/>
        <w:gridCol w:w="1494"/>
        <w:gridCol w:w="982"/>
        <w:gridCol w:w="1549"/>
        <w:gridCol w:w="1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sdt>
            <w:sdtPr>
              <w:rPr>
                <w:rFonts w:ascii="Times New Roman" w:hAnsi="Times New Roman"/>
              </w:rPr>
              <w:tag w:val="_PLD_451a5b1d22614c45b1fbba1d8acc3cbb"/>
              <w:id w:val="5688"/>
            </w:sdtPr>
            <w:sdtEndPr>
              <w:rPr>
                <w:rFonts w:ascii="Times New Roman" w:hAnsi="Times New Roman"/>
              </w:rPr>
            </w:sdtEndPr>
            <w:sdtContent>
              <w:p>
                <w:pPr>
                  <w:pStyle w:val="56"/>
                  <w:ind w:firstLine="0" w:firstLineChars="0"/>
                  <w:jc w:val="center"/>
                  <w:rPr>
                    <w:rFonts w:hint="eastAsia" w:ascii="Times New Roman" w:hAnsi="Times New Roman"/>
                    <w:szCs w:val="21"/>
                  </w:rPr>
                </w:pPr>
                <w:r>
                  <w:rPr>
                    <w:rFonts w:hint="eastAsia" w:ascii="Times New Roman" w:hAnsi="Times New Roman"/>
                    <w:szCs w:val="21"/>
                  </w:rPr>
                  <w:t>非经常性损益项目</w:t>
                </w:r>
              </w:p>
            </w:sdtContent>
          </w:sdt>
        </w:tc>
        <w:tc>
          <w:tcPr>
            <w:tcW w:w="1494" w:type="dxa"/>
            <w:vAlign w:val="center"/>
          </w:tcPr>
          <w:sdt>
            <w:sdtPr>
              <w:rPr>
                <w:rFonts w:ascii="Times New Roman" w:hAnsi="Times New Roman"/>
              </w:rPr>
              <w:tag w:val="_PLD_75a853b22038430db055de446a19d683"/>
              <w:id w:val="5689"/>
            </w:sdtPr>
            <w:sdtEndPr>
              <w:rPr>
                <w:rFonts w:ascii="Times New Roman" w:hAnsi="Times New Roman"/>
              </w:rPr>
            </w:sdtEndPr>
            <w:sdtContent>
              <w:p>
                <w:pPr>
                  <w:pStyle w:val="56"/>
                  <w:ind w:firstLine="0" w:firstLineChars="0"/>
                  <w:jc w:val="center"/>
                  <w:rPr>
                    <w:rFonts w:hint="eastAsia" w:ascii="Times New Roman" w:hAnsi="Times New Roman"/>
                    <w:szCs w:val="21"/>
                  </w:rPr>
                </w:pPr>
                <w:r>
                  <w:rPr>
                    <w:rFonts w:hint="eastAsia" w:ascii="Times New Roman" w:hAnsi="Times New Roman"/>
                    <w:szCs w:val="21"/>
                  </w:rPr>
                  <w:t>2025年金额</w:t>
                </w:r>
              </w:p>
            </w:sdtContent>
          </w:sdt>
        </w:tc>
        <w:tc>
          <w:tcPr>
            <w:tcW w:w="982" w:type="dxa"/>
            <w:vAlign w:val="center"/>
          </w:tcPr>
          <w:sdt>
            <w:sdtPr>
              <w:rPr>
                <w:rFonts w:ascii="Times New Roman" w:hAnsi="Times New Roman"/>
              </w:rPr>
              <w:tag w:val="_PLD_c571f80c57314d5cbbb4106b26568a8c"/>
              <w:id w:val="5690"/>
            </w:sdtPr>
            <w:sdtEndPr>
              <w:rPr>
                <w:rFonts w:ascii="Times New Roman" w:hAnsi="Times New Roman"/>
              </w:rPr>
            </w:sdtEndPr>
            <w:sdtContent>
              <w:p>
                <w:pPr>
                  <w:pStyle w:val="56"/>
                  <w:ind w:firstLine="0" w:firstLineChars="0"/>
                  <w:jc w:val="center"/>
                  <w:rPr>
                    <w:rFonts w:hint="eastAsia" w:ascii="Times New Roman" w:hAnsi="Times New Roman"/>
                    <w:szCs w:val="21"/>
                  </w:rPr>
                </w:pPr>
                <w:r>
                  <w:rPr>
                    <w:rFonts w:hint="eastAsia" w:ascii="Times New Roman" w:hAnsi="Times New Roman"/>
                    <w:szCs w:val="21"/>
                  </w:rPr>
                  <w:t>附注（如适用）</w:t>
                </w:r>
              </w:p>
            </w:sdtContent>
          </w:sdt>
        </w:tc>
        <w:tc>
          <w:tcPr>
            <w:tcW w:w="1549" w:type="dxa"/>
            <w:vAlign w:val="center"/>
          </w:tcPr>
          <w:sdt>
            <w:sdtPr>
              <w:rPr>
                <w:rFonts w:ascii="Times New Roman" w:hAnsi="Times New Roman"/>
              </w:rPr>
              <w:tag w:val="_PLD_7178520950424696adfe1eb7e010035c"/>
              <w:id w:val="5691"/>
            </w:sdtPr>
            <w:sdtEndPr>
              <w:rPr>
                <w:rFonts w:ascii="Times New Roman" w:hAnsi="Times New Roman"/>
              </w:rPr>
            </w:sdtEndPr>
            <w:sdtContent>
              <w:p>
                <w:pPr>
                  <w:pStyle w:val="56"/>
                  <w:ind w:firstLine="0" w:firstLineChars="0"/>
                  <w:jc w:val="center"/>
                  <w:rPr>
                    <w:rFonts w:hint="eastAsia" w:ascii="Times New Roman" w:hAnsi="Times New Roman"/>
                    <w:szCs w:val="21"/>
                  </w:rPr>
                </w:pPr>
                <w:r>
                  <w:rPr>
                    <w:rFonts w:hint="eastAsia" w:ascii="Times New Roman" w:hAnsi="Times New Roman"/>
                    <w:szCs w:val="21"/>
                  </w:rPr>
                  <w:t>2024年金额</w:t>
                </w:r>
              </w:p>
            </w:sdtContent>
          </w:sdt>
        </w:tc>
        <w:tc>
          <w:tcPr>
            <w:tcW w:w="1616" w:type="dxa"/>
            <w:vAlign w:val="center"/>
          </w:tcPr>
          <w:sdt>
            <w:sdtPr>
              <w:rPr>
                <w:rFonts w:ascii="Times New Roman" w:hAnsi="Times New Roman"/>
              </w:rPr>
              <w:tag w:val="_PLD_870e9453ef9d4928968c60216a29f211"/>
              <w:id w:val="5692"/>
            </w:sdtPr>
            <w:sdtEndPr>
              <w:rPr>
                <w:rFonts w:ascii="Times New Roman" w:hAnsi="Times New Roman"/>
              </w:rPr>
            </w:sdtEndPr>
            <w:sdtContent>
              <w:p>
                <w:pPr>
                  <w:pStyle w:val="56"/>
                  <w:ind w:firstLine="0" w:firstLineChars="0"/>
                  <w:jc w:val="center"/>
                  <w:rPr>
                    <w:rFonts w:hint="eastAsia" w:ascii="Times New Roman" w:hAnsi="Times New Roman"/>
                    <w:szCs w:val="21"/>
                  </w:rPr>
                </w:pPr>
                <w:r>
                  <w:rPr>
                    <w:rFonts w:hint="eastAsia" w:ascii="Times New Roman" w:hAnsi="Times New Roman"/>
                    <w:szCs w:val="21"/>
                  </w:rPr>
                  <w:t>2023年金额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szCs w:val="21"/>
              </w:rPr>
            </w:pPr>
            <w:r>
              <w:rPr>
                <w:rFonts w:ascii="Times New Roman" w:hAnsi="Times New Roman"/>
                <w:szCs w:val="21"/>
              </w:rPr>
              <w:t>非流动</w:t>
            </w:r>
            <w:r>
              <w:rPr>
                <w:rFonts w:hint="eastAsia" w:ascii="Times New Roman" w:hAnsi="Times New Roman"/>
                <w:szCs w:val="21"/>
              </w:rPr>
              <w:t>性</w:t>
            </w:r>
            <w:r>
              <w:rPr>
                <w:rFonts w:ascii="Times New Roman" w:hAnsi="Times New Roman"/>
                <w:szCs w:val="21"/>
              </w:rPr>
              <w:t>资产处置损益</w:t>
            </w:r>
            <w:r>
              <w:rPr>
                <w:rFonts w:hint="eastAsia" w:ascii="Times New Roman" w:hAnsi="Times New Roman"/>
                <w:szCs w:val="21"/>
              </w:rPr>
              <w:t>，包括已计提资产减值准备的冲销部分</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-9,826.60</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p>
        </w:tc>
        <w:tc>
          <w:tcPr>
            <w:tcW w:w="1616" w:type="dxa"/>
            <w:vAlign w:val="center"/>
          </w:tcPr>
          <w:p>
            <w:pPr>
              <w:widowControl w:val="0"/>
              <w:jc w:val="righ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szCs w:val="21"/>
              </w:rPr>
            </w:pPr>
            <w:r>
              <w:rPr>
                <w:rFonts w:ascii="Times New Roman" w:hAnsi="Times New Roman"/>
                <w:szCs w:val="21"/>
              </w:rPr>
              <w:t>计入当期损益的政府补助</w:t>
            </w:r>
            <w:r>
              <w:rPr>
                <w:rFonts w:hint="eastAsia" w:ascii="Times New Roman" w:hAnsi="Times New Roman"/>
                <w:szCs w:val="21"/>
              </w:rPr>
              <w:t>，但与公司正常经营业务密切相关、符合国家政策规定、按照确定的标准享有、对公司损益产生持续影响的政府补助除外</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9,409,694.42</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r>
              <w:rPr>
                <w:rFonts w:hint="eastAsia" w:ascii="Times New Roman" w:hAnsi="Times New Roman"/>
                <w:color w:val="auto"/>
                <w:szCs w:val="21"/>
              </w:rPr>
              <w:t>8,737,465.60</w:t>
            </w:r>
          </w:p>
        </w:tc>
        <w:tc>
          <w:tcPr>
            <w:tcW w:w="1616" w:type="dxa"/>
            <w:vAlign w:val="center"/>
          </w:tcPr>
          <w:p>
            <w:pPr>
              <w:widowControl w:val="0"/>
              <w:jc w:val="right"/>
              <w:rPr>
                <w:rFonts w:ascii="Times New Roman" w:hAnsi="Times New Roman"/>
                <w:szCs w:val="21"/>
              </w:rPr>
            </w:pPr>
            <w:r>
              <w:rPr>
                <w:rFonts w:hint="eastAsia" w:ascii="Times New Roman" w:hAnsi="Times New Roman"/>
                <w:color w:val="auto"/>
                <w:szCs w:val="21"/>
              </w:rPr>
              <w:t>6,938,601.93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rPr>
            </w:pPr>
            <w:r>
              <w:rPr>
                <w:rFonts w:hint="eastAsia" w:ascii="Times New Roman" w:hAnsi="Times New Roman"/>
              </w:rPr>
              <w:t>除同公司正常经营业务相关的有效套期保值业务外，</w:t>
            </w:r>
            <w:r>
              <w:rPr>
                <w:rFonts w:ascii="Times New Roman" w:hAnsi="Times New Roman"/>
              </w:rPr>
              <w:t>非金融企业持有金融资产和金融负债产生的公允价值变动损益以及处置金融资产和金融负债产生的损益</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-4,428,195.28</w:t>
            </w:r>
          </w:p>
        </w:tc>
        <w:tc>
          <w:tcPr>
            <w:tcW w:w="982" w:type="dxa"/>
            <w:vAlign w:val="center"/>
          </w:tcPr>
          <w:p>
            <w:pPr>
              <w:widowControl w:val="0"/>
              <w:jc w:val="both"/>
              <w:rPr>
                <w:rFonts w:ascii="Times New Roman" w:hAnsi="Times New Roman"/>
                <w:szCs w:val="21"/>
              </w:rPr>
            </w:pPr>
            <w:r>
              <w:rPr>
                <w:rFonts w:hint="eastAsia" w:ascii="Times New Roman" w:hAnsi="Times New Roman"/>
              </w:rPr>
              <w:t>　</w:t>
            </w:r>
          </w:p>
        </w:tc>
        <w:tc>
          <w:tcPr>
            <w:tcW w:w="1549" w:type="dxa"/>
            <w:vAlign w:val="center"/>
          </w:tcPr>
          <w:p>
            <w:pPr>
              <w:widowControl w:val="0"/>
              <w:jc w:val="right"/>
              <w:rPr>
                <w:rFonts w:ascii="Times New Roman" w:hAnsi="Times New Roman"/>
                <w:szCs w:val="21"/>
              </w:rPr>
            </w:pPr>
            <w:r>
              <w:rPr>
                <w:rFonts w:hint="eastAsia" w:ascii="Times New Roman" w:hAnsi="Times New Roman"/>
                <w:color w:val="auto"/>
              </w:rPr>
              <w:t>87,741,824.53</w:t>
            </w:r>
          </w:p>
        </w:tc>
        <w:tc>
          <w:tcPr>
            <w:tcW w:w="1616" w:type="dxa"/>
            <w:vAlign w:val="center"/>
          </w:tcPr>
          <w:p>
            <w:pPr>
              <w:widowControl w:val="0"/>
              <w:jc w:val="right"/>
              <w:rPr>
                <w:rFonts w:ascii="Times New Roman" w:hAnsi="Times New Roman"/>
                <w:szCs w:val="21"/>
              </w:rPr>
            </w:pPr>
            <w:r>
              <w:rPr>
                <w:rFonts w:hint="eastAsia" w:ascii="Times New Roman" w:hAnsi="Times New Roman"/>
                <w:color w:val="auto"/>
              </w:rPr>
              <w:t>4,632,585.20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szCs w:val="21"/>
              </w:rPr>
            </w:pPr>
            <w:r>
              <w:rPr>
                <w:rFonts w:ascii="Times New Roman" w:hAnsi="Times New Roman"/>
                <w:szCs w:val="21"/>
              </w:rPr>
              <w:t>计入当期损益的对非金融企业收取的资金占用费</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　</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p>
        </w:tc>
        <w:tc>
          <w:tcPr>
            <w:tcW w:w="1616" w:type="dxa"/>
            <w:vAlign w:val="center"/>
          </w:tcPr>
          <w:p>
            <w:pPr>
              <w:widowControl w:val="0"/>
              <w:jc w:val="righ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szCs w:val="21"/>
              </w:rPr>
            </w:pPr>
            <w:r>
              <w:rPr>
                <w:rFonts w:ascii="Times New Roman" w:hAnsi="Times New Roman"/>
                <w:szCs w:val="21"/>
              </w:rPr>
              <w:t>委托他人投资或管理资产的损益</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　</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p>
        </w:tc>
        <w:tc>
          <w:tcPr>
            <w:tcW w:w="1616" w:type="dxa"/>
            <w:vAlign w:val="center"/>
          </w:tcPr>
          <w:p>
            <w:pPr>
              <w:widowControl w:val="0"/>
              <w:jc w:val="righ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szCs w:val="21"/>
              </w:rPr>
            </w:pPr>
            <w:r>
              <w:rPr>
                <w:rFonts w:ascii="Times New Roman" w:hAnsi="Times New Roman"/>
                <w:szCs w:val="21"/>
              </w:rPr>
              <w:t>对外委托贷款取得的损益</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　</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p>
        </w:tc>
        <w:tc>
          <w:tcPr>
            <w:tcW w:w="1616" w:type="dxa"/>
            <w:vAlign w:val="center"/>
          </w:tcPr>
          <w:p>
            <w:pPr>
              <w:widowControl w:val="0"/>
              <w:jc w:val="righ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szCs w:val="21"/>
              </w:rPr>
            </w:pPr>
            <w:r>
              <w:rPr>
                <w:rFonts w:ascii="Times New Roman" w:hAnsi="Times New Roman"/>
                <w:szCs w:val="21"/>
              </w:rPr>
              <w:t>因不可抗力因</w:t>
            </w:r>
            <w:r>
              <w:rPr>
                <w:rFonts w:hint="eastAsia" w:ascii="Times New Roman" w:hAnsi="Times New Roman"/>
                <w:szCs w:val="21"/>
              </w:rPr>
              <w:t>素，如遭受自然灾害而产生的各项资产损失</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　</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p>
        </w:tc>
        <w:tc>
          <w:tcPr>
            <w:tcW w:w="1616" w:type="dxa"/>
            <w:vAlign w:val="center"/>
          </w:tcPr>
          <w:p>
            <w:pPr>
              <w:widowControl w:val="0"/>
              <w:jc w:val="righ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rPr>
            </w:pPr>
            <w:r>
              <w:rPr>
                <w:rFonts w:hint="eastAsia" w:ascii="Times New Roman" w:hAnsi="Times New Roman"/>
              </w:rPr>
              <w:t>单独进行减值测试的应收款项减值准备转回</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7,440.94</w:t>
            </w:r>
          </w:p>
        </w:tc>
        <w:tc>
          <w:tcPr>
            <w:tcW w:w="982" w:type="dxa"/>
            <w:vAlign w:val="center"/>
          </w:tcPr>
          <w:p>
            <w:pPr>
              <w:widowControl w:val="0"/>
              <w:jc w:val="both"/>
              <w:rPr>
                <w:rFonts w:ascii="Times New Roman" w:hAnsi="Times New Roman"/>
                <w:szCs w:val="21"/>
              </w:rPr>
            </w:pPr>
            <w:r>
              <w:rPr>
                <w:rFonts w:hint="eastAsia" w:ascii="Times New Roman" w:hAnsi="Times New Roman"/>
              </w:rPr>
              <w:t>　</w:t>
            </w:r>
          </w:p>
        </w:tc>
        <w:tc>
          <w:tcPr>
            <w:tcW w:w="1549" w:type="dxa"/>
            <w:vAlign w:val="center"/>
          </w:tcPr>
          <w:p>
            <w:pPr>
              <w:widowControl w:val="0"/>
              <w:jc w:val="right"/>
              <w:rPr>
                <w:rFonts w:ascii="Times New Roman" w:hAnsi="Times New Roman"/>
                <w:szCs w:val="21"/>
              </w:rPr>
            </w:pPr>
          </w:p>
        </w:tc>
        <w:tc>
          <w:tcPr>
            <w:tcW w:w="1616" w:type="dxa"/>
            <w:vAlign w:val="center"/>
          </w:tcPr>
          <w:p>
            <w:pPr>
              <w:widowControl w:val="0"/>
              <w:jc w:val="righ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szCs w:val="21"/>
              </w:rPr>
            </w:pPr>
            <w:r>
              <w:rPr>
                <w:rFonts w:ascii="Times New Roman" w:hAnsi="Times New Roman"/>
                <w:szCs w:val="21"/>
              </w:rPr>
              <w:t>企业取得子公司、联营企业及合营企业的投资成本小于取得投资时应享有被投资单位可辨认净资产公允价值产生的收益</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　</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p>
        </w:tc>
        <w:tc>
          <w:tcPr>
            <w:tcW w:w="1616" w:type="dxa"/>
            <w:vAlign w:val="center"/>
          </w:tcPr>
          <w:p>
            <w:pPr>
              <w:widowControl w:val="0"/>
              <w:jc w:val="righ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szCs w:val="21"/>
              </w:rPr>
            </w:pPr>
            <w:r>
              <w:rPr>
                <w:rFonts w:ascii="Times New Roman" w:hAnsi="Times New Roman"/>
                <w:szCs w:val="21"/>
              </w:rPr>
              <w:t>同一控制下企业合并产生的子公司期初至合并日的当期净损益</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　</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p>
        </w:tc>
        <w:tc>
          <w:tcPr>
            <w:tcW w:w="1616" w:type="dxa"/>
            <w:vAlign w:val="center"/>
          </w:tcPr>
          <w:p>
            <w:pPr>
              <w:widowControl w:val="0"/>
              <w:jc w:val="righ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szCs w:val="21"/>
              </w:rPr>
            </w:pPr>
            <w:r>
              <w:rPr>
                <w:rFonts w:ascii="Times New Roman" w:hAnsi="Times New Roman"/>
                <w:szCs w:val="21"/>
              </w:rPr>
              <w:t>非货币性资产交换损益</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　</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p>
        </w:tc>
        <w:tc>
          <w:tcPr>
            <w:tcW w:w="1616" w:type="dxa"/>
            <w:vAlign w:val="center"/>
          </w:tcPr>
          <w:p>
            <w:pPr>
              <w:widowControl w:val="0"/>
              <w:jc w:val="righ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szCs w:val="21"/>
              </w:rPr>
            </w:pPr>
            <w:r>
              <w:rPr>
                <w:rFonts w:ascii="Times New Roman" w:hAnsi="Times New Roman"/>
                <w:szCs w:val="21"/>
              </w:rPr>
              <w:t>债务重组损益</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-644,055.24</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p>
        </w:tc>
        <w:tc>
          <w:tcPr>
            <w:tcW w:w="1616" w:type="dxa"/>
            <w:vAlign w:val="center"/>
          </w:tcPr>
          <w:p>
            <w:pPr>
              <w:widowControl w:val="0"/>
              <w:jc w:val="righ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szCs w:val="21"/>
              </w:rPr>
            </w:pPr>
            <w:r>
              <w:rPr>
                <w:rFonts w:ascii="Times New Roman" w:hAnsi="Times New Roman"/>
                <w:szCs w:val="21"/>
              </w:rPr>
              <w:t>企业</w:t>
            </w:r>
            <w:r>
              <w:rPr>
                <w:rFonts w:hint="eastAsia" w:ascii="Times New Roman" w:hAnsi="Times New Roman"/>
                <w:szCs w:val="21"/>
              </w:rPr>
              <w:t>因相关经营活动不再持续而发生的一次性费用，如安置职工的支出等</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　</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p>
        </w:tc>
        <w:tc>
          <w:tcPr>
            <w:tcW w:w="1616" w:type="dxa"/>
            <w:vAlign w:val="center"/>
          </w:tcPr>
          <w:p>
            <w:pPr>
              <w:widowControl w:val="0"/>
              <w:jc w:val="righ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szCs w:val="21"/>
              </w:rPr>
            </w:pPr>
            <w:r>
              <w:rPr>
                <w:rFonts w:ascii="Times New Roman" w:hAnsi="Times New Roman"/>
                <w:szCs w:val="21"/>
              </w:rPr>
              <w:t>因税收、会计等法律、法规</w:t>
            </w:r>
            <w:r>
              <w:rPr>
                <w:rFonts w:hint="eastAsia" w:ascii="Times New Roman" w:hAnsi="Times New Roman"/>
                <w:szCs w:val="21"/>
              </w:rPr>
              <w:t>的调整对当期损益产生的一次性影响</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　</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p>
        </w:tc>
        <w:tc>
          <w:tcPr>
            <w:tcW w:w="1616" w:type="dxa"/>
            <w:vAlign w:val="center"/>
          </w:tcPr>
          <w:p>
            <w:pPr>
              <w:widowControl w:val="0"/>
              <w:jc w:val="righ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rPr>
            </w:pPr>
            <w:r>
              <w:rPr>
                <w:rFonts w:ascii="Times New Roman" w:hAnsi="Times New Roman"/>
              </w:rPr>
              <w:t>因取消、修改股权激励计划一次性确认的股份支付费用</w:t>
            </w:r>
          </w:p>
        </w:tc>
        <w:tc>
          <w:tcPr>
            <w:tcW w:w="1494" w:type="dxa"/>
            <w:vAlign w:val="center"/>
          </w:tcPr>
          <w:p>
            <w:pPr>
              <w:widowControl w:val="0"/>
              <w:jc w:val="right"/>
              <w:rPr>
                <w:rFonts w:ascii="Times New Roman" w:hAnsi="Times New Roman"/>
                <w:szCs w:val="21"/>
              </w:rPr>
            </w:pPr>
            <w:r>
              <w:rPr>
                <w:rFonts w:hint="eastAsia" w:ascii="Times New Roman" w:hAnsi="Times New Roman"/>
              </w:rPr>
              <w:t>　</w:t>
            </w:r>
          </w:p>
        </w:tc>
        <w:tc>
          <w:tcPr>
            <w:tcW w:w="982" w:type="dxa"/>
            <w:vAlign w:val="center"/>
          </w:tcPr>
          <w:p>
            <w:pPr>
              <w:widowControl w:val="0"/>
              <w:jc w:val="both"/>
              <w:rPr>
                <w:rFonts w:ascii="Times New Roman" w:hAnsi="Times New Roman"/>
                <w:szCs w:val="21"/>
              </w:rPr>
            </w:pPr>
          </w:p>
        </w:tc>
        <w:tc>
          <w:tcPr>
            <w:tcW w:w="1549" w:type="dxa"/>
            <w:vAlign w:val="center"/>
          </w:tcPr>
          <w:p>
            <w:pPr>
              <w:widowControl w:val="0"/>
              <w:jc w:val="right"/>
              <w:rPr>
                <w:rFonts w:ascii="Times New Roman" w:hAnsi="Times New Roman"/>
                <w:szCs w:val="21"/>
              </w:rPr>
            </w:pPr>
          </w:p>
        </w:tc>
        <w:tc>
          <w:tcPr>
            <w:tcW w:w="1616" w:type="dxa"/>
            <w:vAlign w:val="center"/>
          </w:tcPr>
          <w:p>
            <w:pPr>
              <w:widowControl w:val="0"/>
              <w:jc w:val="righ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rPr>
            </w:pPr>
            <w:r>
              <w:rPr>
                <w:rFonts w:ascii="Times New Roman" w:hAnsi="Times New Roman"/>
              </w:rPr>
              <w:t>对于现金结算的股份支付，在可行权日之后，应付职工薪酬的公允价值变动产生的损益</w:t>
            </w:r>
          </w:p>
        </w:tc>
        <w:tc>
          <w:tcPr>
            <w:tcW w:w="1494" w:type="dxa"/>
            <w:vAlign w:val="center"/>
          </w:tcPr>
          <w:p>
            <w:pPr>
              <w:widowControl w:val="0"/>
              <w:jc w:val="right"/>
              <w:rPr>
                <w:rFonts w:ascii="Times New Roman" w:hAnsi="Times New Roman"/>
                <w:szCs w:val="21"/>
              </w:rPr>
            </w:pPr>
            <w:r>
              <w:rPr>
                <w:rFonts w:hint="eastAsia" w:ascii="Times New Roman" w:hAnsi="Times New Roman"/>
              </w:rPr>
              <w:t>　</w:t>
            </w:r>
          </w:p>
        </w:tc>
        <w:tc>
          <w:tcPr>
            <w:tcW w:w="982" w:type="dxa"/>
            <w:vAlign w:val="center"/>
          </w:tcPr>
          <w:p>
            <w:pPr>
              <w:widowControl w:val="0"/>
              <w:jc w:val="both"/>
              <w:rPr>
                <w:rFonts w:ascii="Times New Roman" w:hAnsi="Times New Roman"/>
                <w:szCs w:val="21"/>
              </w:rPr>
            </w:pPr>
          </w:p>
        </w:tc>
        <w:tc>
          <w:tcPr>
            <w:tcW w:w="1549" w:type="dxa"/>
            <w:vAlign w:val="center"/>
          </w:tcPr>
          <w:p>
            <w:pPr>
              <w:widowControl w:val="0"/>
              <w:jc w:val="right"/>
              <w:rPr>
                <w:rFonts w:ascii="Times New Roman" w:hAnsi="Times New Roman"/>
                <w:szCs w:val="21"/>
              </w:rPr>
            </w:pPr>
          </w:p>
        </w:tc>
        <w:tc>
          <w:tcPr>
            <w:tcW w:w="1616" w:type="dxa"/>
            <w:vAlign w:val="center"/>
          </w:tcPr>
          <w:p>
            <w:pPr>
              <w:widowControl w:val="0"/>
              <w:jc w:val="righ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szCs w:val="21"/>
              </w:rPr>
            </w:pPr>
            <w:r>
              <w:rPr>
                <w:rFonts w:ascii="Times New Roman" w:hAnsi="Times New Roman"/>
                <w:szCs w:val="21"/>
              </w:rPr>
              <w:t>采用公允价值模式进行后续计量的投资性房地产公允价值变动产生的损益</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　</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p>
        </w:tc>
        <w:tc>
          <w:tcPr>
            <w:tcW w:w="1616" w:type="dxa"/>
            <w:vAlign w:val="center"/>
          </w:tcPr>
          <w:p>
            <w:pPr>
              <w:widowControl w:val="0"/>
              <w:jc w:val="righ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szCs w:val="21"/>
              </w:rPr>
            </w:pPr>
            <w:r>
              <w:rPr>
                <w:rFonts w:hint="eastAsia" w:ascii="Times New Roman" w:hAnsi="Times New Roman"/>
                <w:szCs w:val="21"/>
              </w:rPr>
              <w:t>交易价格显失公允的交易产生的收益</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　</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p>
        </w:tc>
        <w:tc>
          <w:tcPr>
            <w:tcW w:w="1616" w:type="dxa"/>
            <w:vAlign w:val="center"/>
          </w:tcPr>
          <w:p>
            <w:pPr>
              <w:widowControl w:val="0"/>
              <w:jc w:val="righ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szCs w:val="21"/>
              </w:rPr>
            </w:pPr>
            <w:r>
              <w:rPr>
                <w:rFonts w:ascii="Times New Roman" w:hAnsi="Times New Roman"/>
                <w:szCs w:val="21"/>
              </w:rPr>
              <w:t>与公司正常经营业务无关的或有事项产生的损益</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　</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p>
        </w:tc>
        <w:tc>
          <w:tcPr>
            <w:tcW w:w="1616" w:type="dxa"/>
            <w:vAlign w:val="center"/>
          </w:tcPr>
          <w:p>
            <w:pPr>
              <w:widowControl w:val="0"/>
              <w:jc w:val="righ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szCs w:val="21"/>
              </w:rPr>
            </w:pPr>
            <w:r>
              <w:rPr>
                <w:rFonts w:ascii="Times New Roman" w:hAnsi="Times New Roman"/>
                <w:szCs w:val="21"/>
              </w:rPr>
              <w:t>受托经营取得的托管费收入</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　</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p>
        </w:tc>
        <w:tc>
          <w:tcPr>
            <w:tcW w:w="1616" w:type="dxa"/>
            <w:vAlign w:val="center"/>
          </w:tcPr>
          <w:p>
            <w:pPr>
              <w:widowControl w:val="0"/>
              <w:jc w:val="righ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szCs w:val="21"/>
              </w:rPr>
            </w:pPr>
            <w:r>
              <w:rPr>
                <w:rFonts w:ascii="Times New Roman" w:hAnsi="Times New Roman"/>
                <w:szCs w:val="21"/>
              </w:rPr>
              <w:t>除上述各项之外的其他营业外收入和支出</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2,078,608.28</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r>
              <w:rPr>
                <w:rFonts w:hint="eastAsia" w:ascii="Times New Roman" w:hAnsi="Times New Roman"/>
                <w:color w:val="auto"/>
                <w:szCs w:val="21"/>
              </w:rPr>
              <w:t>-717,537.08</w:t>
            </w:r>
          </w:p>
        </w:tc>
        <w:tc>
          <w:tcPr>
            <w:tcW w:w="1616" w:type="dxa"/>
            <w:vAlign w:val="center"/>
          </w:tcPr>
          <w:p>
            <w:pPr>
              <w:widowControl w:val="0"/>
              <w:jc w:val="right"/>
              <w:rPr>
                <w:rFonts w:ascii="Times New Roman" w:hAnsi="Times New Roman"/>
                <w:szCs w:val="21"/>
              </w:rPr>
            </w:pPr>
            <w:r>
              <w:rPr>
                <w:rFonts w:hint="eastAsia" w:ascii="Times New Roman" w:hAnsi="Times New Roman"/>
                <w:color w:val="auto"/>
                <w:szCs w:val="21"/>
              </w:rPr>
              <w:t>-804,200.99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szCs w:val="21"/>
              </w:rPr>
            </w:pPr>
            <w:r>
              <w:rPr>
                <w:rFonts w:ascii="Times New Roman" w:hAnsi="Times New Roman"/>
                <w:szCs w:val="21"/>
              </w:rPr>
              <w:t>其他符合非经常性损益定义的损益项目</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　</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p>
        </w:tc>
        <w:tc>
          <w:tcPr>
            <w:tcW w:w="1616" w:type="dxa"/>
            <w:vAlign w:val="center"/>
          </w:tcPr>
          <w:p>
            <w:pPr>
              <w:widowControl w:val="0"/>
              <w:jc w:val="righ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left"/>
              <w:rPr>
                <w:rFonts w:ascii="Times New Roman" w:hAnsi="Times New Roman"/>
                <w:szCs w:val="21"/>
              </w:rPr>
            </w:pPr>
            <w:r>
              <w:rPr>
                <w:rFonts w:hint="eastAsia" w:ascii="Times New Roman" w:hAnsi="Times New Roman"/>
              </w:rPr>
              <w:t>减：</w:t>
            </w:r>
            <w:r>
              <w:rPr>
                <w:rFonts w:ascii="Times New Roman" w:hAnsi="Times New Roman"/>
                <w:szCs w:val="21"/>
              </w:rPr>
              <w:t>所得税影响额</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295,971.72</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r>
              <w:rPr>
                <w:rFonts w:hint="eastAsia" w:ascii="Times New Roman" w:hAnsi="Times New Roman"/>
                <w:color w:val="auto"/>
                <w:szCs w:val="21"/>
              </w:rPr>
              <w:t>23,293,161.66</w:t>
            </w:r>
          </w:p>
        </w:tc>
        <w:tc>
          <w:tcPr>
            <w:tcW w:w="1616" w:type="dxa"/>
            <w:vAlign w:val="center"/>
          </w:tcPr>
          <w:p>
            <w:pPr>
              <w:widowControl w:val="0"/>
              <w:jc w:val="right"/>
              <w:rPr>
                <w:rFonts w:ascii="Times New Roman" w:hAnsi="Times New Roman"/>
                <w:szCs w:val="21"/>
              </w:rPr>
            </w:pPr>
            <w:r>
              <w:rPr>
                <w:rFonts w:hint="eastAsia" w:ascii="Times New Roman" w:hAnsi="Times New Roman"/>
                <w:color w:val="auto"/>
                <w:szCs w:val="21"/>
              </w:rPr>
              <w:t>2,167,728.68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jc w:val="left"/>
              <w:rPr>
                <w:rFonts w:ascii="Times New Roman" w:hAnsi="Times New Roman"/>
                <w:szCs w:val="21"/>
              </w:rPr>
            </w:pPr>
            <w:r>
              <w:rPr>
                <w:rFonts w:ascii="Times New Roman" w:hAnsi="Times New Roman"/>
                <w:szCs w:val="21"/>
              </w:rPr>
              <w:t>少数股东权益影响额</w:t>
            </w:r>
            <w:r>
              <w:rPr>
                <w:rFonts w:hint="eastAsia" w:ascii="Times New Roman" w:hAnsi="Times New Roman"/>
                <w:szCs w:val="21"/>
              </w:rPr>
              <w:t>（税后）</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551,362.60</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r>
              <w:rPr>
                <w:rFonts w:hint="eastAsia" w:ascii="Times New Roman" w:hAnsi="Times New Roman"/>
                <w:color w:val="auto"/>
                <w:szCs w:val="21"/>
              </w:rPr>
              <w:t>317,079.76</w:t>
            </w:r>
          </w:p>
        </w:tc>
        <w:tc>
          <w:tcPr>
            <w:tcW w:w="1616" w:type="dxa"/>
            <w:vAlign w:val="center"/>
          </w:tcPr>
          <w:p>
            <w:pPr>
              <w:widowControl w:val="0"/>
              <w:jc w:val="right"/>
              <w:rPr>
                <w:rFonts w:ascii="Times New Roman" w:hAnsi="Times New Roman"/>
                <w:szCs w:val="21"/>
              </w:rPr>
            </w:pPr>
            <w:r>
              <w:rPr>
                <w:rFonts w:hint="eastAsia" w:ascii="Times New Roman" w:hAnsi="Times New Roman"/>
                <w:color w:val="auto"/>
                <w:szCs w:val="21"/>
              </w:rPr>
              <w:t>23,750.13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vAlign w:val="center"/>
          </w:tcPr>
          <w:p>
            <w:pPr>
              <w:pStyle w:val="56"/>
              <w:ind w:firstLine="0" w:firstLineChars="0"/>
              <w:jc w:val="center"/>
              <w:rPr>
                <w:rFonts w:ascii="Times New Roman" w:hAnsi="Times New Roman"/>
                <w:szCs w:val="21"/>
              </w:rPr>
            </w:pPr>
            <w:r>
              <w:rPr>
                <w:rFonts w:ascii="Times New Roman" w:hAnsi="Times New Roman"/>
                <w:szCs w:val="21"/>
              </w:rPr>
              <w:t>合计</w:t>
            </w:r>
          </w:p>
        </w:tc>
        <w:tc>
          <w:tcPr>
            <w:tcW w:w="1494" w:type="dxa"/>
            <w:vAlign w:val="center"/>
          </w:tcPr>
          <w:p>
            <w:pPr>
              <w:widowControl w:val="0"/>
              <w:jc w:val="right"/>
              <w:rPr>
                <w:rFonts w:ascii="Times New Roman" w:hAnsi="Times New Roman"/>
                <w:szCs w:val="21"/>
              </w:rPr>
            </w:pPr>
            <w:r>
              <w:rPr>
                <w:rFonts w:hint="eastAsia" w:ascii="Times New Roman" w:hAnsi="Times New Roman"/>
                <w:szCs w:val="21"/>
              </w:rPr>
              <w:t>5,566,332.20</w:t>
            </w:r>
          </w:p>
        </w:tc>
        <w:tc>
          <w:tcPr>
            <w:tcW w:w="982" w:type="dxa"/>
            <w:vAlign w:val="center"/>
          </w:tcPr>
          <w:p>
            <w:pPr>
              <w:widowControl w:val="0"/>
              <w:jc w:val="both"/>
              <w:rPr>
                <w:rFonts w:ascii="Times New Roman" w:hAnsi="Times New Roman"/>
                <w:szCs w:val="21"/>
              </w:rPr>
            </w:pPr>
            <w:r>
              <w:rPr>
                <w:rFonts w:hint="eastAsia" w:ascii="Times New Roman" w:hAnsi="Times New Roman"/>
                <w:szCs w:val="21"/>
              </w:rPr>
              <w:t>　</w:t>
            </w:r>
          </w:p>
        </w:tc>
        <w:tc>
          <w:tcPr>
            <w:tcW w:w="1549" w:type="dxa"/>
            <w:vAlign w:val="center"/>
          </w:tcPr>
          <w:p>
            <w:pPr>
              <w:widowControl w:val="0"/>
              <w:jc w:val="right"/>
              <w:rPr>
                <w:rFonts w:ascii="Times New Roman" w:hAnsi="Times New Roman"/>
                <w:szCs w:val="21"/>
              </w:rPr>
            </w:pPr>
            <w:r>
              <w:rPr>
                <w:rFonts w:hint="eastAsia" w:ascii="Times New Roman" w:hAnsi="Times New Roman"/>
                <w:color w:val="auto"/>
                <w:szCs w:val="21"/>
              </w:rPr>
              <w:t>72,151,511.63</w:t>
            </w:r>
          </w:p>
        </w:tc>
        <w:tc>
          <w:tcPr>
            <w:tcW w:w="1616" w:type="dxa"/>
            <w:vAlign w:val="center"/>
          </w:tcPr>
          <w:p>
            <w:pPr>
              <w:widowControl w:val="0"/>
              <w:jc w:val="right"/>
              <w:rPr>
                <w:rFonts w:ascii="Times New Roman" w:hAnsi="Times New Roman"/>
                <w:szCs w:val="21"/>
              </w:rPr>
            </w:pPr>
            <w:r>
              <w:rPr>
                <w:rFonts w:hint="eastAsia" w:ascii="Times New Roman" w:hAnsi="Times New Roman"/>
                <w:color w:val="auto"/>
                <w:szCs w:val="21"/>
              </w:rPr>
              <w:t>8,575,507.33</w:t>
            </w:r>
          </w:p>
        </w:tc>
      </w:tr>
    </w:tbl>
    <w:p/>
    <w:bookmarkEnd w:id="29"/>
    <w:bookmarkEnd w:id="30"/>
    <w:p>
      <w:pPr>
        <w:pStyle w:val="22"/>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hAnsi="宋体"/>
          <w:kern w:val="0"/>
          <w:szCs w:val="21"/>
        </w:rPr>
      </w:pPr>
      <w:bookmarkStart w:id="31" w:name="_Hlk89096484"/>
      <w:bookmarkStart w:id="32" w:name="_Hlk41379873"/>
      <w:r>
        <w:rPr>
          <w:rFonts w:hint="eastAsia" w:hAnsi="宋体" w:cs="宋体"/>
          <w:kern w:val="0"/>
          <w:szCs w:val="21"/>
        </w:rPr>
        <w:t>对公司</w:t>
      </w:r>
      <w:r>
        <w:rPr>
          <w:rFonts w:hint="eastAsia"/>
          <w:szCs w:val="21"/>
        </w:rPr>
        <w:t>将《公开发行证券的公司信息披露解释性公告第</w:t>
      </w:r>
      <w:r>
        <w:rPr>
          <w:szCs w:val="21"/>
        </w:rPr>
        <w:t>1号——非经常性损益》未列举的项目认定为非经常性损益项目且金额重大的，以及将《公开发行证券的公司信息披露解释性公告第1号——非经常性损益》中列举的非经常性损益项目界定为经常性损益的项目，</w:t>
      </w:r>
      <w:r>
        <w:rPr>
          <w:rFonts w:hAnsi="宋体" w:cs="宋体"/>
          <w:kern w:val="0"/>
          <w:szCs w:val="21"/>
        </w:rPr>
        <w:t>应说明原因。</w:t>
      </w:r>
    </w:p>
    <w:sdt>
      <w:sdtPr>
        <w:alias w:val="是否适用：将非经常性损益项目界定为经常性损益项目[双击切换]"/>
        <w:tag w:val="_GBC_a4930715ddcb47d484e7fbd516fb3ac1"/>
        <w:id w:val="5693"/>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31"/>
    <w:bookmarkEnd w:id="32"/>
    <w:p/>
    <w:p>
      <w:pPr>
        <w:pStyle w:val="3"/>
        <w:numPr>
          <w:ilvl w:val="1"/>
          <w:numId w:val="4"/>
        </w:numPr>
        <w:ind w:left="496" w:hanging="498" w:hangingChars="236"/>
        <w:rPr>
          <w:rFonts w:hint="eastAsia" w:ascii="宋体" w:hAnsi="宋体" w:cs="宋体"/>
          <w:kern w:val="0"/>
          <w:szCs w:val="24"/>
        </w:rPr>
      </w:pPr>
      <w:bookmarkStart w:id="33" w:name="_Hlk188284396"/>
      <w:bookmarkEnd w:id="33"/>
      <w:bookmarkStart w:id="34" w:name="_Hlk89957177"/>
      <w:bookmarkEnd w:id="34"/>
      <w:bookmarkStart w:id="35" w:name="_Hlk190177857"/>
      <w:bookmarkEnd w:id="35"/>
      <w:bookmarkStart w:id="36" w:name="_Hlk189833556"/>
      <w:r>
        <w:rPr>
          <w:rFonts w:hint="eastAsia" w:ascii="宋体" w:hAnsi="宋体" w:cs="宋体"/>
          <w:kern w:val="0"/>
          <w:szCs w:val="24"/>
        </w:rPr>
        <w:t>存在股权激励、员工持股计划的公司可选择披露扣除股份支付影响后的净利润</w:t>
      </w:r>
    </w:p>
    <w:sdt>
      <w:sdtPr>
        <w:rPr>
          <w:rFonts w:hint="eastAsia"/>
        </w:rPr>
        <w:alias w:val="是否适用：扣除股份支付影响后的净利润[双击切换]"/>
        <w:tag w:val="_GBC_71c3b526e4394d84a9836f3f981280a3"/>
        <w:id w:val="5694"/>
        <w:placeholder>
          <w:docPart w:val="GBC22222222222222222222222222222"/>
        </w:placeholder>
      </w:sdtPr>
      <w:sdtEndPr>
        <w:rPr>
          <w:rFonts w:hint="eastAsia"/>
        </w:rPr>
      </w:sdtEndPr>
      <w:sdtContent>
        <w:p>
          <w:r>
            <w:rPr>
              <w:rFonts w:hint="eastAsia" w:ascii="宋体" w:hAnsi="宋体"/>
            </w:rPr>
            <w:fldChar w:fldCharType="begin"/>
          </w:r>
          <w:r>
            <w:rPr>
              <w:rFonts w:hint="eastAsia" w:ascii="宋体" w:hAnsi="宋体"/>
            </w:rPr>
            <w:instrText xml:space="preserve"> MACROBUTTON  SnrToggleCheckbox □适用 </w:instrText>
          </w:r>
          <w:r>
            <w:rPr>
              <w:rFonts w:hint="eastAsia" w:ascii="宋体" w:hAnsi="宋体"/>
            </w:rPr>
            <w:fldChar w:fldCharType="end"/>
          </w:r>
          <w:r>
            <w:rPr>
              <w:rFonts w:hint="eastAsia" w:ascii="宋体" w:hAnsi="宋体"/>
            </w:rPr>
            <w:fldChar w:fldCharType="begin"/>
          </w:r>
          <w:r>
            <w:rPr>
              <w:rFonts w:hint="eastAsia" w:ascii="宋体" w:hAnsi="宋体"/>
            </w:rPr>
            <w:instrText xml:space="preserve"> MACROBUTTON  SnrToggleCheckbox √不适用 </w:instrText>
          </w:r>
          <w:r>
            <w:rPr>
              <w:rFonts w:hint="eastAsia" w:ascii="宋体" w:hAnsi="宋体"/>
            </w:rPr>
            <w:fldChar w:fldCharType="end"/>
          </w:r>
        </w:p>
      </w:sdtContent>
    </w:sdt>
    <w:bookmarkEnd w:id="36"/>
    <w:p>
      <w:pPr>
        <w:pStyle w:val="3"/>
        <w:numPr>
          <w:ilvl w:val="1"/>
          <w:numId w:val="4"/>
        </w:numPr>
        <w:ind w:left="496" w:hanging="498" w:hangingChars="236"/>
      </w:pPr>
      <w:bookmarkStart w:id="37" w:name="_Hlk191559067"/>
      <w:bookmarkEnd w:id="37"/>
      <w:bookmarkStart w:id="38" w:name="_Hlk191559048"/>
      <w:bookmarkEnd w:id="38"/>
      <w:bookmarkStart w:id="39" w:name="_Hlk191559014"/>
      <w:bookmarkEnd w:id="39"/>
      <w:r>
        <w:rPr>
          <w:rFonts w:hint="eastAsia"/>
        </w:rPr>
        <w:t>采用公允价值计量的项目</w:t>
      </w:r>
    </w:p>
    <w:sdt>
      <w:sdtPr>
        <w:alias w:val="是否适用：采用公允价值计量的项目[双击切换]"/>
        <w:tag w:val="_GBC_e89d76d7486246e0ac1d3db15e4df008"/>
        <w:id w:val="5695"/>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wordWrap w:val="0"/>
        <w:jc w:val="right"/>
        <w:rPr>
          <w:rFonts w:hint="eastAsia" w:asciiTheme="minorEastAsia" w:hAnsiTheme="minorEastAsia" w:eastAsiaTheme="minorEastAsia"/>
          <w:szCs w:val="21"/>
        </w:rPr>
      </w:pPr>
      <w:r>
        <w:rPr>
          <w:rFonts w:hint="eastAsia" w:asciiTheme="minorEastAsia" w:hAnsiTheme="minorEastAsia" w:eastAsiaTheme="minorEastAsia"/>
          <w:szCs w:val="21"/>
        </w:rPr>
        <w:t>单位：</w:t>
      </w:r>
      <w:sdt>
        <w:sdtPr>
          <w:rPr>
            <w:rFonts w:hint="eastAsia" w:asciiTheme="minorEastAsia" w:hAnsiTheme="minorEastAsia" w:eastAsiaTheme="minorEastAsia"/>
            <w:szCs w:val="21"/>
          </w:rPr>
          <w:alias w:val="单位：采用公允价值计量的项目"/>
          <w:tag w:val="_GBC_3db790decc6f48c79df9bb825ea34c80"/>
          <w:id w:val="569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asciiTheme="minorEastAsia" w:hAnsiTheme="minorEastAsia" w:eastAsiaTheme="minorEastAsia"/>
            <w:szCs w:val="21"/>
          </w:rPr>
        </w:sdtEndPr>
        <w:sdtContent>
          <w:r>
            <w:rPr>
              <w:rFonts w:hint="eastAsia" w:asciiTheme="minorEastAsia" w:hAnsiTheme="minorEastAsia" w:eastAsiaTheme="minorEastAsia"/>
              <w:szCs w:val="21"/>
            </w:rPr>
            <w:t>元</w:t>
          </w:r>
        </w:sdtContent>
      </w:sdt>
      <w:r>
        <w:rPr>
          <w:rFonts w:hint="eastAsia" w:asciiTheme="minorEastAsia" w:hAnsiTheme="minorEastAsia" w:eastAsiaTheme="minorEastAsia"/>
          <w:szCs w:val="21"/>
        </w:rPr>
        <w:t xml:space="preserve">  币种：</w:t>
      </w:r>
      <w:sdt>
        <w:sdtPr>
          <w:rPr>
            <w:rFonts w:hint="eastAsia" w:asciiTheme="minorEastAsia" w:hAnsiTheme="minorEastAsia" w:eastAsiaTheme="minorEastAsia"/>
            <w:szCs w:val="21"/>
          </w:rPr>
          <w:alias w:val="币种：采用公允价值计量的项目"/>
          <w:tag w:val="_GBC_6f16a5f9084343f1b7cf46e770d31080"/>
          <w:id w:val="569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asciiTheme="minorEastAsia" w:hAnsiTheme="minorEastAsia" w:eastAsiaTheme="minorEastAsia"/>
            <w:szCs w:val="21"/>
          </w:rPr>
        </w:sdtEndPr>
        <w:sdtContent>
          <w:r>
            <w:rPr>
              <w:rFonts w:hint="eastAsia" w:asciiTheme="minorEastAsia" w:hAnsiTheme="minorEastAsia" w:eastAsiaTheme="minorEastAsia"/>
              <w:szCs w:val="21"/>
            </w:rPr>
            <w:t>人民币</w:t>
          </w:r>
        </w:sdtContent>
      </w:sdt>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9"/>
        <w:gridCol w:w="1701"/>
        <w:gridCol w:w="1710"/>
        <w:gridCol w:w="1695"/>
        <w:gridCol w:w="1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949" w:type="dxa"/>
            <w:vAlign w:val="center"/>
          </w:tcPr>
          <w:sdt>
            <w:sdtPr>
              <w:tag w:val="_PLD_7afb41bb6f11412490d2cf97e6a8af4a"/>
              <w:id w:val="5698"/>
            </w:sdtPr>
            <w:sdtContent>
              <w:p>
                <w:pPr>
                  <w:widowControl w:val="0"/>
                  <w:jc w:val="center"/>
                  <w:rPr>
                    <w:rFonts w:hint="eastAsia" w:asciiTheme="minorEastAsia" w:hAnsiTheme="minorEastAsia" w:eastAsiaTheme="minorEastAsia"/>
                    <w:szCs w:val="21"/>
                  </w:rPr>
                </w:pPr>
                <w:r>
                  <w:rPr>
                    <w:rFonts w:hint="eastAsia" w:asciiTheme="minorEastAsia" w:hAnsiTheme="minorEastAsia" w:eastAsiaTheme="minorEastAsia"/>
                    <w:szCs w:val="21"/>
                  </w:rPr>
                  <w:t>项目名称</w:t>
                </w:r>
              </w:p>
            </w:sdtContent>
          </w:sdt>
        </w:tc>
        <w:tc>
          <w:tcPr>
            <w:tcW w:w="1701" w:type="dxa"/>
            <w:vAlign w:val="center"/>
          </w:tcPr>
          <w:sdt>
            <w:sdtPr>
              <w:tag w:val="_PLD_da0df6228e264965b54ebbf01610457e"/>
              <w:id w:val="5699"/>
            </w:sdtPr>
            <w:sdtContent>
              <w:p>
                <w:pPr>
                  <w:widowControl w:val="0"/>
                  <w:jc w:val="center"/>
                  <w:rPr>
                    <w:rFonts w:hint="eastAsia" w:asciiTheme="minorEastAsia" w:hAnsiTheme="minorEastAsia" w:eastAsiaTheme="minorEastAsia"/>
                    <w:szCs w:val="21"/>
                  </w:rPr>
                </w:pPr>
                <w:r>
                  <w:rPr>
                    <w:rFonts w:hint="eastAsia" w:asciiTheme="minorEastAsia" w:hAnsiTheme="minorEastAsia" w:eastAsiaTheme="minorEastAsia"/>
                    <w:szCs w:val="21"/>
                  </w:rPr>
                  <w:t>期初余额</w:t>
                </w:r>
              </w:p>
            </w:sdtContent>
          </w:sdt>
        </w:tc>
        <w:tc>
          <w:tcPr>
            <w:tcW w:w="1710" w:type="dxa"/>
            <w:vAlign w:val="center"/>
          </w:tcPr>
          <w:sdt>
            <w:sdtPr>
              <w:tag w:val="_PLD_32f24a9a3da24799945b9be672e1778c"/>
              <w:id w:val="5700"/>
            </w:sdtPr>
            <w:sdtContent>
              <w:p>
                <w:pPr>
                  <w:widowControl w:val="0"/>
                  <w:jc w:val="center"/>
                  <w:rPr>
                    <w:rFonts w:hint="eastAsia" w:asciiTheme="minorEastAsia" w:hAnsiTheme="minorEastAsia" w:eastAsiaTheme="minorEastAsia"/>
                    <w:szCs w:val="21"/>
                  </w:rPr>
                </w:pPr>
                <w:r>
                  <w:rPr>
                    <w:rFonts w:hint="eastAsia" w:asciiTheme="minorEastAsia" w:hAnsiTheme="minorEastAsia" w:eastAsiaTheme="minorEastAsia"/>
                    <w:szCs w:val="21"/>
                  </w:rPr>
                  <w:t>期末余额</w:t>
                </w:r>
              </w:p>
            </w:sdtContent>
          </w:sdt>
        </w:tc>
        <w:tc>
          <w:tcPr>
            <w:tcW w:w="1695" w:type="dxa"/>
            <w:vAlign w:val="center"/>
          </w:tcPr>
          <w:sdt>
            <w:sdtPr>
              <w:tag w:val="_PLD_e96c7ea54e9845adafdee1a3e4d1777a"/>
              <w:id w:val="5701"/>
            </w:sdtPr>
            <w:sdtContent>
              <w:p>
                <w:pPr>
                  <w:widowControl w:val="0"/>
                  <w:jc w:val="center"/>
                  <w:rPr>
                    <w:rFonts w:hint="eastAsia" w:asciiTheme="minorEastAsia" w:hAnsiTheme="minorEastAsia" w:eastAsiaTheme="minorEastAsia"/>
                    <w:szCs w:val="21"/>
                  </w:rPr>
                </w:pPr>
                <w:r>
                  <w:rPr>
                    <w:rFonts w:hint="eastAsia" w:asciiTheme="minorEastAsia" w:hAnsiTheme="minorEastAsia" w:eastAsiaTheme="minorEastAsia"/>
                    <w:szCs w:val="21"/>
                  </w:rPr>
                  <w:t>当期变动</w:t>
                </w:r>
              </w:p>
            </w:sdtContent>
          </w:sdt>
        </w:tc>
        <w:tc>
          <w:tcPr>
            <w:tcW w:w="1992" w:type="dxa"/>
            <w:vAlign w:val="center"/>
          </w:tcPr>
          <w:sdt>
            <w:sdtPr>
              <w:tag w:val="_PLD_1472a884c9f543dba7a82865e73f1536"/>
              <w:id w:val="5702"/>
            </w:sdtPr>
            <w:sdtContent>
              <w:p>
                <w:pPr>
                  <w:widowControl w:val="0"/>
                  <w:jc w:val="center"/>
                  <w:rPr>
                    <w:rFonts w:hint="eastAsia" w:asciiTheme="minorEastAsia" w:hAnsiTheme="minorEastAsia" w:eastAsiaTheme="minorEastAsia"/>
                    <w:szCs w:val="21"/>
                  </w:rPr>
                </w:pPr>
                <w:r>
                  <w:rPr>
                    <w:rFonts w:hint="eastAsia" w:asciiTheme="minorEastAsia" w:hAnsiTheme="minorEastAsia" w:eastAsiaTheme="minorEastAsia"/>
                    <w:szCs w:val="21"/>
                  </w:rPr>
                  <w:t>对当期利润的影响金额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1949" w:type="dxa"/>
            <w:vAlign w:val="center"/>
          </w:tcPr>
          <w:p>
            <w:pPr>
              <w:widowControl w:val="0"/>
              <w:jc w:val="both"/>
              <w:rPr>
                <w:rFonts w:hint="eastAsia" w:asciiTheme="minorEastAsia" w:hAnsiTheme="minorEastAsia" w:eastAsiaTheme="minorEastAsia"/>
                <w:szCs w:val="21"/>
              </w:rPr>
            </w:pPr>
            <w:r>
              <w:rPr>
                <w:rFonts w:hint="eastAsia"/>
                <w:color w:val="auto"/>
                <w:szCs w:val="21"/>
              </w:rPr>
              <w:t>交易性金融资产</w:t>
            </w:r>
          </w:p>
        </w:tc>
        <w:tc>
          <w:tcPr>
            <w:tcW w:w="1701" w:type="dxa"/>
            <w:vAlign w:val="center"/>
          </w:tcPr>
          <w:p>
            <w:pPr>
              <w:widowControl w:val="0"/>
              <w:jc w:val="right"/>
              <w:rPr>
                <w:rFonts w:hint="eastAsia" w:asciiTheme="minorEastAsia" w:hAnsiTheme="minorEastAsia" w:eastAsiaTheme="minorEastAsia"/>
                <w:szCs w:val="21"/>
              </w:rPr>
            </w:pPr>
            <w:r>
              <w:rPr>
                <w:rFonts w:hint="eastAsia"/>
                <w:color w:val="auto"/>
                <w:szCs w:val="21"/>
              </w:rPr>
              <w:t>290,897,872.17</w:t>
            </w:r>
          </w:p>
        </w:tc>
        <w:tc>
          <w:tcPr>
            <w:tcW w:w="1710" w:type="dxa"/>
            <w:vAlign w:val="center"/>
          </w:tcPr>
          <w:p>
            <w:pPr>
              <w:widowControl w:val="0"/>
              <w:jc w:val="right"/>
              <w:rPr>
                <w:rFonts w:hint="eastAsia" w:asciiTheme="minorEastAsia" w:hAnsiTheme="minorEastAsia" w:eastAsiaTheme="minorEastAsia"/>
                <w:szCs w:val="21"/>
              </w:rPr>
            </w:pPr>
            <w:r>
              <w:rPr>
                <w:rFonts w:hint="eastAsia"/>
                <w:color w:val="auto"/>
                <w:szCs w:val="21"/>
              </w:rPr>
              <w:t>287,207,259.61</w:t>
            </w:r>
          </w:p>
        </w:tc>
        <w:tc>
          <w:tcPr>
            <w:tcW w:w="1695" w:type="dxa"/>
            <w:vAlign w:val="center"/>
          </w:tcPr>
          <w:p>
            <w:pPr>
              <w:widowControl w:val="0"/>
              <w:jc w:val="right"/>
              <w:rPr>
                <w:rFonts w:hint="eastAsia" w:asciiTheme="minorEastAsia" w:hAnsiTheme="minorEastAsia" w:eastAsiaTheme="minorEastAsia"/>
                <w:szCs w:val="21"/>
              </w:rPr>
            </w:pPr>
            <w:r>
              <w:rPr>
                <w:rFonts w:hint="eastAsia"/>
                <w:color w:val="auto"/>
                <w:szCs w:val="21"/>
              </w:rPr>
              <w:t>-3,690,612.56</w:t>
            </w:r>
          </w:p>
        </w:tc>
        <w:tc>
          <w:tcPr>
            <w:tcW w:w="1992" w:type="dxa"/>
            <w:vAlign w:val="center"/>
          </w:tcPr>
          <w:p>
            <w:pPr>
              <w:widowControl w:val="0"/>
              <w:jc w:val="right"/>
              <w:rPr>
                <w:rFonts w:hint="eastAsia" w:asciiTheme="minorEastAsia" w:hAnsiTheme="minorEastAsia" w:eastAsiaTheme="minorEastAsia"/>
                <w:szCs w:val="21"/>
              </w:rPr>
            </w:pPr>
            <w:r>
              <w:rPr>
                <w:rFonts w:hint="eastAsia"/>
                <w:color w:val="auto"/>
                <w:szCs w:val="21"/>
              </w:rPr>
              <w:t>684,700.08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949" w:type="dxa"/>
            <w:tcBorders>
              <w:bottom w:val="single" w:color="auto" w:sz="4" w:space="0"/>
            </w:tcBorders>
            <w:vAlign w:val="center"/>
          </w:tcPr>
          <w:p>
            <w:pPr>
              <w:widowControl w:val="0"/>
              <w:jc w:val="center"/>
              <w:rPr>
                <w:rFonts w:hint="eastAsia" w:asciiTheme="minorEastAsia" w:hAnsiTheme="minorEastAsia" w:eastAsiaTheme="minorEastAsia"/>
                <w:szCs w:val="21"/>
              </w:rPr>
            </w:pPr>
            <w:r>
              <w:rPr>
                <w:rFonts w:hint="eastAsia" w:asciiTheme="minorEastAsia" w:hAnsiTheme="minorEastAsia" w:eastAsiaTheme="minorEastAsia"/>
                <w:szCs w:val="21"/>
              </w:rPr>
              <w:t>合计</w:t>
            </w:r>
          </w:p>
        </w:tc>
        <w:tc>
          <w:tcPr>
            <w:tcW w:w="1701" w:type="dxa"/>
            <w:vAlign w:val="center"/>
          </w:tcPr>
          <w:p>
            <w:pPr>
              <w:widowControl w:val="0"/>
              <w:jc w:val="right"/>
              <w:rPr>
                <w:rFonts w:hint="eastAsia" w:asciiTheme="minorEastAsia" w:hAnsiTheme="minorEastAsia" w:eastAsiaTheme="minorEastAsia"/>
                <w:szCs w:val="21"/>
              </w:rPr>
            </w:pPr>
            <w:r>
              <w:rPr>
                <w:rFonts w:hint="eastAsia"/>
                <w:color w:val="auto"/>
                <w:szCs w:val="21"/>
              </w:rPr>
              <w:t>290,897,872.17</w:t>
            </w:r>
          </w:p>
        </w:tc>
        <w:tc>
          <w:tcPr>
            <w:tcW w:w="1710" w:type="dxa"/>
            <w:vAlign w:val="center"/>
          </w:tcPr>
          <w:p>
            <w:pPr>
              <w:widowControl w:val="0"/>
              <w:jc w:val="right"/>
              <w:rPr>
                <w:rFonts w:hint="eastAsia" w:asciiTheme="minorEastAsia" w:hAnsiTheme="minorEastAsia" w:eastAsiaTheme="minorEastAsia"/>
                <w:szCs w:val="21"/>
              </w:rPr>
            </w:pPr>
            <w:r>
              <w:rPr>
                <w:rFonts w:hint="eastAsia"/>
                <w:color w:val="auto"/>
                <w:szCs w:val="21"/>
              </w:rPr>
              <w:t>287,207,259.61</w:t>
            </w:r>
          </w:p>
        </w:tc>
        <w:tc>
          <w:tcPr>
            <w:tcW w:w="1695" w:type="dxa"/>
            <w:vAlign w:val="center"/>
          </w:tcPr>
          <w:p>
            <w:pPr>
              <w:widowControl w:val="0"/>
              <w:jc w:val="right"/>
              <w:rPr>
                <w:rFonts w:hint="eastAsia" w:asciiTheme="minorEastAsia" w:hAnsiTheme="minorEastAsia" w:eastAsiaTheme="minorEastAsia"/>
                <w:szCs w:val="21"/>
              </w:rPr>
            </w:pPr>
            <w:r>
              <w:rPr>
                <w:rFonts w:hint="eastAsia"/>
                <w:color w:val="auto"/>
                <w:szCs w:val="21"/>
              </w:rPr>
              <w:t>-3,690,612.56</w:t>
            </w:r>
          </w:p>
        </w:tc>
        <w:tc>
          <w:tcPr>
            <w:tcW w:w="1992" w:type="dxa"/>
            <w:vAlign w:val="center"/>
          </w:tcPr>
          <w:p>
            <w:pPr>
              <w:widowControl w:val="0"/>
              <w:jc w:val="right"/>
              <w:rPr>
                <w:rFonts w:hint="eastAsia" w:asciiTheme="minorEastAsia" w:hAnsiTheme="minorEastAsia" w:eastAsiaTheme="minorEastAsia"/>
                <w:szCs w:val="21"/>
              </w:rPr>
            </w:pPr>
            <w:r>
              <w:rPr>
                <w:rFonts w:hint="eastAsia"/>
                <w:color w:val="auto"/>
                <w:szCs w:val="21"/>
              </w:rPr>
              <w:t>684,700.08</w:t>
            </w:r>
          </w:p>
        </w:tc>
      </w:tr>
    </w:tbl>
    <w:p/>
    <w:p>
      <w:pPr>
        <w:pStyle w:val="3"/>
        <w:numPr>
          <w:ilvl w:val="1"/>
          <w:numId w:val="4"/>
        </w:numPr>
        <w:ind w:left="496" w:hanging="498" w:hangingChars="236"/>
      </w:pPr>
      <w:r>
        <w:rPr>
          <w:rFonts w:hint="eastAsia"/>
        </w:rPr>
        <w:t>其他</w:t>
      </w:r>
    </w:p>
    <w:sdt>
      <w:sdtPr>
        <w:alias w:val="是否适用：公司简介和主要财务指标其他说明[双击切换]"/>
        <w:tag w:val="_GBC_ac20c9ad49eb470dba71a763f930572f"/>
        <w:id w:val="5703"/>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tag w:val="_PLD_154d41a9f00c44a896aa0791c4c8c08f"/>
        <w:id w:val="5704"/>
      </w:sdtPr>
      <w:sdtContent>
        <w:p>
          <w:pPr>
            <w:pStyle w:val="2"/>
            <w:keepNext/>
            <w:keepLines/>
            <w:pageBreakBefore w:val="0"/>
            <w:widowControl w:val="0"/>
            <w:numPr>
              <w:ilvl w:val="0"/>
              <w:numId w:val="2"/>
            </w:numPr>
            <w:kinsoku/>
            <w:wordWrap/>
            <w:overflowPunct/>
            <w:topLinePunct w:val="0"/>
            <w:autoSpaceDE/>
            <w:autoSpaceDN/>
            <w:bidi w:val="0"/>
            <w:adjustRightInd/>
            <w:snapToGrid/>
            <w:spacing w:before="313" w:beforeLines="100" w:after="313" w:afterLines="100"/>
            <w:textAlignment w:val="auto"/>
          </w:pPr>
          <w:bookmarkStart w:id="40" w:name="_Toc191024258"/>
          <w:r>
            <w:rPr>
              <w:rFonts w:hint="eastAsia"/>
            </w:rPr>
            <w:t>管理层讨论与分析</w:t>
          </w:r>
        </w:p>
      </w:sdtContent>
    </w:sdt>
    <w:bookmarkEnd w:id="40"/>
    <w:p>
      <w:pPr>
        <w:pStyle w:val="3"/>
        <w:numPr>
          <w:ilvl w:val="0"/>
          <w:numId w:val="7"/>
        </w:numPr>
        <w:ind w:left="368" w:hanging="369" w:hangingChars="175"/>
      </w:pPr>
      <w:r>
        <w:t>报告期内公司从事的业务情况</w:t>
      </w:r>
    </w:p>
    <w:sdt>
      <w:sdtPr>
        <w:alias w:val="报告期内公司从事的业务情况 "/>
        <w:tag w:val="_GBC_5c2ed6623d994f569eb07915af842807"/>
        <w:id w:val="5705"/>
        <w:placeholder>
          <w:docPart w:val="GBC22222222222222222222222222222"/>
        </w:placeholder>
      </w:sdtPr>
      <w:sdtEndPr>
        <w:rPr>
          <w:rFonts w:ascii="Times New Roman" w:hAnsi="Times New Roman"/>
          <w:sz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rPr>
          </w:pPr>
          <w:r>
            <w:rPr>
              <w:rFonts w:hint="eastAsia" w:ascii="Times New Roman" w:hAnsi="Times New Roman" w:eastAsia="宋体"/>
              <w:sz w:val="21"/>
              <w:szCs w:val="21"/>
            </w:rPr>
            <w:t>报告期内公司所从事的业务没有发生重大变化。</w:t>
          </w:r>
        </w:p>
        <w:p>
          <w:pPr>
            <w:keepNext w:val="0"/>
            <w:keepLines w:val="0"/>
            <w:pageBreakBefore w:val="0"/>
            <w:widowControl/>
            <w:kinsoku/>
            <w:wordWrap/>
            <w:overflowPunct/>
            <w:topLinePunct w:val="0"/>
            <w:autoSpaceDE/>
            <w:autoSpaceDN/>
            <w:bidi w:val="0"/>
            <w:adjustRightInd/>
            <w:snapToGrid/>
            <w:spacing w:line="400" w:lineRule="exact"/>
            <w:ind w:right="-206" w:rightChars="-98" w:firstLine="315"/>
            <w:textAlignment w:val="auto"/>
            <w:rPr>
              <w:rFonts w:ascii="Times New Roman" w:hAnsi="Times New Roman"/>
              <w:sz w:val="21"/>
            </w:rPr>
          </w:pPr>
          <w:r>
            <w:rPr>
              <w:rFonts w:hint="eastAsia" w:ascii="Times New Roman" w:hAnsi="Times New Roman" w:eastAsia="宋体"/>
              <w:sz w:val="21"/>
              <w:szCs w:val="21"/>
            </w:rPr>
            <w:t>公司主要业务为日化产业，业务涵盖日化、医药两个板块。</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1.日化板块：主要从事口腔护理产品、个人洗护品、酒店日用品等的研发、生产和销售，主要品牌包括两面针、沐兰泽、逍遥、芳草等。由母公司、江苏实业公司、芳草公司负责经营。</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2.医药板块：从事药品生产销售，主要产品为苍鹅鼻炎片、氨咖黄敏胶囊、银杏叶片、感冒灵颗粒等成品药以及丹皮酚、愈创木酚磺酸钾、细辛脑等原料药，由亿康药业负责经营。</w:t>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sz w:val="21"/>
        </w:rPr>
      </w:pPr>
    </w:p>
    <w:p>
      <w:pPr>
        <w:rPr>
          <w:rFonts w:ascii="Calibri" w:hAnsi="Calibri"/>
          <w:bCs/>
          <w:kern w:val="2"/>
          <w:szCs w:val="21"/>
        </w:rPr>
      </w:pPr>
      <w:bookmarkStart w:id="41" w:name="_Hlk188285089"/>
      <w:r>
        <w:rPr>
          <w:rFonts w:hint="eastAsia" w:ascii="Calibri" w:hAnsi="Calibri"/>
          <w:bCs/>
          <w:kern w:val="2"/>
          <w:szCs w:val="21"/>
        </w:rPr>
        <w:t>报告期内公司新增重要非主营业务的说明</w:t>
      </w:r>
    </w:p>
    <w:sdt>
      <w:sdtPr>
        <w:rPr>
          <w:rFonts w:hint="eastAsia"/>
        </w:rPr>
        <w:alias w:val="是否适用：报告期内公司新增重要非主营业务的说明[双击切换]"/>
        <w:tag w:val="_GBC_1c91810887d14c3fad60346b43671230"/>
        <w:id w:val="5706"/>
        <w:placeholder>
          <w:docPart w:val="GBC22222222222222222222222222222"/>
        </w:placeholder>
      </w:sdtPr>
      <w:sdtEndPr>
        <w:rPr>
          <w:rFonts w:hint="eastAsia"/>
        </w:rPr>
      </w:sdtEndPr>
      <w:sdtContent>
        <w:p>
          <w:r>
            <w:rPr>
              <w:rFonts w:hint="eastAsia" w:ascii="宋体" w:hAnsi="宋体"/>
            </w:rPr>
            <w:fldChar w:fldCharType="begin"/>
          </w:r>
          <w:r>
            <w:rPr>
              <w:rFonts w:hint="eastAsia" w:ascii="宋体" w:hAnsi="宋体"/>
            </w:rPr>
            <w:instrText xml:space="preserve"> MACROBUTTON  SnrToggleCheckbox □适用 </w:instrText>
          </w:r>
          <w:r>
            <w:rPr>
              <w:rFonts w:hint="eastAsia" w:ascii="宋体" w:hAnsi="宋体"/>
            </w:rPr>
            <w:fldChar w:fldCharType="end"/>
          </w:r>
          <w:r>
            <w:rPr>
              <w:rFonts w:hint="eastAsia" w:ascii="宋体" w:hAnsi="宋体"/>
            </w:rPr>
            <w:fldChar w:fldCharType="begin"/>
          </w:r>
          <w:r>
            <w:rPr>
              <w:rFonts w:hint="eastAsia" w:ascii="宋体" w:hAnsi="宋体"/>
            </w:rPr>
            <w:instrText xml:space="preserve"> MACROBUTTON  SnrToggleCheckbox √不适用 </w:instrText>
          </w:r>
          <w:r>
            <w:rPr>
              <w:rFonts w:hint="eastAsia" w:ascii="宋体" w:hAnsi="宋体"/>
            </w:rPr>
            <w:fldChar w:fldCharType="end"/>
          </w:r>
        </w:p>
      </w:sdtContent>
    </w:sdt>
    <w:p/>
    <w:bookmarkEnd w:id="41"/>
    <w:p>
      <w:pPr>
        <w:pStyle w:val="3"/>
        <w:numPr>
          <w:ilvl w:val="0"/>
          <w:numId w:val="7"/>
        </w:numPr>
        <w:ind w:left="368" w:hanging="369" w:hangingChars="175"/>
      </w:pPr>
      <w:r>
        <w:t>报告期内公司所处行业情况</w:t>
      </w:r>
    </w:p>
    <w:sdt>
      <w:sdtPr>
        <w:rPr>
          <w:rFonts w:hint="eastAsia"/>
        </w:rPr>
        <w:alias w:val="报告期内公司所处行业情况 "/>
        <w:tag w:val="_GBC_62343dd2540e4e58bef438888246bd32"/>
        <w:id w:val="5707"/>
        <w:placeholder>
          <w:docPart w:val="GBC22222222222222222222222222222"/>
        </w:placeholder>
      </w:sdtPr>
      <w:sdtEndPr>
        <w:rPr>
          <w:rFonts w:hint="eastAsia"/>
        </w:rPr>
      </w:sdtEndPr>
      <w:sdtContent>
        <w:p>
          <w:r>
            <w:rPr>
              <w:rFonts w:hint="eastAsia" w:ascii="宋体" w:eastAsia="宋体"/>
              <w:sz w:val="21"/>
              <w:szCs w:val="21"/>
            </w:rPr>
            <w:t>详见“五、报告期内主要经营情况之（四）行业经营性信息分析”。</w:t>
          </w:r>
        </w:p>
      </w:sdtContent>
    </w:sdt>
    <w:p/>
    <w:sdt>
      <w:sdtPr>
        <w:tag w:val="_PLD_53cbddb836994c17a8eeaeb87e3f79dd"/>
        <w:id w:val="5708"/>
      </w:sdtPr>
      <w:sdtEndPr>
        <w:rPr>
          <w:rFonts w:hint="default" w:ascii="Arial" w:hAnsi="Arial" w:cs="Times New Roman"/>
          <w:b/>
          <w:bCs/>
          <w:kern w:val="2"/>
          <w:szCs w:val="21"/>
        </w:rPr>
      </w:sdtEndPr>
      <w:sdtContent>
        <w:p>
          <w:pPr>
            <w:pStyle w:val="3"/>
            <w:numPr>
              <w:ilvl w:val="0"/>
              <w:numId w:val="7"/>
            </w:numPr>
            <w:ind w:left="368" w:hanging="369" w:hangingChars="175"/>
          </w:pPr>
          <w:r>
            <w:rPr>
              <w:rFonts w:hint="eastAsia"/>
            </w:rPr>
            <w:t>经营情况</w:t>
          </w:r>
          <w:r>
            <w:t>讨论与分析</w:t>
          </w:r>
        </w:p>
      </w:sdtContent>
    </w:sdt>
    <w:sdt>
      <w:sdtPr>
        <w:rPr>
          <w:rFonts w:hint="eastAsia" w:asciiTheme="minorEastAsia" w:hAnsiTheme="minorEastAsia" w:eastAsiaTheme="minorEastAsia"/>
        </w:rPr>
        <w:alias w:val="管理层讨论与分析"/>
        <w:tag w:val="_GBC_75862f3cb18e486fb20eb44dbcc462a9"/>
        <w:id w:val="5709"/>
        <w:placeholder>
          <w:docPart w:val="GBC22222222222222222222222222222"/>
        </w:placeholder>
      </w:sdtPr>
      <w:sdtEndPr>
        <w:rPr>
          <w:rFonts w:hint="eastAsia" w:ascii="Times New Roman" w:hAnsi="Times New Roman" w:eastAsiaTheme="minorEastAsia"/>
          <w:sz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Theme="minorEastAsia"/>
              <w:sz w:val="21"/>
            </w:rPr>
          </w:pPr>
          <w:r>
            <w:rPr>
              <w:rFonts w:hint="eastAsia" w:ascii="Times New Roman" w:hAnsi="Times New Roman" w:eastAsia="宋体"/>
              <w:sz w:val="21"/>
              <w:szCs w:val="21"/>
            </w:rPr>
            <w:t>2025年，公司锚定高质量发展目标，聚焦主责主业，全面夯实各业务板块发展根基，稳步推进市场拓展、科创研发、数智转型、绿色发展等重点工作。报告期内，公司实现营业收入10.63亿元，同比增长0.90%；经营性现金流净额6,101.19万元，同比增长327.26%，经营韧性持续夯实。本期公司实现利润总额1,056.12</w:t>
          </w:r>
          <w:r>
            <w:rPr>
              <w:rFonts w:ascii="Times New Roman" w:hAnsi="Times New Roman"/>
              <w:sz w:val="21"/>
              <w:szCs w:val="21"/>
            </w:rPr>
            <w:t>万元，归属于上市公司股东的净利润</w:t>
          </w:r>
          <w:r>
            <w:rPr>
              <w:rFonts w:hint="eastAsia" w:ascii="Times New Roman" w:hAnsi="Times New Roman" w:eastAsia="Times New Roman"/>
              <w:sz w:val="21"/>
              <w:szCs w:val="21"/>
            </w:rPr>
            <w:t>984.61</w:t>
          </w:r>
          <w:r>
            <w:rPr>
              <w:rFonts w:ascii="Times New Roman" w:hAnsi="Times New Roman"/>
              <w:sz w:val="21"/>
              <w:szCs w:val="21"/>
            </w:rPr>
            <w:t>万元，扣除非经常性损益后归属于上市公司股东的净利润</w:t>
          </w:r>
          <w:r>
            <w:rPr>
              <w:rFonts w:hint="eastAsia" w:ascii="Times New Roman" w:hAnsi="Times New Roman" w:eastAsia="Times New Roman"/>
              <w:sz w:val="21"/>
              <w:szCs w:val="21"/>
            </w:rPr>
            <w:t>427.98</w:t>
          </w:r>
          <w:r>
            <w:rPr>
              <w:rFonts w:ascii="Times New Roman" w:hAnsi="Times New Roman"/>
              <w:sz w:val="21"/>
              <w:szCs w:val="21"/>
            </w:rPr>
            <w:t>万元，上述利润指标同比下降主要系公司持有的以中信证券股票为主的交易性金融资产公允价值变动损益同比减少所致，公司经营基本面保持稳定。</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Theme="minorEastAsia"/>
              <w:sz w:val="21"/>
            </w:rPr>
          </w:pPr>
          <w:r>
            <w:rPr>
              <w:rFonts w:hint="eastAsia" w:ascii="Times New Roman" w:hAnsi="Times New Roman" w:eastAsia="宋体"/>
              <w:sz w:val="21"/>
              <w:szCs w:val="21"/>
            </w:rPr>
            <w:t>报告期内，公司经营重点工作情况如下：</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Theme="minorEastAsia"/>
              <w:sz w:val="21"/>
            </w:rPr>
          </w:pPr>
          <w:r>
            <w:rPr>
              <w:rFonts w:hint="eastAsia" w:ascii="Times New Roman" w:hAnsi="Times New Roman" w:eastAsia="宋体"/>
              <w:b/>
              <w:sz w:val="21"/>
              <w:szCs w:val="21"/>
            </w:rPr>
            <w:t>（一）日化板块母公司</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Theme="minorEastAsia"/>
              <w:sz w:val="21"/>
            </w:rPr>
          </w:pPr>
          <w:r>
            <w:rPr>
              <w:rFonts w:hint="eastAsia" w:ascii="Times New Roman" w:hAnsi="Times New Roman" w:eastAsia="宋体"/>
              <w:sz w:val="21"/>
              <w:szCs w:val="21"/>
            </w:rPr>
            <w:t>母公司聚焦口腔护理领域深耕细作，产品端持续推进创新与结构升级，研发上市针对性新品，孵化高附加值产品系列，完成多款口腔类产品的研发升级与备案工作，丰富产品矩阵，提升产品溢价能力；渠道端深化线上线下融合布局，线下进一步完善全国性线下终端网络，线上完成多平台精细化运营，渠道结构进一步多元化发展。生产与数字化端，完成洗化车间、仓储等技改项目并落地运行，仓储系统完成信息化升级，实现库存可视化与全流程追溯；成立行业首个口腔大健康院士工作站，在前沿技术研究和高端资源整合上迈出关键一步。2025年，母公司进一步夯实口腔护理核心业务竞争力，全年</w:t>
          </w:r>
          <w:r>
            <w:rPr>
              <w:rFonts w:hint="eastAsia"/>
              <w:sz w:val="21"/>
              <w:szCs w:val="21"/>
              <w:lang w:val="en-US" w:eastAsia="zh-CN"/>
            </w:rPr>
            <w:t>实现</w:t>
          </w:r>
          <w:r>
            <w:rPr>
              <w:rFonts w:hint="eastAsia" w:ascii="Times New Roman" w:hAnsi="Times New Roman" w:eastAsia="宋体"/>
              <w:sz w:val="21"/>
              <w:szCs w:val="21"/>
            </w:rPr>
            <w:t>营业收入17,566.60万元。</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Theme="minorEastAsia"/>
              <w:sz w:val="21"/>
            </w:rPr>
          </w:pPr>
          <w:r>
            <w:rPr>
              <w:rFonts w:hint="eastAsia" w:ascii="Times New Roman" w:hAnsi="Times New Roman" w:eastAsia="宋体"/>
              <w:b/>
              <w:sz w:val="21"/>
              <w:szCs w:val="21"/>
            </w:rPr>
            <w:t>（二）江苏实业公司</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Theme="minorEastAsia"/>
              <w:sz w:val="21"/>
            </w:rPr>
          </w:pPr>
          <w:r>
            <w:rPr>
              <w:rFonts w:hint="eastAsia" w:ascii="Times New Roman" w:hAnsi="Times New Roman" w:eastAsia="宋体"/>
              <w:sz w:val="21"/>
              <w:szCs w:val="21"/>
            </w:rPr>
            <w:t>江苏实业公司聚焦酒店消费品核心业务，以智能化改造、绿色制造、成本管控、产能优化为核心开展经营工作。生产端推进自动化与精益生产改进，通过生产流程优化实现降本增效，开展生产环节智能化升级，提升生产流程标准化、信息化水平，为板块数字化转型筑牢基础；绿色发展方面，提升环保材料使用率，推广使用竹制品、牛皮纸、甘蔗纸等环保材料，凭借在节能减排、绿色工艺等方面的卓越表现，成功获评“江苏省绿色工厂”称号，品牌影响力进一步提升。2025年，江苏实业公司实现了经济效益与生态效益的协同增长，全年实现营业收入78,983.59万元。</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Theme="minorEastAsia"/>
              <w:sz w:val="21"/>
            </w:rPr>
          </w:pPr>
          <w:r>
            <w:rPr>
              <w:rFonts w:hint="eastAsia" w:ascii="Times New Roman" w:hAnsi="Times New Roman" w:eastAsia="宋体"/>
              <w:b/>
              <w:sz w:val="21"/>
              <w:szCs w:val="21"/>
            </w:rPr>
            <w:t>（三）芳草公司</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Theme="minorEastAsia"/>
              <w:sz w:val="21"/>
            </w:rPr>
          </w:pPr>
          <w:r>
            <w:rPr>
              <w:rFonts w:hint="eastAsia" w:ascii="Times New Roman" w:hAnsi="Times New Roman" w:eastAsia="宋体"/>
              <w:sz w:val="21"/>
              <w:szCs w:val="21"/>
            </w:rPr>
            <w:t>芳草公司积极探索品牌线上推广路径，通过产品差异化运营提升市场竞争力。优化线下业务布局，强化新渠道开发与新品推广，创新采用场景体验式营销模式，多措并举增强盈利能力。同时与江苏实业公司形成紧密业务协同，共同推动公司酒店用品业务的产品创新、市场拓展与资源整合，为后续业务发展赋能。2025年，芳草公司实现营业收入3,257.61万元。</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Theme="minorEastAsia"/>
              <w:sz w:val="21"/>
            </w:rPr>
          </w:pPr>
          <w:r>
            <w:rPr>
              <w:rFonts w:hint="eastAsia" w:ascii="Times New Roman" w:hAnsi="Times New Roman" w:eastAsia="宋体"/>
              <w:b/>
              <w:sz w:val="21"/>
              <w:szCs w:val="21"/>
            </w:rPr>
            <w:t>（四）亿康药业</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rPr>
          </w:pPr>
          <w:r>
            <w:rPr>
              <w:rFonts w:hint="eastAsia" w:ascii="Times New Roman" w:hAnsi="Times New Roman" w:eastAsia="宋体"/>
              <w:sz w:val="21"/>
              <w:szCs w:val="21"/>
            </w:rPr>
            <w:t>亿康药业核心产品持续发力，高含量银杏叶片成功中标医保集中采购，独家品种苍鹅鼻炎片保持稳步增长；生产端完成颗粒剂生产线智能化改造与技术升级，有效提升生产效率、优化产能布局。2025年，亿康药业实现营业收入10,317.88万元。</w:t>
          </w:r>
        </w:p>
      </w:sdtContent>
    </w:sdt>
    <w:p>
      <w:pPr>
        <w:rPr>
          <w:rFonts w:hint="eastAsia" w:asciiTheme="minorEastAsia" w:hAnsiTheme="minorEastAsia" w:eastAsiaTheme="minorEastAsia"/>
        </w:rPr>
      </w:pPr>
    </w:p>
    <w:p>
      <w:pPr>
        <w:pStyle w:val="3"/>
        <w:numPr>
          <w:ilvl w:val="0"/>
          <w:numId w:val="7"/>
        </w:numPr>
        <w:ind w:left="368" w:hanging="369" w:hangingChars="175"/>
      </w:pPr>
      <w:r>
        <w:rPr>
          <w:rFonts w:hint="eastAsia"/>
        </w:rPr>
        <w:t>报告期内核心竞争力分析</w:t>
      </w:r>
    </w:p>
    <w:sdt>
      <w:sdtPr>
        <w:alias w:val="是否适用：报告期内核心竞争力分析[双击切换]"/>
        <w:tag w:val="_GBC_a03591f0f7444c9b8f5c55d6f75c3136"/>
        <w:id w:val="571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报告期内核心竞争力分析"/>
        <w:tag w:val="_GBC_956a57b53cd74344a32f2309bcc5f344"/>
        <w:id w:val="5711"/>
        <w:placeholder>
          <w:docPart w:val="GBC22222222222222222222222222222"/>
        </w:placeholder>
      </w:sdtPr>
      <w:sdtEndPr>
        <w:rPr>
          <w:rFonts w:hint="eastAsia" w:ascii="Times New Roman" w:hAnsi="Times New Roman" w:eastAsia="宋体" w:cs="Times New Roman"/>
          <w:b/>
          <w:sz w:val="21"/>
          <w:szCs w:val="24"/>
        </w:rPr>
      </w:sdtEndPr>
      <w:sdtContent>
        <w:p>
          <w:pPr>
            <w:spacing w:beforeLines="0" w:afterLines="0" w:line="400" w:lineRule="exact"/>
            <w:ind w:firstLine="420" w:firstLineChars="200"/>
            <w:rPr>
              <w:rFonts w:hint="default" w:ascii="Times New Roman" w:hAnsi="Times New Roman" w:eastAsia="宋体" w:cs="Times New Roman"/>
              <w:b/>
              <w:sz w:val="21"/>
              <w:szCs w:val="24"/>
            </w:rPr>
          </w:pPr>
          <w:r>
            <w:rPr>
              <w:rFonts w:hint="default" w:ascii="Times New Roman" w:hAnsi="Times New Roman" w:eastAsia="宋体" w:cs="Times New Roman"/>
              <w:b/>
              <w:sz w:val="21"/>
              <w:szCs w:val="24"/>
            </w:rPr>
            <w:t>（一）研发与技术优势</w:t>
          </w:r>
        </w:p>
        <w:p>
          <w:pPr>
            <w:spacing w:beforeLines="0" w:afterLines="0" w:line="400" w:lineRule="exact"/>
            <w:ind w:firstLine="420" w:firstLineChars="200"/>
            <w:rPr>
              <w:rFonts w:hint="default" w:ascii="Times New Roman" w:hAnsi="Times New Roman" w:eastAsia="宋体" w:cs="Times New Roman"/>
              <w:b w:val="0"/>
              <w:bCs/>
              <w:sz w:val="21"/>
              <w:szCs w:val="24"/>
            </w:rPr>
          </w:pPr>
          <w:r>
            <w:rPr>
              <w:rFonts w:hint="default" w:ascii="Times New Roman" w:hAnsi="Times New Roman" w:eastAsia="宋体" w:cs="Times New Roman"/>
              <w:b w:val="0"/>
              <w:bCs/>
              <w:sz w:val="21"/>
              <w:szCs w:val="24"/>
            </w:rPr>
            <w:t>公司拥有自主知识产权中药牙膏核心技术，科研开发能力雄厚，牵头制定多项中药牙膏行业标准，是中国口腔清洁护理用品工业协会副理事长单位、国家高新技术企业、国家知识产权优势企业，设有自治区级企业技术中心、行业内首家博士后科研工作站</w:t>
          </w:r>
          <w:r>
            <w:rPr>
              <w:rFonts w:hint="eastAsia" w:cs="Times New Roman"/>
              <w:b w:val="0"/>
              <w:bCs/>
              <w:sz w:val="21"/>
              <w:szCs w:val="24"/>
              <w:lang w:eastAsia="zh-CN"/>
            </w:rPr>
            <w:t>，</w:t>
          </w:r>
          <w:r>
            <w:rPr>
              <w:rFonts w:hint="default" w:ascii="Times New Roman" w:hAnsi="Times New Roman" w:eastAsia="宋体" w:cs="Times New Roman"/>
              <w:b w:val="0"/>
              <w:bCs/>
              <w:sz w:val="21"/>
              <w:szCs w:val="24"/>
            </w:rPr>
            <w:t>以及行业首个专注于口腔大健康领域的院士工作站。公司聚焦日化与医药板块深度融合，持续开展口腔健康关键技术攻关，不断强化基础研究与应用技术攻关，持续打造行业领先的技术创新优势。</w:t>
          </w:r>
        </w:p>
        <w:p>
          <w:pPr>
            <w:spacing w:beforeLines="0" w:afterLines="0" w:line="400" w:lineRule="exact"/>
            <w:ind w:firstLine="422" w:firstLineChars="200"/>
            <w:rPr>
              <w:rFonts w:hint="default" w:ascii="Times New Roman" w:hAnsi="Times New Roman" w:eastAsia="宋体" w:cs="Times New Roman"/>
              <w:b/>
              <w:sz w:val="21"/>
              <w:szCs w:val="24"/>
            </w:rPr>
          </w:pPr>
          <w:r>
            <w:rPr>
              <w:rFonts w:hint="default" w:ascii="Times New Roman" w:hAnsi="Times New Roman" w:eastAsia="宋体" w:cs="Times New Roman"/>
              <w:b/>
              <w:sz w:val="21"/>
              <w:szCs w:val="24"/>
            </w:rPr>
            <w:t>（二）品牌优势</w:t>
          </w:r>
        </w:p>
        <w:p>
          <w:pPr>
            <w:spacing w:beforeLines="0" w:afterLines="0" w:line="400" w:lineRule="exact"/>
            <w:ind w:firstLine="420" w:firstLineChars="200"/>
            <w:rPr>
              <w:rFonts w:hint="default" w:ascii="Times New Roman" w:hAnsi="Times New Roman" w:eastAsia="宋体" w:cs="Times New Roman"/>
              <w:b/>
              <w:sz w:val="21"/>
              <w:szCs w:val="24"/>
            </w:rPr>
          </w:pPr>
          <w:r>
            <w:rPr>
              <w:rFonts w:hint="default" w:ascii="Times New Roman" w:hAnsi="Times New Roman" w:eastAsia="宋体" w:cs="Times New Roman"/>
              <w:b w:val="0"/>
              <w:bCs/>
              <w:sz w:val="21"/>
              <w:szCs w:val="24"/>
            </w:rPr>
            <w:t>经过四十多年的发展，</w:t>
          </w:r>
          <w:r>
            <w:rPr>
              <w:rFonts w:hint="eastAsia" w:cs="Times New Roman"/>
              <w:b w:val="0"/>
              <w:bCs/>
              <w:sz w:val="21"/>
              <w:szCs w:val="24"/>
              <w:lang w:eastAsia="zh-CN"/>
            </w:rPr>
            <w:t>“</w:t>
          </w:r>
          <w:r>
            <w:rPr>
              <w:rFonts w:hint="default" w:ascii="Times New Roman" w:hAnsi="Times New Roman" w:eastAsia="宋体" w:cs="Times New Roman"/>
              <w:b w:val="0"/>
              <w:bCs/>
              <w:sz w:val="21"/>
              <w:szCs w:val="24"/>
            </w:rPr>
            <w:t>两面针</w:t>
          </w:r>
          <w:r>
            <w:rPr>
              <w:rFonts w:hint="eastAsia" w:cs="Times New Roman"/>
              <w:b w:val="0"/>
              <w:bCs/>
              <w:sz w:val="21"/>
              <w:szCs w:val="24"/>
              <w:lang w:eastAsia="zh-CN"/>
            </w:rPr>
            <w:t>”</w:t>
          </w:r>
          <w:r>
            <w:rPr>
              <w:rFonts w:hint="default" w:ascii="Times New Roman" w:hAnsi="Times New Roman" w:eastAsia="宋体" w:cs="Times New Roman"/>
              <w:b w:val="0"/>
              <w:bCs/>
              <w:sz w:val="21"/>
              <w:szCs w:val="24"/>
            </w:rPr>
            <w:t>品牌享誉全国，确立了</w:t>
          </w:r>
          <w:r>
            <w:rPr>
              <w:rFonts w:hint="eastAsia" w:cs="Times New Roman"/>
              <w:b w:val="0"/>
              <w:bCs/>
              <w:sz w:val="21"/>
              <w:szCs w:val="24"/>
              <w:lang w:eastAsia="zh-CN"/>
            </w:rPr>
            <w:t>“</w:t>
          </w:r>
          <w:r>
            <w:rPr>
              <w:rFonts w:hint="default" w:ascii="Times New Roman" w:hAnsi="Times New Roman" w:eastAsia="宋体" w:cs="Times New Roman"/>
              <w:b w:val="0"/>
              <w:bCs/>
              <w:sz w:val="21"/>
              <w:szCs w:val="24"/>
            </w:rPr>
            <w:t>知名</w:t>
          </w:r>
          <w:r>
            <w:rPr>
              <w:rFonts w:hint="eastAsia" w:cs="Times New Roman"/>
              <w:b w:val="0"/>
              <w:bCs/>
              <w:sz w:val="21"/>
              <w:szCs w:val="24"/>
              <w:lang w:eastAsia="zh-CN"/>
            </w:rPr>
            <w:t>”“</w:t>
          </w:r>
          <w:r>
            <w:rPr>
              <w:rFonts w:hint="default" w:ascii="Times New Roman" w:hAnsi="Times New Roman" w:eastAsia="宋体" w:cs="Times New Roman"/>
              <w:b w:val="0"/>
              <w:bCs/>
              <w:sz w:val="21"/>
              <w:szCs w:val="24"/>
            </w:rPr>
            <w:t>优质</w:t>
          </w:r>
          <w:r>
            <w:rPr>
              <w:rFonts w:hint="eastAsia" w:cs="Times New Roman"/>
              <w:b w:val="0"/>
              <w:bCs/>
              <w:sz w:val="21"/>
              <w:szCs w:val="24"/>
              <w:lang w:eastAsia="zh-CN"/>
            </w:rPr>
            <w:t>”</w:t>
          </w:r>
          <w:r>
            <w:rPr>
              <w:rFonts w:hint="default" w:ascii="Times New Roman" w:hAnsi="Times New Roman" w:eastAsia="宋体" w:cs="Times New Roman"/>
              <w:b w:val="0"/>
              <w:bCs/>
              <w:sz w:val="21"/>
              <w:szCs w:val="24"/>
            </w:rPr>
            <w:t>品牌地位，被评为</w:t>
          </w:r>
          <w:r>
            <w:rPr>
              <w:rFonts w:hint="eastAsia" w:cs="Times New Roman"/>
              <w:b w:val="0"/>
              <w:bCs/>
              <w:sz w:val="21"/>
              <w:szCs w:val="24"/>
              <w:lang w:eastAsia="zh-CN"/>
            </w:rPr>
            <w:t>“</w:t>
          </w:r>
          <w:r>
            <w:rPr>
              <w:rFonts w:hint="default" w:ascii="Times New Roman" w:hAnsi="Times New Roman" w:eastAsia="宋体" w:cs="Times New Roman"/>
              <w:b w:val="0"/>
              <w:bCs/>
              <w:sz w:val="21"/>
              <w:szCs w:val="24"/>
            </w:rPr>
            <w:t>中国最受公众喜爱的十大民族品</w:t>
          </w:r>
          <w:r>
            <w:rPr>
              <w:rFonts w:hint="eastAsia" w:cs="Times New Roman"/>
              <w:b w:val="0"/>
              <w:bCs/>
              <w:sz w:val="21"/>
              <w:szCs w:val="24"/>
              <w:lang w:val="en-US" w:eastAsia="zh-CN"/>
            </w:rPr>
            <w:t>牌</w:t>
          </w:r>
          <w:r>
            <w:rPr>
              <w:rFonts w:hint="eastAsia" w:cs="Times New Roman"/>
              <w:b w:val="0"/>
              <w:bCs/>
              <w:sz w:val="21"/>
              <w:szCs w:val="24"/>
              <w:lang w:eastAsia="zh-CN"/>
            </w:rPr>
            <w:t>”“</w:t>
          </w:r>
          <w:r>
            <w:rPr>
              <w:rFonts w:hint="default" w:ascii="Times New Roman" w:hAnsi="Times New Roman" w:eastAsia="宋体" w:cs="Times New Roman"/>
              <w:b w:val="0"/>
              <w:bCs/>
              <w:sz w:val="21"/>
              <w:szCs w:val="24"/>
            </w:rPr>
            <w:t>最佳品牌</w:t>
          </w:r>
          <w:r>
            <w:rPr>
              <w:rFonts w:hint="eastAsia" w:cs="Times New Roman"/>
              <w:b w:val="0"/>
              <w:bCs/>
              <w:sz w:val="21"/>
              <w:szCs w:val="24"/>
              <w:lang w:eastAsia="zh-CN"/>
            </w:rPr>
            <w:t>”“</w:t>
          </w:r>
          <w:r>
            <w:rPr>
              <w:rFonts w:hint="default" w:ascii="Times New Roman" w:hAnsi="Times New Roman" w:eastAsia="宋体" w:cs="Times New Roman"/>
              <w:b w:val="0"/>
              <w:bCs/>
              <w:sz w:val="21"/>
              <w:szCs w:val="24"/>
            </w:rPr>
            <w:t>广西老字号</w:t>
          </w:r>
          <w:r>
            <w:rPr>
              <w:rFonts w:hint="eastAsia" w:cs="Times New Roman"/>
              <w:b w:val="0"/>
              <w:bCs/>
              <w:sz w:val="21"/>
              <w:szCs w:val="24"/>
              <w:lang w:eastAsia="zh-CN"/>
            </w:rPr>
            <w:t>”</w:t>
          </w:r>
          <w:r>
            <w:rPr>
              <w:rFonts w:hint="default" w:ascii="Times New Roman" w:hAnsi="Times New Roman" w:eastAsia="宋体" w:cs="Times New Roman"/>
              <w:b w:val="0"/>
              <w:bCs/>
              <w:sz w:val="21"/>
              <w:szCs w:val="24"/>
            </w:rPr>
            <w:t>等，公司主导产品</w:t>
          </w:r>
          <w:r>
            <w:rPr>
              <w:rFonts w:hint="eastAsia" w:cs="Times New Roman"/>
              <w:b w:val="0"/>
              <w:bCs/>
              <w:sz w:val="21"/>
              <w:szCs w:val="24"/>
              <w:lang w:eastAsia="zh-CN"/>
            </w:rPr>
            <w:t>“</w:t>
          </w:r>
          <w:r>
            <w:rPr>
              <w:rFonts w:hint="default" w:ascii="Times New Roman" w:hAnsi="Times New Roman" w:eastAsia="宋体" w:cs="Times New Roman"/>
              <w:b w:val="0"/>
              <w:bCs/>
              <w:sz w:val="21"/>
              <w:szCs w:val="24"/>
            </w:rPr>
            <w:t>两面针牙膏</w:t>
          </w:r>
          <w:r>
            <w:rPr>
              <w:rFonts w:hint="eastAsia" w:cs="Times New Roman"/>
              <w:b w:val="0"/>
              <w:bCs/>
              <w:sz w:val="21"/>
              <w:szCs w:val="24"/>
              <w:lang w:eastAsia="zh-CN"/>
            </w:rPr>
            <w:t>”</w:t>
          </w:r>
          <w:r>
            <w:rPr>
              <w:rFonts w:hint="default" w:ascii="Times New Roman" w:hAnsi="Times New Roman" w:eastAsia="宋体" w:cs="Times New Roman"/>
              <w:b w:val="0"/>
              <w:bCs/>
              <w:sz w:val="21"/>
              <w:szCs w:val="24"/>
            </w:rPr>
            <w:t>被评为</w:t>
          </w:r>
          <w:r>
            <w:rPr>
              <w:rFonts w:hint="eastAsia" w:cs="Times New Roman"/>
              <w:b w:val="0"/>
              <w:bCs/>
              <w:sz w:val="21"/>
              <w:szCs w:val="24"/>
              <w:lang w:eastAsia="zh-CN"/>
            </w:rPr>
            <w:t>“</w:t>
          </w:r>
          <w:r>
            <w:rPr>
              <w:rFonts w:hint="default" w:ascii="Times New Roman" w:hAnsi="Times New Roman" w:eastAsia="宋体" w:cs="Times New Roman"/>
              <w:b w:val="0"/>
              <w:bCs/>
              <w:sz w:val="21"/>
              <w:szCs w:val="24"/>
            </w:rPr>
            <w:t>国家质量标准示范产品</w:t>
          </w:r>
          <w:r>
            <w:rPr>
              <w:rFonts w:hint="eastAsia" w:cs="Times New Roman"/>
              <w:b w:val="0"/>
              <w:bCs/>
              <w:sz w:val="21"/>
              <w:szCs w:val="24"/>
              <w:lang w:eastAsia="zh-CN"/>
            </w:rPr>
            <w:t>”“</w:t>
          </w:r>
          <w:r>
            <w:rPr>
              <w:rFonts w:hint="default" w:ascii="Times New Roman" w:hAnsi="Times New Roman" w:eastAsia="宋体" w:cs="Times New Roman"/>
              <w:b w:val="0"/>
              <w:bCs/>
              <w:sz w:val="21"/>
              <w:szCs w:val="24"/>
            </w:rPr>
            <w:t>中国名牌产品</w:t>
          </w:r>
          <w:r>
            <w:rPr>
              <w:rFonts w:hint="eastAsia" w:cs="Times New Roman"/>
              <w:b w:val="0"/>
              <w:bCs/>
              <w:sz w:val="21"/>
              <w:szCs w:val="24"/>
              <w:lang w:eastAsia="zh-CN"/>
            </w:rPr>
            <w:t>”“</w:t>
          </w:r>
          <w:r>
            <w:rPr>
              <w:rFonts w:hint="default" w:ascii="Times New Roman" w:hAnsi="Times New Roman" w:eastAsia="宋体" w:cs="Times New Roman"/>
              <w:b w:val="0"/>
              <w:bCs/>
              <w:sz w:val="21"/>
              <w:szCs w:val="24"/>
            </w:rPr>
            <w:t>全国用户满意产品</w:t>
          </w:r>
          <w:r>
            <w:rPr>
              <w:rFonts w:hint="eastAsia" w:cs="Times New Roman"/>
              <w:b w:val="0"/>
              <w:bCs/>
              <w:sz w:val="21"/>
              <w:szCs w:val="24"/>
              <w:lang w:eastAsia="zh-CN"/>
            </w:rPr>
            <w:t>”</w:t>
          </w:r>
          <w:r>
            <w:rPr>
              <w:rFonts w:hint="default" w:ascii="Times New Roman" w:hAnsi="Times New Roman" w:eastAsia="宋体" w:cs="Times New Roman"/>
              <w:b w:val="0"/>
              <w:bCs/>
              <w:sz w:val="21"/>
              <w:szCs w:val="24"/>
            </w:rPr>
            <w:t>。2013年起，公司已连续13年作为行业合作伙伴参展中国-东盟博览会，</w:t>
          </w:r>
          <w:r>
            <w:rPr>
              <w:rFonts w:hint="eastAsia" w:cs="Times New Roman"/>
              <w:b w:val="0"/>
              <w:bCs/>
              <w:sz w:val="21"/>
              <w:szCs w:val="24"/>
              <w:lang w:eastAsia="zh-CN"/>
            </w:rPr>
            <w:t>“</w:t>
          </w:r>
          <w:r>
            <w:rPr>
              <w:rFonts w:hint="default" w:ascii="Times New Roman" w:hAnsi="Times New Roman" w:eastAsia="宋体" w:cs="Times New Roman"/>
              <w:b w:val="0"/>
              <w:bCs/>
              <w:sz w:val="21"/>
              <w:szCs w:val="24"/>
            </w:rPr>
            <w:t>两面针</w:t>
          </w:r>
          <w:r>
            <w:rPr>
              <w:rFonts w:hint="eastAsia" w:cs="Times New Roman"/>
              <w:b w:val="0"/>
              <w:bCs/>
              <w:sz w:val="21"/>
              <w:szCs w:val="24"/>
              <w:lang w:eastAsia="zh-CN"/>
            </w:rPr>
            <w:t>”</w:t>
          </w:r>
          <w:r>
            <w:rPr>
              <w:rFonts w:hint="default" w:ascii="Times New Roman" w:hAnsi="Times New Roman" w:eastAsia="宋体" w:cs="Times New Roman"/>
              <w:b w:val="0"/>
              <w:bCs/>
              <w:sz w:val="21"/>
              <w:szCs w:val="24"/>
            </w:rPr>
            <w:t>系列产品连续多年成为中国-东盟博览会指定用品。</w:t>
          </w:r>
        </w:p>
        <w:p>
          <w:pPr>
            <w:spacing w:beforeLines="0" w:afterLines="0" w:line="400" w:lineRule="exact"/>
            <w:ind w:firstLine="422" w:firstLineChars="200"/>
            <w:rPr>
              <w:rFonts w:hint="default" w:ascii="Times New Roman" w:hAnsi="Times New Roman" w:eastAsia="宋体" w:cs="Times New Roman"/>
              <w:b/>
              <w:sz w:val="21"/>
              <w:szCs w:val="24"/>
            </w:rPr>
          </w:pPr>
          <w:r>
            <w:rPr>
              <w:rFonts w:hint="default" w:ascii="Times New Roman" w:hAnsi="Times New Roman" w:eastAsia="宋体" w:cs="Times New Roman"/>
              <w:b/>
              <w:sz w:val="21"/>
              <w:szCs w:val="24"/>
            </w:rPr>
            <w:t>（三）产品质量优势</w:t>
          </w:r>
        </w:p>
        <w:p>
          <w:pPr>
            <w:keepNext w:val="0"/>
            <w:keepLines w:val="0"/>
            <w:pageBreakBefore w:val="0"/>
            <w:widowControl/>
            <w:kinsoku/>
            <w:wordWrap/>
            <w:overflowPunct/>
            <w:topLinePunct w:val="0"/>
            <w:autoSpaceDE/>
            <w:autoSpaceDN/>
            <w:bidi w:val="0"/>
            <w:adjustRightInd/>
            <w:snapToGrid/>
            <w:spacing w:beforeLines="0" w:afterLines="0" w:line="400" w:lineRule="exact"/>
            <w:ind w:firstLine="420" w:firstLineChars="200"/>
            <w:textAlignment w:val="auto"/>
            <w:rPr>
              <w:rFonts w:hint="default" w:ascii="Times New Roman" w:hAnsi="Times New Roman" w:eastAsia="宋体" w:cs="Times New Roman"/>
              <w:b/>
              <w:sz w:val="21"/>
              <w:szCs w:val="24"/>
            </w:rPr>
          </w:pPr>
          <w:r>
            <w:rPr>
              <w:rFonts w:hint="default" w:ascii="Times New Roman" w:hAnsi="Times New Roman" w:eastAsia="宋体" w:cs="Times New Roman"/>
              <w:b w:val="0"/>
              <w:bCs/>
              <w:sz w:val="21"/>
              <w:szCs w:val="24"/>
            </w:rPr>
            <w:t>公司是行业内首家通过ISO9001国际质量体系认证的国家高新技术企业，拥有ISO22716认证、MS1500清真认证（国际Halal认证）、欧盟和美国标准的GMPC（化妆品良好规范管理）证书等多项权威认证。公司质量管理体系适宜、充分、有效，为公司产品的质量和安全提供了坚实保障。</w:t>
          </w:r>
        </w:p>
        <w:p>
          <w:pPr>
            <w:spacing w:beforeLines="0" w:afterLines="0" w:line="400" w:lineRule="exact"/>
            <w:ind w:firstLine="422" w:firstLineChars="200"/>
            <w:rPr>
              <w:rFonts w:hint="default" w:ascii="Times New Roman" w:hAnsi="Times New Roman" w:eastAsia="宋体" w:cs="Times New Roman"/>
              <w:b/>
              <w:sz w:val="21"/>
              <w:szCs w:val="24"/>
            </w:rPr>
          </w:pPr>
          <w:r>
            <w:rPr>
              <w:rFonts w:hint="default" w:ascii="Times New Roman" w:hAnsi="Times New Roman" w:eastAsia="宋体" w:cs="Times New Roman"/>
              <w:b/>
              <w:sz w:val="21"/>
              <w:szCs w:val="24"/>
            </w:rPr>
            <w:t>（四）原料供应优势</w:t>
          </w:r>
        </w:p>
        <w:p>
          <w:pPr>
            <w:spacing w:beforeLines="0" w:afterLines="0" w:line="400" w:lineRule="exact"/>
            <w:ind w:firstLine="420" w:firstLineChars="200"/>
            <w:rPr>
              <w:rFonts w:hint="default" w:ascii="Times New Roman" w:hAnsi="Times New Roman" w:eastAsia="宋体" w:cs="Times New Roman"/>
              <w:b/>
              <w:sz w:val="21"/>
              <w:szCs w:val="24"/>
            </w:rPr>
          </w:pPr>
          <w:r>
            <w:rPr>
              <w:rFonts w:hint="default" w:ascii="Times New Roman" w:hAnsi="Times New Roman" w:eastAsia="宋体" w:cs="Times New Roman"/>
              <w:b w:val="0"/>
              <w:bCs/>
              <w:sz w:val="21"/>
              <w:szCs w:val="24"/>
            </w:rPr>
            <w:t>公司坐落于广西壮族自治区中部，依托本地丰富的中草药自然资源，原料供应稳定便捷，提取药材道地、安全、有效。</w:t>
          </w:r>
        </w:p>
      </w:sdtContent>
    </w:sdt>
    <w:p>
      <w:pPr>
        <w:rPr>
          <w:rFonts w:hint="eastAsia" w:asciiTheme="minorEastAsia" w:hAnsiTheme="minorEastAsia" w:eastAsiaTheme="minorEastAsia"/>
        </w:rPr>
      </w:pPr>
    </w:p>
    <w:sdt>
      <w:sdtPr>
        <w:tag w:val="_PLD_d9b289848700460eab107d094fbfc483"/>
        <w:id w:val="5712"/>
      </w:sdtPr>
      <w:sdtEndPr>
        <w:rPr>
          <w:rFonts w:ascii="Arial" w:hAnsi="Arial" w:cs="Times New Roman"/>
          <w:b/>
          <w:bCs/>
          <w:kern w:val="2"/>
          <w:szCs w:val="21"/>
        </w:rPr>
      </w:sdtEndPr>
      <w:sdtContent>
        <w:p>
          <w:pPr>
            <w:pStyle w:val="3"/>
            <w:numPr>
              <w:ilvl w:val="0"/>
              <w:numId w:val="7"/>
            </w:numPr>
            <w:ind w:left="368" w:hanging="369" w:hangingChars="175"/>
          </w:pPr>
          <w:r>
            <w:rPr>
              <w:rFonts w:hint="eastAsia"/>
            </w:rPr>
            <w:t>报告期内主要经营情况</w:t>
          </w:r>
        </w:p>
      </w:sdtContent>
    </w:sdt>
    <w:sdt>
      <w:sdtPr>
        <w:rPr>
          <w:rFonts w:hint="eastAsia"/>
        </w:rPr>
        <w:alias w:val="报告期内主要经营情况"/>
        <w:tag w:val="_GBC_655a1c6ffd2a454085e53e5538e3b2ef"/>
        <w:id w:val="5713"/>
        <w:placeholder>
          <w:docPart w:val="GBC22222222222222222222222222222"/>
        </w:placeholder>
      </w:sdtPr>
      <w:sdtEndPr>
        <w:rPr>
          <w:rFonts w:hint="eastAsia"/>
        </w:rPr>
      </w:sdtEndPr>
      <w:sdtContent>
        <w:p>
          <w:r>
            <w:rPr>
              <w:rFonts w:hint="eastAsia"/>
            </w:rPr>
            <w:t>详见本报告本节”三、经营情况讨论与分析“。</w:t>
          </w:r>
        </w:p>
      </w:sdtContent>
    </w:sdt>
    <w:p/>
    <w:p>
      <w:pPr>
        <w:pStyle w:val="4"/>
        <w:numPr>
          <w:ilvl w:val="0"/>
          <w:numId w:val="8"/>
        </w:numPr>
        <w:ind w:left="0" w:firstLine="0"/>
        <w:rPr>
          <w:szCs w:val="21"/>
        </w:rPr>
      </w:pPr>
      <w:bookmarkStart w:id="42" w:name="_Toc342565895"/>
      <w:bookmarkStart w:id="43" w:name="_Toc342559738"/>
      <w:r>
        <w:rPr>
          <w:rFonts w:hint="eastAsia"/>
          <w:szCs w:val="21"/>
        </w:rPr>
        <w:t>主营业务分析</w:t>
      </w:r>
      <w:bookmarkEnd w:id="42"/>
      <w:bookmarkEnd w:id="43"/>
    </w:p>
    <w:p>
      <w:pPr>
        <w:pStyle w:val="5"/>
        <w:numPr>
          <w:ilvl w:val="0"/>
          <w:numId w:val="9"/>
        </w:numPr>
        <w:rPr>
          <w:rFonts w:hint="eastAsia"/>
        </w:rPr>
      </w:pPr>
      <w:r>
        <w:t>利润表及现金流量表相关科目变动分析表</w:t>
      </w:r>
    </w:p>
    <w:p>
      <w:pPr>
        <w:pStyle w:val="56"/>
        <w:ind w:left="360" w:firstLine="0" w:firstLineChars="0"/>
        <w:jc w:val="right"/>
        <w:rPr>
          <w:rFonts w:hint="eastAsia" w:ascii="宋体" w:hAnsi="宋体"/>
        </w:rPr>
      </w:pPr>
      <w:bookmarkStart w:id="44" w:name="_Hlk10208083"/>
      <w:bookmarkStart w:id="45" w:name="_Hlk89098131"/>
      <w:r>
        <w:rPr>
          <w:rFonts w:hint="eastAsia" w:ascii="宋体" w:hAnsi="宋体"/>
          <w:szCs w:val="21"/>
        </w:rPr>
        <w:t>单位</w:t>
      </w:r>
      <w:r>
        <w:rPr>
          <w:rFonts w:ascii="宋体" w:hAnsi="宋体"/>
          <w:szCs w:val="21"/>
        </w:rPr>
        <w:t>：</w:t>
      </w:r>
      <w:sdt>
        <w:sdtPr>
          <w:rPr>
            <w:rFonts w:ascii="宋体" w:hAnsi="宋体"/>
            <w:szCs w:val="21"/>
          </w:rPr>
          <w:alias w:val="单位：利润表及现金流量表相关科目变动分析表"/>
          <w:tag w:val="_GBC_a5fffb3a862348719225255f65c5850b"/>
          <w:id w:val="571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ascii="宋体" w:hAnsi="宋体"/>
            <w:szCs w:val="21"/>
          </w:rPr>
        </w:sdtEndPr>
        <w:sdtContent>
          <w:r>
            <w:rPr>
              <w:rFonts w:ascii="宋体" w:hAnsi="宋体"/>
              <w:szCs w:val="21"/>
            </w:rPr>
            <w:t>元</w:t>
          </w:r>
        </w:sdtContent>
      </w:sdt>
      <w:r>
        <w:rPr>
          <w:rFonts w:hint="eastAsia" w:ascii="宋体" w:hAnsi="宋体"/>
          <w:szCs w:val="21"/>
        </w:rPr>
        <w:t xml:space="preserve">  币种</w:t>
      </w:r>
      <w:r>
        <w:rPr>
          <w:rFonts w:ascii="宋体" w:hAnsi="宋体"/>
          <w:szCs w:val="21"/>
        </w:rPr>
        <w:t>：</w:t>
      </w:r>
      <w:sdt>
        <w:sdtPr>
          <w:rPr>
            <w:rFonts w:ascii="宋体" w:hAnsi="宋体"/>
            <w:szCs w:val="21"/>
          </w:rPr>
          <w:alias w:val="币种：利润表及现金流量表相关科目变动分析表"/>
          <w:tag w:val="_GBC_4dcf9e4b2ba546cd926a1de5fc18f92f"/>
          <w:id w:val="571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ascii="宋体" w:hAnsi="宋体"/>
            <w:szCs w:val="21"/>
          </w:rPr>
        </w:sdtEndPr>
        <w:sdtContent>
          <w:r>
            <w:rPr>
              <w:rFonts w:ascii="宋体" w:hAnsi="宋体"/>
              <w:szCs w:val="21"/>
            </w:rPr>
            <w:t>人民币</w:t>
          </w:r>
        </w:sdtContent>
      </w:sdt>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9"/>
        <w:gridCol w:w="2128"/>
        <w:gridCol w:w="1987"/>
        <w:gridCol w:w="1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9" w:type="dxa"/>
            <w:vAlign w:val="center"/>
          </w:tcPr>
          <w:sdt>
            <w:sdtPr>
              <w:tag w:val="_PLD_e184eafc8be3478d9fc8a544274385f7"/>
              <w:id w:val="5716"/>
            </w:sdtPr>
            <w:sdtContent>
              <w:p>
                <w:pPr>
                  <w:pStyle w:val="56"/>
                  <w:ind w:firstLine="0" w:firstLineChars="0"/>
                  <w:jc w:val="center"/>
                  <w:rPr>
                    <w:rFonts w:hint="eastAsia" w:ascii="宋体" w:hAnsi="宋体"/>
                    <w:szCs w:val="21"/>
                  </w:rPr>
                </w:pPr>
                <w:bookmarkStart w:id="46" w:name="_Hlk10208057"/>
                <w:r>
                  <w:rPr>
                    <w:rFonts w:hint="eastAsia" w:ascii="宋体" w:hAnsi="宋体"/>
                    <w:szCs w:val="21"/>
                  </w:rPr>
                  <w:t>科目</w:t>
                </w:r>
              </w:p>
            </w:sdtContent>
          </w:sdt>
        </w:tc>
        <w:tc>
          <w:tcPr>
            <w:tcW w:w="2128" w:type="dxa"/>
            <w:vAlign w:val="center"/>
          </w:tcPr>
          <w:sdt>
            <w:sdtPr>
              <w:tag w:val="_PLD_c49cd176da60479fbcfeedd35cc9f509"/>
              <w:id w:val="5717"/>
            </w:sdtPr>
            <w:sdtContent>
              <w:p>
                <w:pPr>
                  <w:pStyle w:val="56"/>
                  <w:ind w:firstLine="0" w:firstLineChars="0"/>
                  <w:jc w:val="center"/>
                  <w:rPr>
                    <w:rFonts w:hint="eastAsia" w:ascii="宋体" w:hAnsi="宋体"/>
                    <w:szCs w:val="21"/>
                  </w:rPr>
                </w:pPr>
                <w:r>
                  <w:rPr>
                    <w:rFonts w:hint="eastAsia" w:ascii="宋体" w:hAnsi="宋体"/>
                    <w:szCs w:val="21"/>
                  </w:rPr>
                  <w:t>本期数</w:t>
                </w:r>
              </w:p>
            </w:sdtContent>
          </w:sdt>
        </w:tc>
        <w:tc>
          <w:tcPr>
            <w:tcW w:w="1987" w:type="dxa"/>
            <w:vAlign w:val="center"/>
          </w:tcPr>
          <w:sdt>
            <w:sdtPr>
              <w:tag w:val="_PLD_0b6df7534554463db9f304bbe9b6a71e"/>
              <w:id w:val="5718"/>
            </w:sdtPr>
            <w:sdtContent>
              <w:p>
                <w:pPr>
                  <w:pStyle w:val="56"/>
                  <w:ind w:firstLine="0" w:firstLineChars="0"/>
                  <w:jc w:val="center"/>
                  <w:rPr>
                    <w:rFonts w:hint="eastAsia" w:ascii="宋体" w:hAnsi="宋体"/>
                    <w:szCs w:val="21"/>
                  </w:rPr>
                </w:pPr>
                <w:r>
                  <w:rPr>
                    <w:rFonts w:hint="eastAsia" w:ascii="宋体" w:hAnsi="宋体"/>
                    <w:szCs w:val="21"/>
                  </w:rPr>
                  <w:t>上年同期数</w:t>
                </w:r>
              </w:p>
            </w:sdtContent>
          </w:sdt>
        </w:tc>
        <w:tc>
          <w:tcPr>
            <w:tcW w:w="1844" w:type="dxa"/>
            <w:vAlign w:val="center"/>
          </w:tcPr>
          <w:sdt>
            <w:sdtPr>
              <w:tag w:val="_PLD_a903eeff1728490ba821c9389249303c"/>
              <w:id w:val="5719"/>
            </w:sdtPr>
            <w:sdtContent>
              <w:p>
                <w:pPr>
                  <w:pStyle w:val="56"/>
                  <w:ind w:firstLine="0" w:firstLineChars="0"/>
                  <w:jc w:val="center"/>
                  <w:rPr>
                    <w:rFonts w:hint="eastAsia" w:ascii="宋体" w:hAnsi="宋体"/>
                    <w:szCs w:val="21"/>
                  </w:rPr>
                </w:pPr>
                <w:r>
                  <w:rPr>
                    <w:rFonts w:hint="eastAsia" w:ascii="宋体" w:hAnsi="宋体"/>
                    <w:szCs w:val="21"/>
                  </w:rPr>
                  <w:t>变动比例（%）</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9" w:type="dxa"/>
            <w:vAlign w:val="center"/>
          </w:tcPr>
          <w:p>
            <w:pPr>
              <w:pStyle w:val="56"/>
              <w:ind w:firstLine="0" w:firstLineChars="0"/>
              <w:rPr>
                <w:rFonts w:hint="eastAsia" w:ascii="宋体" w:hAnsi="宋体"/>
                <w:szCs w:val="21"/>
              </w:rPr>
            </w:pPr>
            <w:r>
              <w:rPr>
                <w:rFonts w:hint="eastAsia" w:ascii="宋体" w:hAnsi="宋体"/>
                <w:szCs w:val="21"/>
              </w:rPr>
              <w:t>营业收入</w:t>
            </w:r>
          </w:p>
        </w:tc>
        <w:tc>
          <w:tcPr>
            <w:tcW w:w="2128"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1,062,576,709.88</w:t>
            </w:r>
          </w:p>
        </w:tc>
        <w:tc>
          <w:tcPr>
            <w:tcW w:w="1987"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1,053,051,877.62</w:t>
            </w:r>
          </w:p>
        </w:tc>
        <w:tc>
          <w:tcPr>
            <w:tcW w:w="1844"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9" w:type="dxa"/>
            <w:vAlign w:val="center"/>
          </w:tcPr>
          <w:p>
            <w:pPr>
              <w:pStyle w:val="56"/>
              <w:ind w:firstLine="0" w:firstLineChars="0"/>
              <w:rPr>
                <w:rFonts w:hint="eastAsia" w:ascii="宋体" w:hAnsi="宋体"/>
                <w:szCs w:val="21"/>
              </w:rPr>
            </w:pPr>
            <w:r>
              <w:rPr>
                <w:rFonts w:ascii="宋体" w:hAnsi="宋体"/>
                <w:szCs w:val="21"/>
              </w:rPr>
              <w:t>营业成本</w:t>
            </w:r>
          </w:p>
        </w:tc>
        <w:tc>
          <w:tcPr>
            <w:tcW w:w="2128"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883,791,640.47</w:t>
            </w:r>
          </w:p>
        </w:tc>
        <w:tc>
          <w:tcPr>
            <w:tcW w:w="1987"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877,186,367.34</w:t>
            </w:r>
          </w:p>
        </w:tc>
        <w:tc>
          <w:tcPr>
            <w:tcW w:w="1844"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9" w:type="dxa"/>
            <w:vAlign w:val="center"/>
          </w:tcPr>
          <w:p>
            <w:pPr>
              <w:pStyle w:val="56"/>
              <w:ind w:firstLine="0" w:firstLineChars="0"/>
              <w:rPr>
                <w:rFonts w:hint="eastAsia" w:ascii="宋体" w:hAnsi="宋体"/>
                <w:szCs w:val="21"/>
              </w:rPr>
            </w:pPr>
            <w:r>
              <w:rPr>
                <w:rFonts w:ascii="宋体" w:hAnsi="宋体"/>
                <w:szCs w:val="21"/>
              </w:rPr>
              <w:t>销售费用</w:t>
            </w:r>
          </w:p>
        </w:tc>
        <w:tc>
          <w:tcPr>
            <w:tcW w:w="2128"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108,176,877.86</w:t>
            </w:r>
          </w:p>
        </w:tc>
        <w:tc>
          <w:tcPr>
            <w:tcW w:w="1987"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113,024,197.01</w:t>
            </w:r>
          </w:p>
        </w:tc>
        <w:tc>
          <w:tcPr>
            <w:tcW w:w="1844"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9" w:type="dxa"/>
            <w:vAlign w:val="center"/>
          </w:tcPr>
          <w:p>
            <w:pPr>
              <w:pStyle w:val="56"/>
              <w:ind w:firstLine="0" w:firstLineChars="0"/>
              <w:rPr>
                <w:rFonts w:hint="eastAsia" w:ascii="宋体" w:hAnsi="宋体"/>
                <w:szCs w:val="21"/>
              </w:rPr>
            </w:pPr>
            <w:r>
              <w:rPr>
                <w:rFonts w:ascii="宋体" w:hAnsi="宋体"/>
                <w:szCs w:val="21"/>
              </w:rPr>
              <w:t>管理费用</w:t>
            </w:r>
          </w:p>
        </w:tc>
        <w:tc>
          <w:tcPr>
            <w:tcW w:w="2128"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84,036,550.67</w:t>
            </w:r>
          </w:p>
        </w:tc>
        <w:tc>
          <w:tcPr>
            <w:tcW w:w="1987"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83,756,671.80</w:t>
            </w:r>
          </w:p>
        </w:tc>
        <w:tc>
          <w:tcPr>
            <w:tcW w:w="1844"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9" w:type="dxa"/>
            <w:vAlign w:val="center"/>
          </w:tcPr>
          <w:p>
            <w:pPr>
              <w:pStyle w:val="56"/>
              <w:ind w:firstLine="0" w:firstLineChars="0"/>
              <w:rPr>
                <w:rFonts w:hint="eastAsia" w:ascii="宋体" w:hAnsi="宋体"/>
                <w:szCs w:val="21"/>
              </w:rPr>
            </w:pPr>
            <w:r>
              <w:rPr>
                <w:rFonts w:ascii="宋体" w:hAnsi="宋体"/>
                <w:szCs w:val="21"/>
              </w:rPr>
              <w:t>财务费用</w:t>
            </w:r>
          </w:p>
        </w:tc>
        <w:tc>
          <w:tcPr>
            <w:tcW w:w="2128"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-31,308,938.30</w:t>
            </w:r>
          </w:p>
        </w:tc>
        <w:tc>
          <w:tcPr>
            <w:tcW w:w="1987"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-39,263,039.14</w:t>
            </w:r>
          </w:p>
        </w:tc>
        <w:tc>
          <w:tcPr>
            <w:tcW w:w="1844" w:type="dxa"/>
            <w:vAlign w:val="center"/>
          </w:tcPr>
          <w:p>
            <w:pPr>
              <w:pStyle w:val="56"/>
              <w:ind w:firstLine="0" w:firstLineChars="0"/>
              <w:jc w:val="right"/>
              <w:rPr>
                <w:rFonts w:ascii="宋体" w:hAnsi="宋体"/>
                <w:szCs w:val="21"/>
              </w:rPr>
            </w:pPr>
            <w:r>
              <w:rPr>
                <w:rFonts w:hint="eastAsia" w:ascii="宋体" w:hAnsi="宋体"/>
                <w:color w:val="auto"/>
                <w:szCs w:val="21"/>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9" w:type="dxa"/>
            <w:vAlign w:val="center"/>
          </w:tcPr>
          <w:p>
            <w:pPr>
              <w:pStyle w:val="56"/>
              <w:ind w:firstLine="0" w:firstLineChars="0"/>
              <w:rPr>
                <w:rFonts w:hint="eastAsia" w:ascii="宋体" w:hAnsi="宋体"/>
                <w:szCs w:val="21"/>
              </w:rPr>
            </w:pPr>
            <w:r>
              <w:rPr>
                <w:rFonts w:hint="eastAsia" w:ascii="宋体" w:hAnsi="宋体"/>
                <w:szCs w:val="21"/>
              </w:rPr>
              <w:t>研发费用</w:t>
            </w:r>
          </w:p>
        </w:tc>
        <w:tc>
          <w:tcPr>
            <w:tcW w:w="2128"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19,099,016.14</w:t>
            </w:r>
          </w:p>
        </w:tc>
        <w:tc>
          <w:tcPr>
            <w:tcW w:w="1987"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17,325,721.40</w:t>
            </w:r>
          </w:p>
        </w:tc>
        <w:tc>
          <w:tcPr>
            <w:tcW w:w="1844" w:type="dxa"/>
            <w:vAlign w:val="center"/>
          </w:tcPr>
          <w:p>
            <w:pPr>
              <w:pStyle w:val="56"/>
              <w:ind w:firstLine="0" w:firstLineChars="0"/>
              <w:jc w:val="right"/>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10.24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9" w:type="dxa"/>
            <w:vAlign w:val="center"/>
          </w:tcPr>
          <w:p>
            <w:pPr>
              <w:pStyle w:val="56"/>
              <w:ind w:firstLine="0" w:firstLineChars="0"/>
              <w:rPr>
                <w:rFonts w:hint="eastAsia" w:ascii="宋体" w:hAnsi="宋体"/>
                <w:szCs w:val="21"/>
              </w:rPr>
            </w:pPr>
            <w:r>
              <w:rPr>
                <w:rFonts w:ascii="宋体" w:hAnsi="宋体"/>
                <w:szCs w:val="21"/>
              </w:rPr>
              <w:t>经营活动产生的现金流量净额</w:t>
            </w:r>
          </w:p>
        </w:tc>
        <w:tc>
          <w:tcPr>
            <w:tcW w:w="2128"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61,011,949.22</w:t>
            </w:r>
          </w:p>
        </w:tc>
        <w:tc>
          <w:tcPr>
            <w:tcW w:w="1987"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14,279,946.49</w:t>
            </w:r>
          </w:p>
        </w:tc>
        <w:tc>
          <w:tcPr>
            <w:tcW w:w="1844" w:type="dxa"/>
            <w:vAlign w:val="center"/>
          </w:tcPr>
          <w:p>
            <w:pPr>
              <w:pStyle w:val="56"/>
              <w:ind w:firstLine="0" w:firstLineChars="0"/>
              <w:jc w:val="right"/>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327.26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9" w:type="dxa"/>
            <w:vAlign w:val="center"/>
          </w:tcPr>
          <w:p>
            <w:pPr>
              <w:pStyle w:val="56"/>
              <w:ind w:firstLine="0" w:firstLineChars="0"/>
              <w:rPr>
                <w:rFonts w:hint="eastAsia" w:ascii="宋体" w:hAnsi="宋体"/>
                <w:szCs w:val="21"/>
              </w:rPr>
            </w:pPr>
            <w:r>
              <w:rPr>
                <w:rFonts w:ascii="宋体" w:hAnsi="宋体"/>
                <w:szCs w:val="21"/>
              </w:rPr>
              <w:t>投资活动产生的现金流量净额</w:t>
            </w:r>
          </w:p>
        </w:tc>
        <w:tc>
          <w:tcPr>
            <w:tcW w:w="2128"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-32,268,073.83</w:t>
            </w:r>
          </w:p>
        </w:tc>
        <w:tc>
          <w:tcPr>
            <w:tcW w:w="1987"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-6,403,101.17</w:t>
            </w:r>
          </w:p>
        </w:tc>
        <w:tc>
          <w:tcPr>
            <w:tcW w:w="1844" w:type="dxa"/>
            <w:vAlign w:val="center"/>
          </w:tcPr>
          <w:p>
            <w:pPr>
              <w:pStyle w:val="56"/>
              <w:ind w:firstLine="0" w:firstLineChars="0"/>
              <w:jc w:val="right"/>
              <w:rPr>
                <w:rFonts w:ascii="宋体" w:hAnsi="宋体"/>
                <w:szCs w:val="21"/>
              </w:rPr>
            </w:pPr>
            <w:r>
              <w:rPr>
                <w:rFonts w:hint="eastAsia" w:ascii="宋体" w:hAnsi="宋体"/>
                <w:color w:val="auto"/>
                <w:szCs w:val="21"/>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9" w:type="dxa"/>
            <w:vAlign w:val="center"/>
          </w:tcPr>
          <w:p>
            <w:pPr>
              <w:pStyle w:val="56"/>
              <w:ind w:firstLine="0" w:firstLineChars="0"/>
              <w:rPr>
                <w:rFonts w:hint="eastAsia" w:ascii="宋体" w:hAnsi="宋体"/>
                <w:szCs w:val="21"/>
              </w:rPr>
            </w:pPr>
            <w:r>
              <w:rPr>
                <w:rFonts w:ascii="宋体" w:hAnsi="宋体"/>
                <w:szCs w:val="21"/>
              </w:rPr>
              <w:t>筹资活动产生的现金流量净额</w:t>
            </w:r>
          </w:p>
        </w:tc>
        <w:tc>
          <w:tcPr>
            <w:tcW w:w="2128"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-8,611,823.19</w:t>
            </w:r>
          </w:p>
        </w:tc>
        <w:tc>
          <w:tcPr>
            <w:tcW w:w="1987" w:type="dxa"/>
            <w:vAlign w:val="center"/>
          </w:tcPr>
          <w:p>
            <w:pPr>
              <w:pStyle w:val="56"/>
              <w:ind w:firstLine="0" w:firstLineChars="0"/>
              <w:jc w:val="right"/>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-13,301,621.57</w:t>
            </w:r>
          </w:p>
        </w:tc>
        <w:tc>
          <w:tcPr>
            <w:tcW w:w="1844" w:type="dxa"/>
            <w:vAlign w:val="center"/>
          </w:tcPr>
          <w:p>
            <w:pPr>
              <w:pStyle w:val="56"/>
              <w:ind w:firstLine="0" w:firstLineChars="0"/>
              <w:jc w:val="right"/>
              <w:rPr>
                <w:rFonts w:ascii="宋体" w:hAnsi="宋体"/>
                <w:szCs w:val="21"/>
              </w:rPr>
            </w:pPr>
            <w:r>
              <w:rPr>
                <w:rFonts w:hint="eastAsia" w:ascii="宋体" w:hAnsi="宋体"/>
                <w:color w:val="auto"/>
                <w:szCs w:val="21"/>
              </w:rPr>
              <w:t>不适用</w:t>
            </w:r>
          </w:p>
        </w:tc>
      </w:tr>
      <w:bookmarkEnd w:id="46"/>
    </w:tbl>
    <w:p>
      <w:pPr>
        <w:pStyle w:val="56"/>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Times New Roman"/>
        </w:rPr>
      </w:pPr>
      <w:r>
        <w:rPr>
          <w:rFonts w:hint="eastAsia" w:ascii="宋体" w:hAnsi="宋体" w:eastAsia="宋体" w:cs="Times New Roman"/>
        </w:rPr>
        <w:t>营业收入变动原因说明：</w:t>
      </w:r>
      <w:sdt>
        <w:sdtPr>
          <w:rPr>
            <w:rFonts w:hint="eastAsia" w:ascii="宋体" w:hAnsi="宋体" w:eastAsia="宋体" w:cs="Times New Roman"/>
          </w:rPr>
          <w:alias w:val="营业收入变动原因说明"/>
          <w:tag w:val="_GBC_02f544181db247728469e929886776a1"/>
          <w:id w:val="5720"/>
          <w:placeholder>
            <w:docPart w:val="GBC22222222222222222222222222222"/>
          </w:placeholder>
        </w:sdtPr>
        <w:sdtEndPr>
          <w:rPr>
            <w:rFonts w:hint="eastAsia" w:ascii="宋体" w:hAnsi="宋体" w:eastAsia="宋体" w:cs="Times New Roman"/>
          </w:rPr>
        </w:sdtEndPr>
        <w:sdtContent>
          <w:r>
            <w:rPr>
              <w:rFonts w:hint="eastAsia" w:ascii="宋体" w:hAnsi="宋体" w:eastAsia="宋体" w:cs="Times New Roman"/>
            </w:rPr>
            <w:t>无重大变化；</w:t>
          </w:r>
        </w:sdtContent>
      </w:sdt>
    </w:p>
    <w:p>
      <w:pPr>
        <w:pStyle w:val="56"/>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Times New Roman"/>
        </w:rPr>
      </w:pPr>
      <w:r>
        <w:rPr>
          <w:rFonts w:hint="eastAsia" w:ascii="宋体" w:hAnsi="宋体" w:eastAsia="宋体" w:cs="Times New Roman"/>
        </w:rPr>
        <w:t>营业成本变动原因说明：</w:t>
      </w:r>
      <w:sdt>
        <w:sdtPr>
          <w:rPr>
            <w:rFonts w:hint="eastAsia" w:ascii="宋体" w:hAnsi="宋体" w:eastAsia="宋体" w:cs="Times New Roman"/>
          </w:rPr>
          <w:alias w:val="营业成本变动原因说明"/>
          <w:tag w:val="_GBC_cc56ae4655044c7092acfc9c59da077d"/>
          <w:id w:val="5721"/>
          <w:placeholder>
            <w:docPart w:val="GBC22222222222222222222222222222"/>
          </w:placeholder>
        </w:sdtPr>
        <w:sdtEndPr>
          <w:rPr>
            <w:rFonts w:hint="eastAsia" w:ascii="宋体" w:hAnsi="宋体" w:eastAsia="宋体" w:cs="Times New Roman"/>
          </w:rPr>
        </w:sdtEndPr>
        <w:sdtContent>
          <w:r>
            <w:rPr>
              <w:rFonts w:hint="eastAsia" w:ascii="宋体" w:hAnsi="宋体" w:eastAsia="宋体" w:cs="Times New Roman"/>
            </w:rPr>
            <w:t>无重大变化；</w:t>
          </w:r>
        </w:sdtContent>
      </w:sdt>
    </w:p>
    <w:p>
      <w:pPr>
        <w:pStyle w:val="56"/>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Times New Roman"/>
        </w:rPr>
      </w:pPr>
      <w:r>
        <w:rPr>
          <w:rFonts w:hint="eastAsia" w:ascii="宋体" w:hAnsi="宋体" w:eastAsia="宋体" w:cs="Times New Roman"/>
        </w:rPr>
        <w:t>销售费用变动原因说明：</w:t>
      </w:r>
      <w:sdt>
        <w:sdtPr>
          <w:rPr>
            <w:rFonts w:hint="eastAsia" w:ascii="宋体" w:hAnsi="宋体" w:eastAsia="宋体" w:cs="Times New Roman"/>
          </w:rPr>
          <w:alias w:val="销售费用变动原因说明"/>
          <w:tag w:val="_GBC_c5a5f680c2ee494fb0392b5c43f82ada"/>
          <w:id w:val="5722"/>
          <w:placeholder>
            <w:docPart w:val="GBC22222222222222222222222222222"/>
          </w:placeholder>
        </w:sdtPr>
        <w:sdtEndPr>
          <w:rPr>
            <w:rFonts w:hint="eastAsia" w:ascii="宋体" w:hAnsi="宋体" w:eastAsia="宋体" w:cs="Times New Roman"/>
          </w:rPr>
        </w:sdtEndPr>
        <w:sdtContent>
          <w:r>
            <w:rPr>
              <w:rFonts w:hint="eastAsia" w:ascii="宋体" w:hAnsi="宋体" w:eastAsia="宋体" w:cs="Times New Roman"/>
            </w:rPr>
            <w:t>无重大变化；</w:t>
          </w:r>
        </w:sdtContent>
      </w:sdt>
    </w:p>
    <w:p>
      <w:pPr>
        <w:pStyle w:val="56"/>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Times New Roman"/>
        </w:rPr>
      </w:pPr>
      <w:r>
        <w:rPr>
          <w:rFonts w:hint="eastAsia" w:ascii="宋体" w:hAnsi="宋体" w:eastAsia="宋体" w:cs="Times New Roman"/>
        </w:rPr>
        <w:t>管理费用变动原因说明：</w:t>
      </w:r>
      <w:sdt>
        <w:sdtPr>
          <w:rPr>
            <w:rFonts w:hint="eastAsia" w:ascii="宋体" w:hAnsi="宋体" w:eastAsia="宋体" w:cs="Times New Roman"/>
          </w:rPr>
          <w:alias w:val="管理费用变动原因说明"/>
          <w:tag w:val="_GBC_706b1fc7f80c45629d6554f783797e4f"/>
          <w:id w:val="5723"/>
          <w:placeholder>
            <w:docPart w:val="GBC22222222222222222222222222222"/>
          </w:placeholder>
        </w:sdtPr>
        <w:sdtEndPr>
          <w:rPr>
            <w:rFonts w:hint="eastAsia" w:ascii="宋体" w:hAnsi="宋体" w:eastAsia="宋体" w:cs="Times New Roman"/>
          </w:rPr>
        </w:sdtEndPr>
        <w:sdtContent>
          <w:r>
            <w:rPr>
              <w:rFonts w:hint="eastAsia" w:ascii="宋体" w:hAnsi="宋体" w:eastAsia="宋体" w:cs="Times New Roman"/>
            </w:rPr>
            <w:t>无重大变化；</w:t>
          </w:r>
        </w:sdtContent>
      </w:sdt>
    </w:p>
    <w:p>
      <w:pPr>
        <w:pStyle w:val="56"/>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Times New Roman"/>
        </w:rPr>
      </w:pPr>
      <w:r>
        <w:rPr>
          <w:rFonts w:hint="eastAsia" w:ascii="宋体" w:hAnsi="宋体" w:eastAsia="宋体" w:cs="Times New Roman"/>
        </w:rPr>
        <w:t>财务费用变动原因说明：</w:t>
      </w:r>
      <w:sdt>
        <w:sdtPr>
          <w:rPr>
            <w:rFonts w:hint="eastAsia" w:ascii="宋体" w:hAnsi="宋体" w:eastAsia="宋体" w:cs="Times New Roman"/>
          </w:rPr>
          <w:alias w:val="财务费用变动原因说明"/>
          <w:tag w:val="_GBC_ae0e447440184dbb94565c35b97d07a6"/>
          <w:id w:val="5724"/>
          <w:placeholder>
            <w:docPart w:val="GBC22222222222222222222222222222"/>
          </w:placeholder>
        </w:sdtPr>
        <w:sdtEndPr>
          <w:rPr>
            <w:rFonts w:hint="eastAsia" w:ascii="宋体" w:hAnsi="宋体" w:eastAsia="宋体" w:cs="Times New Roman"/>
          </w:rPr>
        </w:sdtEndPr>
        <w:sdtContent>
          <w:r>
            <w:rPr>
              <w:rFonts w:hint="eastAsia" w:ascii="宋体" w:hAnsi="宋体" w:eastAsia="宋体" w:cs="Times New Roman"/>
            </w:rPr>
            <w:t>此项同比增加主要系本报告期利息收入减少；</w:t>
          </w:r>
        </w:sdtContent>
      </w:sdt>
    </w:p>
    <w:p>
      <w:pPr>
        <w:pStyle w:val="56"/>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Times New Roman"/>
        </w:rPr>
      </w:pPr>
      <w:r>
        <w:rPr>
          <w:rFonts w:hint="eastAsia" w:ascii="宋体" w:hAnsi="宋体" w:eastAsia="宋体" w:cs="Times New Roman"/>
        </w:rPr>
        <w:t>研发费用变动原因说明：</w:t>
      </w:r>
      <w:sdt>
        <w:sdtPr>
          <w:rPr>
            <w:rFonts w:hint="eastAsia" w:ascii="宋体" w:hAnsi="宋体" w:eastAsia="宋体" w:cs="Times New Roman"/>
          </w:rPr>
          <w:alias w:val="研发费用变动原因说明"/>
          <w:tag w:val="_GBC_310391efac0f4742813d80035c784df4"/>
          <w:id w:val="5725"/>
          <w:placeholder>
            <w:docPart w:val="GBC22222222222222222222222222222"/>
          </w:placeholder>
        </w:sdtPr>
        <w:sdtEndPr>
          <w:rPr>
            <w:rFonts w:hint="eastAsia" w:ascii="宋体" w:hAnsi="宋体" w:eastAsia="宋体" w:cs="Times New Roman"/>
          </w:rPr>
        </w:sdtEndPr>
        <w:sdtContent>
          <w:r>
            <w:rPr>
              <w:rFonts w:hint="eastAsia" w:ascii="宋体" w:hAnsi="宋体" w:eastAsia="宋体" w:cs="Times New Roman"/>
            </w:rPr>
            <w:t>无重大变化；</w:t>
          </w:r>
        </w:sdtContent>
      </w:sdt>
    </w:p>
    <w:p>
      <w:pPr>
        <w:pStyle w:val="56"/>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Times New Roman"/>
        </w:rPr>
      </w:pPr>
      <w:r>
        <w:rPr>
          <w:rFonts w:hint="eastAsia" w:ascii="宋体" w:hAnsi="宋体" w:eastAsia="宋体" w:cs="Times New Roman"/>
        </w:rPr>
        <w:t>经营活动产生的现金流量净额变动原因说明：</w:t>
      </w:r>
      <w:sdt>
        <w:sdtPr>
          <w:rPr>
            <w:rFonts w:hint="eastAsia" w:ascii="宋体" w:hAnsi="宋体" w:eastAsia="宋体" w:cs="Times New Roman"/>
          </w:rPr>
          <w:alias w:val="经营活动产生的现金流量净额变动原因说明"/>
          <w:tag w:val="_GBC_5968661d4f024738ae5c039168b68a45"/>
          <w:id w:val="5726"/>
          <w:placeholder>
            <w:docPart w:val="GBC22222222222222222222222222222"/>
          </w:placeholder>
        </w:sdtPr>
        <w:sdtEndPr>
          <w:rPr>
            <w:rFonts w:hint="eastAsia" w:ascii="宋体" w:hAnsi="宋体" w:eastAsia="宋体" w:cs="Times New Roman"/>
          </w:rPr>
        </w:sdtEndPr>
        <w:sdtContent>
          <w:r>
            <w:rPr>
              <w:rFonts w:hint="eastAsia" w:ascii="宋体" w:hAnsi="宋体" w:eastAsia="宋体" w:cs="Times New Roman"/>
            </w:rPr>
            <w:t>此项同比增加主要系本期材料采购款减少；</w:t>
          </w:r>
        </w:sdtContent>
      </w:sdt>
    </w:p>
    <w:p>
      <w:pPr>
        <w:pStyle w:val="56"/>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Times New Roman"/>
        </w:rPr>
      </w:pPr>
      <w:r>
        <w:rPr>
          <w:rFonts w:hint="eastAsia" w:ascii="宋体" w:hAnsi="宋体" w:eastAsia="宋体" w:cs="Times New Roman"/>
        </w:rPr>
        <w:t>投资活动产生的现金流量净额变动原因说明：</w:t>
      </w:r>
      <w:sdt>
        <w:sdtPr>
          <w:rPr>
            <w:rFonts w:hint="eastAsia" w:ascii="宋体" w:hAnsi="宋体" w:eastAsia="宋体" w:cs="Times New Roman"/>
          </w:rPr>
          <w:alias w:val="投资活动产生的现金流量净额变动原因说明"/>
          <w:tag w:val="_GBC_08880b3f89054510a8ebc03403516e54"/>
          <w:id w:val="5727"/>
          <w:placeholder>
            <w:docPart w:val="GBC22222222222222222222222222222"/>
          </w:placeholder>
        </w:sdtPr>
        <w:sdtEndPr>
          <w:rPr>
            <w:rFonts w:hint="eastAsia" w:ascii="宋体" w:hAnsi="宋体" w:eastAsia="宋体" w:cs="Times New Roman"/>
          </w:rPr>
        </w:sdtEndPr>
        <w:sdtContent>
          <w:r>
            <w:rPr>
              <w:rFonts w:hint="eastAsia" w:ascii="宋体" w:hAnsi="宋体" w:eastAsia="宋体" w:cs="Times New Roman"/>
            </w:rPr>
            <w:t>此项同比减少主要系</w:t>
          </w:r>
          <w:r>
            <w:rPr>
              <w:rFonts w:hint="eastAsia" w:ascii="宋体" w:hAnsi="宋体" w:cs="Times New Roman"/>
              <w:lang w:val="en-US" w:eastAsia="zh-CN"/>
            </w:rPr>
            <w:t>本期</w:t>
          </w:r>
          <w:r>
            <w:rPr>
              <w:rFonts w:hint="eastAsia" w:ascii="宋体" w:hAnsi="宋体" w:eastAsia="宋体" w:cs="Times New Roman"/>
            </w:rPr>
            <w:t>购建固定资产增加及投资收益减少；</w:t>
          </w:r>
        </w:sdtContent>
      </w:sdt>
    </w:p>
    <w:p>
      <w:pPr>
        <w:pStyle w:val="56"/>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Times New Roman"/>
        </w:rPr>
      </w:pPr>
      <w:r>
        <w:rPr>
          <w:rFonts w:hint="eastAsia" w:ascii="宋体" w:hAnsi="宋体" w:eastAsia="宋体" w:cs="Times New Roman"/>
        </w:rPr>
        <w:t>筹资活动产生的现金流量净额变动原因说明：</w:t>
      </w:r>
      <w:sdt>
        <w:sdtPr>
          <w:rPr>
            <w:rFonts w:hint="eastAsia" w:ascii="宋体" w:hAnsi="宋体" w:eastAsia="宋体" w:cs="Times New Roman"/>
          </w:rPr>
          <w:alias w:val="筹资活动产生的现金流量净额变动原因说明"/>
          <w:tag w:val="_GBC_69e60bcce703432885fa32dfc7a0a266"/>
          <w:id w:val="5728"/>
          <w:placeholder>
            <w:docPart w:val="GBC22222222222222222222222222222"/>
          </w:placeholder>
        </w:sdtPr>
        <w:sdtEndPr>
          <w:rPr>
            <w:rFonts w:hint="eastAsia" w:ascii="宋体" w:hAnsi="宋体" w:eastAsia="宋体" w:cs="Times New Roman"/>
          </w:rPr>
        </w:sdtEndPr>
        <w:sdtContent>
          <w:r>
            <w:rPr>
              <w:rFonts w:hint="eastAsia" w:ascii="宋体" w:hAnsi="宋体" w:eastAsia="宋体" w:cs="Times New Roman"/>
            </w:rPr>
            <w:t>此项同比增加主要系本期取得借款较去年同期增加。</w:t>
          </w:r>
        </w:sdtContent>
      </w:sdt>
    </w:p>
    <w:bookmarkEnd w:id="44"/>
    <w:bookmarkEnd w:id="45"/>
    <w:p>
      <w:pPr>
        <w:pStyle w:val="56"/>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Times New Roman"/>
        </w:rPr>
      </w:pPr>
    </w:p>
    <w:p>
      <w:pPr>
        <w:pStyle w:val="56"/>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Times New Roman"/>
        </w:rPr>
      </w:pPr>
      <w:bookmarkStart w:id="47" w:name="_Hlk89098827"/>
      <w:r>
        <w:rPr>
          <w:rFonts w:hint="eastAsia" w:ascii="宋体" w:hAnsi="宋体" w:eastAsia="宋体" w:cs="Times New Roman"/>
        </w:rPr>
        <w:t>本期公司业务类型、利润构成或利润来源发生重大变动的详细说明</w:t>
      </w:r>
    </w:p>
    <w:sdt>
      <w:sdtPr>
        <w:alias w:val="是否适用：公司利润构成或利润来源发生重大变动的详细说明[双击切换]"/>
        <w:tag w:val="_GBC_f76226f4a75345f0b64ffa67d16a3159"/>
        <w:id w:val="5729"/>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bookmarkEnd w:id="47"/>
    <w:p>
      <w:pPr>
        <w:pStyle w:val="5"/>
        <w:numPr>
          <w:ilvl w:val="0"/>
          <w:numId w:val="9"/>
        </w:numPr>
        <w:rPr>
          <w:rFonts w:hint="eastAsia"/>
        </w:rPr>
      </w:pPr>
      <w:r>
        <w:rPr>
          <w:rFonts w:hint="eastAsia"/>
        </w:rPr>
        <w:t>收入和成本分析</w:t>
      </w:r>
    </w:p>
    <w:sdt>
      <w:sdtPr>
        <w:alias w:val="是否适用：收入和成本分析[双击切换]"/>
        <w:tag w:val="_GBC_c1a771ff956341da84dd26322335800f"/>
        <w:id w:val="573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收入和成本分析情况说明"/>
        <w:tag w:val="_GBC_131edb1aaeab4cb388abf65651cf901e"/>
        <w:id w:val="5731"/>
        <w:placeholder>
          <w:docPart w:val="GBC22222222222222222222222222222"/>
        </w:placeholder>
      </w:sdtPr>
      <w:sdtEndPr>
        <w:rPr>
          <w:rFonts w:hint="eastAsia"/>
        </w:rPr>
      </w:sdtEndPr>
      <w:sdtContent>
        <w:p>
          <w:pPr>
            <w:tabs>
              <w:tab w:val="left" w:pos="851"/>
            </w:tabs>
          </w:pPr>
          <w:r>
            <w:rPr>
              <w:rFonts w:hint="eastAsia"/>
            </w:rPr>
            <w:t>详见下表。</w:t>
          </w:r>
        </w:p>
      </w:sdtContent>
    </w:sdt>
    <w:p>
      <w:pPr>
        <w:tabs>
          <w:tab w:val="left" w:pos="851"/>
        </w:tabs>
      </w:pPr>
    </w:p>
    <w:p>
      <w:pPr>
        <w:pStyle w:val="6"/>
        <w:numPr>
          <w:ilvl w:val="0"/>
          <w:numId w:val="10"/>
        </w:numPr>
        <w:tabs>
          <w:tab w:val="left" w:pos="567"/>
        </w:tabs>
        <w:ind w:leftChars="0"/>
      </w:pPr>
      <w:bookmarkStart w:id="48" w:name="_Toc342565904"/>
      <w:bookmarkStart w:id="49" w:name="_Toc342559756"/>
      <w:bookmarkStart w:id="50" w:name="_Toc340829716"/>
      <w:bookmarkStart w:id="51" w:name="_Hlk89876312"/>
      <w:r>
        <w:t>主营业务</w:t>
      </w:r>
      <w:r>
        <w:rPr>
          <w:rFonts w:hint="eastAsia"/>
        </w:rPr>
        <w:t>分</w:t>
      </w:r>
      <w:r>
        <w:t>行业</w:t>
      </w:r>
      <w:r>
        <w:rPr>
          <w:rFonts w:hint="eastAsia"/>
        </w:rPr>
        <w:t>、分</w:t>
      </w:r>
      <w:r>
        <w:t>产品</w:t>
      </w:r>
      <w:r>
        <w:rPr>
          <w:rFonts w:hint="eastAsia"/>
        </w:rPr>
        <w:t>、分地区、分销售模式情况</w:t>
      </w:r>
      <w:bookmarkEnd w:id="48"/>
      <w:bookmarkEnd w:id="49"/>
      <w:bookmarkEnd w:id="50"/>
    </w:p>
    <w:p>
      <w:pPr>
        <w:jc w:val="right"/>
        <w:rPr>
          <w:szCs w:val="21"/>
        </w:rPr>
      </w:pPr>
      <w:r>
        <w:rPr>
          <w:rFonts w:hint="eastAsia"/>
          <w:szCs w:val="21"/>
        </w:rPr>
        <w:t>单位：</w:t>
      </w:r>
      <w:sdt>
        <w:sdtPr>
          <w:rPr>
            <w:szCs w:val="21"/>
          </w:rPr>
          <w:alias w:val="单位：主营业务分行业、分产品情况表"/>
          <w:tag w:val="_GBC_f77c8e6b92b44adf9014b95a44af704b"/>
          <w:id w:val="573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szCs w:val="21"/>
          </w:rPr>
        </w:sdtEndPr>
        <w:sdtContent>
          <w:r>
            <w:rPr>
              <w:szCs w:val="21"/>
            </w:rPr>
            <w:t>元</w:t>
          </w:r>
        </w:sdtContent>
      </w:sdt>
      <w:r>
        <w:rPr>
          <w:rFonts w:hint="eastAsia"/>
          <w:szCs w:val="21"/>
        </w:rPr>
        <w:t xml:space="preserve">  币种：</w:t>
      </w:r>
      <w:sdt>
        <w:sdtPr>
          <w:rPr>
            <w:szCs w:val="21"/>
          </w:rPr>
          <w:alias w:val="币种：主营业务分行业、分产品情况表"/>
          <w:tag w:val="_GBC_3341f58078504155bf0c18cadb3b7f9d"/>
          <w:id w:val="573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szCs w:val="21"/>
          </w:rPr>
        </w:sdtEndPr>
        <w:sdtContent>
          <w:r>
            <w:rPr>
              <w:szCs w:val="21"/>
            </w:rPr>
            <w:t>人民币</w:t>
          </w:r>
        </w:sdtContent>
      </w:sdt>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2"/>
        <w:gridCol w:w="1702"/>
        <w:gridCol w:w="1549"/>
        <w:gridCol w:w="723"/>
        <w:gridCol w:w="1236"/>
        <w:gridCol w:w="1236"/>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8" w:type="dxa"/>
            <w:gridSpan w:val="7"/>
            <w:vAlign w:val="center"/>
          </w:tcPr>
          <w:sdt>
            <w:sdtPr>
              <w:tag w:val="_PLD_b5033a4d190942bd99650d59a8d741f9"/>
              <w:id w:val="5734"/>
            </w:sdtPr>
            <w:sdtContent>
              <w:p>
                <w:pPr>
                  <w:widowControl w:val="0"/>
                  <w:jc w:val="center"/>
                  <w:rPr>
                    <w:szCs w:val="21"/>
                  </w:rPr>
                </w:pPr>
                <w:r>
                  <w:rPr>
                    <w:rFonts w:hint="eastAsia"/>
                    <w:szCs w:val="21"/>
                  </w:rPr>
                  <w:t>主营业务分行业情况</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Align w:val="center"/>
          </w:tcPr>
          <w:sdt>
            <w:sdtPr>
              <w:tag w:val="_PLD_ab888f46a9d64f09b94dccfab854ad45"/>
              <w:id w:val="5735"/>
            </w:sdtPr>
            <w:sdtContent>
              <w:p>
                <w:pPr>
                  <w:widowControl w:val="0"/>
                  <w:jc w:val="center"/>
                  <w:rPr>
                    <w:szCs w:val="21"/>
                  </w:rPr>
                </w:pPr>
                <w:r>
                  <w:rPr>
                    <w:szCs w:val="21"/>
                  </w:rPr>
                  <w:t>分行业</w:t>
                </w:r>
              </w:p>
            </w:sdtContent>
          </w:sdt>
        </w:tc>
        <w:tc>
          <w:tcPr>
            <w:tcW w:w="1702" w:type="dxa"/>
            <w:vAlign w:val="center"/>
          </w:tcPr>
          <w:sdt>
            <w:sdtPr>
              <w:tag w:val="_PLD_7fe8bd490c23482eac6c726b40c3125c"/>
              <w:id w:val="5736"/>
            </w:sdtPr>
            <w:sdtContent>
              <w:p>
                <w:pPr>
                  <w:widowControl w:val="0"/>
                  <w:jc w:val="center"/>
                  <w:rPr>
                    <w:szCs w:val="21"/>
                  </w:rPr>
                </w:pPr>
                <w:r>
                  <w:rPr>
                    <w:szCs w:val="21"/>
                  </w:rPr>
                  <w:t>营业收入</w:t>
                </w:r>
              </w:p>
            </w:sdtContent>
          </w:sdt>
        </w:tc>
        <w:tc>
          <w:tcPr>
            <w:tcW w:w="1549" w:type="dxa"/>
            <w:vAlign w:val="center"/>
          </w:tcPr>
          <w:sdt>
            <w:sdtPr>
              <w:tag w:val="_PLD_43ea5bcd646542838f56af8b6a2863cb"/>
              <w:id w:val="5737"/>
            </w:sdtPr>
            <w:sdtContent>
              <w:p>
                <w:pPr>
                  <w:widowControl w:val="0"/>
                  <w:jc w:val="center"/>
                  <w:rPr>
                    <w:szCs w:val="21"/>
                  </w:rPr>
                </w:pPr>
                <w:r>
                  <w:rPr>
                    <w:szCs w:val="21"/>
                  </w:rPr>
                  <w:t>营业成本</w:t>
                </w:r>
              </w:p>
            </w:sdtContent>
          </w:sdt>
        </w:tc>
        <w:tc>
          <w:tcPr>
            <w:tcW w:w="723" w:type="dxa"/>
            <w:vAlign w:val="center"/>
          </w:tcPr>
          <w:sdt>
            <w:sdtPr>
              <w:tag w:val="_PLD_2beea8e29ca14ce68ca930225f6b78ba"/>
              <w:id w:val="5738"/>
            </w:sdtPr>
            <w:sdtContent>
              <w:p>
                <w:pPr>
                  <w:widowControl w:val="0"/>
                  <w:jc w:val="center"/>
                  <w:rPr>
                    <w:szCs w:val="21"/>
                  </w:rPr>
                </w:pPr>
                <w:r>
                  <w:rPr>
                    <w:rFonts w:hint="eastAsia"/>
                    <w:szCs w:val="21"/>
                  </w:rPr>
                  <w:t>毛利率</w:t>
                </w:r>
                <w:r>
                  <w:rPr>
                    <w:szCs w:val="21"/>
                  </w:rPr>
                  <w:t>（</w:t>
                </w:r>
                <w:r>
                  <w:rPr>
                    <w:rFonts w:hint="eastAsia"/>
                    <w:szCs w:val="21"/>
                  </w:rPr>
                  <w:t>%</w:t>
                </w:r>
                <w:r>
                  <w:rPr>
                    <w:szCs w:val="21"/>
                  </w:rPr>
                  <w:t>）</w:t>
                </w:r>
              </w:p>
            </w:sdtContent>
          </w:sdt>
        </w:tc>
        <w:tc>
          <w:tcPr>
            <w:tcW w:w="1236" w:type="dxa"/>
            <w:vAlign w:val="center"/>
          </w:tcPr>
          <w:sdt>
            <w:sdtPr>
              <w:tag w:val="_PLD_f9dadced328346f0b76bc97b709dc071"/>
              <w:id w:val="5739"/>
            </w:sdtPr>
            <w:sdtContent>
              <w:p>
                <w:pPr>
                  <w:widowControl w:val="0"/>
                  <w:jc w:val="center"/>
                  <w:rPr>
                    <w:szCs w:val="21"/>
                  </w:rPr>
                </w:pPr>
                <w:r>
                  <w:rPr>
                    <w:szCs w:val="21"/>
                  </w:rPr>
                  <w:t>营业收入比上年增减（</w:t>
                </w:r>
                <w:r>
                  <w:rPr>
                    <w:rFonts w:hint="eastAsia"/>
                    <w:szCs w:val="21"/>
                  </w:rPr>
                  <w:t>%</w:t>
                </w:r>
                <w:r>
                  <w:rPr>
                    <w:szCs w:val="21"/>
                  </w:rPr>
                  <w:t>）</w:t>
                </w:r>
              </w:p>
            </w:sdtContent>
          </w:sdt>
        </w:tc>
        <w:tc>
          <w:tcPr>
            <w:tcW w:w="1236" w:type="dxa"/>
            <w:vAlign w:val="center"/>
          </w:tcPr>
          <w:sdt>
            <w:sdtPr>
              <w:tag w:val="_PLD_c02171812b4a4964854b289e6b6282d1"/>
              <w:id w:val="5740"/>
            </w:sdtPr>
            <w:sdtContent>
              <w:p>
                <w:pPr>
                  <w:widowControl w:val="0"/>
                  <w:jc w:val="center"/>
                  <w:rPr>
                    <w:szCs w:val="21"/>
                  </w:rPr>
                </w:pPr>
                <w:r>
                  <w:rPr>
                    <w:szCs w:val="21"/>
                  </w:rPr>
                  <w:t>营业成本比上年增减（</w:t>
                </w:r>
                <w:r>
                  <w:rPr>
                    <w:rFonts w:hint="eastAsia"/>
                    <w:szCs w:val="21"/>
                  </w:rPr>
                  <w:t>%</w:t>
                </w:r>
                <w:r>
                  <w:rPr>
                    <w:szCs w:val="21"/>
                  </w:rPr>
                  <w:t>）</w:t>
                </w:r>
              </w:p>
            </w:sdtContent>
          </w:sdt>
        </w:tc>
        <w:tc>
          <w:tcPr>
            <w:tcW w:w="1230" w:type="dxa"/>
            <w:vAlign w:val="center"/>
          </w:tcPr>
          <w:sdt>
            <w:sdtPr>
              <w:tag w:val="_PLD_6ec6853f40254c1e8badc94bd41729ab"/>
              <w:id w:val="5741"/>
            </w:sdtPr>
            <w:sdtContent>
              <w:p>
                <w:pPr>
                  <w:widowControl w:val="0"/>
                  <w:jc w:val="center"/>
                  <w:rPr>
                    <w:szCs w:val="21"/>
                  </w:rPr>
                </w:pPr>
                <w:r>
                  <w:rPr>
                    <w:rFonts w:hint="eastAsia"/>
                    <w:szCs w:val="21"/>
                  </w:rPr>
                  <w:t>毛利率</w:t>
                </w:r>
                <w:r>
                  <w:rPr>
                    <w:szCs w:val="21"/>
                  </w:rPr>
                  <w:t>比上年增减（</w:t>
                </w:r>
                <w:r>
                  <w:rPr>
                    <w:rFonts w:hint="eastAsia"/>
                    <w:szCs w:val="21"/>
                  </w:rPr>
                  <w:t>%</w:t>
                </w:r>
                <w:r>
                  <w:rPr>
                    <w:szCs w:val="21"/>
                  </w:rPr>
                  <w:t>）</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Align w:val="center"/>
          </w:tcPr>
          <w:p>
            <w:pPr>
              <w:pStyle w:val="56"/>
              <w:ind w:firstLine="0" w:firstLineChars="0"/>
              <w:jc w:val="left"/>
              <w:rPr>
                <w:rFonts w:ascii="宋体" w:hAnsi="宋体" w:cs="宋体"/>
                <w:kern w:val="0"/>
                <w:szCs w:val="21"/>
              </w:rPr>
            </w:pPr>
            <w:r>
              <w:rPr>
                <w:rFonts w:hint="eastAsia"/>
                <w:color w:val="auto"/>
              </w:rPr>
              <w:t>工业制造业</w:t>
            </w:r>
          </w:p>
        </w:tc>
        <w:tc>
          <w:tcPr>
            <w:tcW w:w="1702" w:type="dxa"/>
            <w:vAlign w:val="center"/>
          </w:tcPr>
          <w:p>
            <w:pPr>
              <w:widowControl w:val="0"/>
              <w:jc w:val="right"/>
              <w:rPr>
                <w:szCs w:val="21"/>
              </w:rPr>
            </w:pPr>
            <w:r>
              <w:rPr>
                <w:rFonts w:hint="eastAsia"/>
                <w:color w:val="auto"/>
                <w:szCs w:val="21"/>
              </w:rPr>
              <w:t>1,035,489,095.38</w:t>
            </w:r>
          </w:p>
        </w:tc>
        <w:tc>
          <w:tcPr>
            <w:tcW w:w="1549" w:type="dxa"/>
            <w:vAlign w:val="center"/>
          </w:tcPr>
          <w:p>
            <w:pPr>
              <w:widowControl w:val="0"/>
              <w:jc w:val="right"/>
              <w:rPr>
                <w:szCs w:val="21"/>
              </w:rPr>
            </w:pPr>
            <w:r>
              <w:rPr>
                <w:rFonts w:hint="eastAsia"/>
                <w:color w:val="auto"/>
                <w:szCs w:val="21"/>
              </w:rPr>
              <w:t>866,630,168.41</w:t>
            </w:r>
          </w:p>
        </w:tc>
        <w:tc>
          <w:tcPr>
            <w:tcW w:w="723" w:type="dxa"/>
            <w:vAlign w:val="center"/>
          </w:tcPr>
          <w:p>
            <w:pPr>
              <w:widowControl w:val="0"/>
              <w:jc w:val="right"/>
              <w:rPr>
                <w:szCs w:val="21"/>
              </w:rPr>
            </w:pPr>
            <w:r>
              <w:rPr>
                <w:rFonts w:hint="eastAsia"/>
                <w:color w:val="auto"/>
                <w:szCs w:val="21"/>
              </w:rPr>
              <w:t>16.31</w:t>
            </w:r>
          </w:p>
        </w:tc>
        <w:tc>
          <w:tcPr>
            <w:tcW w:w="1236" w:type="dxa"/>
            <w:vAlign w:val="center"/>
          </w:tcPr>
          <w:p>
            <w:pPr>
              <w:widowControl w:val="0"/>
              <w:jc w:val="right"/>
              <w:rPr>
                <w:szCs w:val="21"/>
              </w:rPr>
            </w:pPr>
            <w:r>
              <w:rPr>
                <w:rFonts w:hint="eastAsia"/>
                <w:color w:val="auto"/>
                <w:szCs w:val="21"/>
              </w:rPr>
              <w:t>0.27</w:t>
            </w:r>
          </w:p>
        </w:tc>
        <w:tc>
          <w:tcPr>
            <w:tcW w:w="1236" w:type="dxa"/>
            <w:vAlign w:val="center"/>
          </w:tcPr>
          <w:p>
            <w:pPr>
              <w:widowControl w:val="0"/>
              <w:jc w:val="right"/>
              <w:rPr>
                <w:szCs w:val="21"/>
              </w:rPr>
            </w:pPr>
            <w:r>
              <w:rPr>
                <w:rFonts w:hint="eastAsia"/>
                <w:color w:val="auto"/>
                <w:szCs w:val="21"/>
              </w:rPr>
              <w:t>0.46</w:t>
            </w:r>
          </w:p>
        </w:tc>
        <w:tc>
          <w:tcPr>
            <w:tcW w:w="1230" w:type="dxa"/>
            <w:vAlign w:val="center"/>
          </w:tcPr>
          <w:p>
            <w:pPr>
              <w:widowControl w:val="0"/>
              <w:jc w:val="center"/>
              <w:rPr>
                <w:rFonts w:hint="eastAsia" w:eastAsia="宋体"/>
                <w:szCs w:val="21"/>
                <w:lang w:eastAsia="zh-CN"/>
              </w:rPr>
            </w:pPr>
            <w:r>
              <w:rPr>
                <w:rFonts w:hint="eastAsia"/>
                <w:color w:val="auto"/>
                <w:szCs w:val="21"/>
                <w:lang w:eastAsia="zh-CN"/>
              </w:rPr>
              <w:t>减少0.15个百分点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Align w:val="center"/>
          </w:tcPr>
          <w:p>
            <w:pPr>
              <w:pStyle w:val="56"/>
              <w:ind w:firstLine="0" w:firstLineChars="0"/>
              <w:jc w:val="left"/>
              <w:rPr>
                <w:rFonts w:ascii="宋体" w:hAnsi="宋体" w:cs="宋体"/>
                <w:kern w:val="0"/>
                <w:szCs w:val="21"/>
              </w:rPr>
            </w:pPr>
            <w:r>
              <w:rPr>
                <w:rFonts w:hint="eastAsia"/>
                <w:color w:val="auto"/>
              </w:rPr>
              <w:t>商业贸易</w:t>
            </w:r>
          </w:p>
        </w:tc>
        <w:tc>
          <w:tcPr>
            <w:tcW w:w="1702" w:type="dxa"/>
            <w:vAlign w:val="center"/>
          </w:tcPr>
          <w:p>
            <w:pPr>
              <w:widowControl w:val="0"/>
              <w:jc w:val="right"/>
              <w:rPr>
                <w:szCs w:val="21"/>
              </w:rPr>
            </w:pPr>
            <w:r>
              <w:rPr>
                <w:rFonts w:hint="eastAsia"/>
                <w:color w:val="auto"/>
                <w:szCs w:val="21"/>
              </w:rPr>
              <w:t>12,718,788.08</w:t>
            </w:r>
          </w:p>
        </w:tc>
        <w:tc>
          <w:tcPr>
            <w:tcW w:w="1549" w:type="dxa"/>
            <w:vAlign w:val="center"/>
          </w:tcPr>
          <w:p>
            <w:pPr>
              <w:widowControl w:val="0"/>
              <w:jc w:val="right"/>
              <w:rPr>
                <w:szCs w:val="21"/>
              </w:rPr>
            </w:pPr>
            <w:r>
              <w:rPr>
                <w:rFonts w:hint="eastAsia"/>
                <w:color w:val="auto"/>
                <w:szCs w:val="21"/>
              </w:rPr>
              <w:t>10,824,642.37</w:t>
            </w:r>
          </w:p>
        </w:tc>
        <w:tc>
          <w:tcPr>
            <w:tcW w:w="723" w:type="dxa"/>
            <w:vAlign w:val="center"/>
          </w:tcPr>
          <w:p>
            <w:pPr>
              <w:widowControl w:val="0"/>
              <w:jc w:val="right"/>
              <w:rPr>
                <w:szCs w:val="21"/>
              </w:rPr>
            </w:pPr>
            <w:r>
              <w:rPr>
                <w:rFonts w:hint="eastAsia"/>
                <w:color w:val="auto"/>
                <w:szCs w:val="21"/>
              </w:rPr>
              <w:t>14.89</w:t>
            </w:r>
          </w:p>
        </w:tc>
        <w:tc>
          <w:tcPr>
            <w:tcW w:w="1236" w:type="dxa"/>
            <w:vAlign w:val="center"/>
          </w:tcPr>
          <w:p>
            <w:pPr>
              <w:widowControl w:val="0"/>
              <w:jc w:val="right"/>
              <w:rPr>
                <w:szCs w:val="21"/>
              </w:rPr>
            </w:pPr>
            <w:r>
              <w:rPr>
                <w:rFonts w:hint="eastAsia"/>
                <w:color w:val="auto"/>
                <w:szCs w:val="21"/>
              </w:rPr>
              <w:t>62.09</w:t>
            </w:r>
          </w:p>
        </w:tc>
        <w:tc>
          <w:tcPr>
            <w:tcW w:w="1236" w:type="dxa"/>
            <w:vAlign w:val="center"/>
          </w:tcPr>
          <w:p>
            <w:pPr>
              <w:widowControl w:val="0"/>
              <w:jc w:val="right"/>
              <w:rPr>
                <w:szCs w:val="21"/>
              </w:rPr>
            </w:pPr>
            <w:r>
              <w:rPr>
                <w:rFonts w:hint="eastAsia"/>
                <w:color w:val="auto"/>
                <w:szCs w:val="21"/>
              </w:rPr>
              <w:t>48.30</w:t>
            </w:r>
          </w:p>
        </w:tc>
        <w:tc>
          <w:tcPr>
            <w:tcW w:w="1230" w:type="dxa"/>
            <w:vAlign w:val="center"/>
          </w:tcPr>
          <w:p>
            <w:pPr>
              <w:widowControl w:val="0"/>
              <w:jc w:val="center"/>
              <w:rPr>
                <w:rFonts w:hint="eastAsia" w:eastAsia="宋体"/>
                <w:szCs w:val="21"/>
                <w:lang w:eastAsia="zh-CN"/>
              </w:rPr>
            </w:pPr>
            <w:r>
              <w:rPr>
                <w:rFonts w:hint="eastAsia"/>
                <w:color w:val="auto"/>
                <w:szCs w:val="21"/>
                <w:lang w:eastAsia="zh-CN"/>
              </w:rPr>
              <w:t>增加7.91个百分点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8" w:type="dxa"/>
            <w:gridSpan w:val="7"/>
            <w:vAlign w:val="center"/>
          </w:tcPr>
          <w:sdt>
            <w:sdtPr>
              <w:tag w:val="_PLD_49258193d94b4f5fa47e482cd615784f"/>
              <w:id w:val="5742"/>
            </w:sdtPr>
            <w:sdtContent>
              <w:p>
                <w:pPr>
                  <w:widowControl w:val="0"/>
                  <w:jc w:val="center"/>
                  <w:rPr>
                    <w:szCs w:val="21"/>
                  </w:rPr>
                </w:pPr>
                <w:r>
                  <w:rPr>
                    <w:rFonts w:hint="eastAsia"/>
                    <w:szCs w:val="21"/>
                  </w:rPr>
                  <w:t>主营业务分产品情况</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Align w:val="center"/>
          </w:tcPr>
          <w:sdt>
            <w:sdtPr>
              <w:tag w:val="_PLD_1d72749a5d4248359cb1b92e381ef722"/>
              <w:id w:val="5743"/>
            </w:sdtPr>
            <w:sdtContent>
              <w:p>
                <w:pPr>
                  <w:pStyle w:val="56"/>
                  <w:ind w:firstLine="0" w:firstLineChars="0"/>
                  <w:jc w:val="center"/>
                  <w:rPr>
                    <w:szCs w:val="21"/>
                  </w:rPr>
                </w:pPr>
                <w:r>
                  <w:rPr>
                    <w:rFonts w:hint="eastAsia"/>
                    <w:szCs w:val="21"/>
                  </w:rPr>
                  <w:t>分产品</w:t>
                </w:r>
              </w:p>
            </w:sdtContent>
          </w:sdt>
        </w:tc>
        <w:tc>
          <w:tcPr>
            <w:tcW w:w="1702" w:type="dxa"/>
            <w:vAlign w:val="center"/>
          </w:tcPr>
          <w:sdt>
            <w:sdtPr>
              <w:tag w:val="_PLD_5e318ae25ee540258ffd6821c201e0af"/>
              <w:id w:val="5744"/>
            </w:sdtPr>
            <w:sdtContent>
              <w:p>
                <w:pPr>
                  <w:widowControl w:val="0"/>
                  <w:jc w:val="center"/>
                  <w:rPr>
                    <w:szCs w:val="21"/>
                  </w:rPr>
                </w:pPr>
                <w:r>
                  <w:rPr>
                    <w:rFonts w:hint="eastAsia"/>
                    <w:szCs w:val="21"/>
                  </w:rPr>
                  <w:t>营业收入</w:t>
                </w:r>
              </w:p>
            </w:sdtContent>
          </w:sdt>
        </w:tc>
        <w:tc>
          <w:tcPr>
            <w:tcW w:w="1549" w:type="dxa"/>
            <w:vAlign w:val="center"/>
          </w:tcPr>
          <w:sdt>
            <w:sdtPr>
              <w:tag w:val="_PLD_d7023b8e0b18494eaae569b7bcd4781f"/>
              <w:id w:val="5745"/>
            </w:sdtPr>
            <w:sdtContent>
              <w:p>
                <w:pPr>
                  <w:widowControl w:val="0"/>
                  <w:jc w:val="center"/>
                  <w:rPr>
                    <w:szCs w:val="21"/>
                  </w:rPr>
                </w:pPr>
                <w:r>
                  <w:rPr>
                    <w:rFonts w:hint="eastAsia"/>
                    <w:szCs w:val="21"/>
                  </w:rPr>
                  <w:t>营业成本</w:t>
                </w:r>
              </w:p>
            </w:sdtContent>
          </w:sdt>
        </w:tc>
        <w:tc>
          <w:tcPr>
            <w:tcW w:w="723" w:type="dxa"/>
            <w:vAlign w:val="center"/>
          </w:tcPr>
          <w:sdt>
            <w:sdtPr>
              <w:tag w:val="_PLD_c7e7c31f672744488b53ec34a4e0abde"/>
              <w:id w:val="5746"/>
            </w:sdtPr>
            <w:sdtContent>
              <w:p>
                <w:pPr>
                  <w:widowControl w:val="0"/>
                  <w:jc w:val="center"/>
                  <w:rPr>
                    <w:szCs w:val="21"/>
                  </w:rPr>
                </w:pPr>
                <w:r>
                  <w:rPr>
                    <w:rFonts w:hint="eastAsia"/>
                    <w:szCs w:val="21"/>
                  </w:rPr>
                  <w:t>毛利率（%）</w:t>
                </w:r>
              </w:p>
            </w:sdtContent>
          </w:sdt>
        </w:tc>
        <w:tc>
          <w:tcPr>
            <w:tcW w:w="1236" w:type="dxa"/>
            <w:vAlign w:val="center"/>
          </w:tcPr>
          <w:sdt>
            <w:sdtPr>
              <w:tag w:val="_PLD_0ca65e94b76d4933977b3fe13864caf2"/>
              <w:id w:val="5747"/>
            </w:sdtPr>
            <w:sdtContent>
              <w:p>
                <w:pPr>
                  <w:widowControl w:val="0"/>
                  <w:jc w:val="center"/>
                  <w:rPr>
                    <w:szCs w:val="21"/>
                  </w:rPr>
                </w:pPr>
                <w:r>
                  <w:rPr>
                    <w:rFonts w:hint="eastAsia"/>
                    <w:szCs w:val="21"/>
                  </w:rPr>
                  <w:t>营业收入比上年增减（%）</w:t>
                </w:r>
              </w:p>
            </w:sdtContent>
          </w:sdt>
        </w:tc>
        <w:tc>
          <w:tcPr>
            <w:tcW w:w="1236" w:type="dxa"/>
            <w:vAlign w:val="center"/>
          </w:tcPr>
          <w:sdt>
            <w:sdtPr>
              <w:tag w:val="_PLD_0fcddf8af1ce40e3bbe0b8e78c8c2496"/>
              <w:id w:val="5748"/>
            </w:sdtPr>
            <w:sdtContent>
              <w:p>
                <w:pPr>
                  <w:widowControl w:val="0"/>
                  <w:jc w:val="center"/>
                  <w:rPr>
                    <w:szCs w:val="21"/>
                  </w:rPr>
                </w:pPr>
                <w:r>
                  <w:rPr>
                    <w:rFonts w:hint="eastAsia"/>
                    <w:szCs w:val="21"/>
                  </w:rPr>
                  <w:t>营业成本比上年增减（%）</w:t>
                </w:r>
              </w:p>
            </w:sdtContent>
          </w:sdt>
        </w:tc>
        <w:tc>
          <w:tcPr>
            <w:tcW w:w="1230" w:type="dxa"/>
            <w:vAlign w:val="center"/>
          </w:tcPr>
          <w:sdt>
            <w:sdtPr>
              <w:tag w:val="_PLD_fd695ef26ff948df8cd16c66ef5ffea9"/>
              <w:id w:val="5749"/>
            </w:sdtPr>
            <w:sdtContent>
              <w:p>
                <w:pPr>
                  <w:widowControl w:val="0"/>
                  <w:jc w:val="center"/>
                  <w:rPr>
                    <w:szCs w:val="21"/>
                  </w:rPr>
                </w:pPr>
                <w:r>
                  <w:rPr>
                    <w:rFonts w:hint="eastAsia"/>
                    <w:szCs w:val="21"/>
                  </w:rPr>
                  <w:t>毛利率</w:t>
                </w:r>
                <w:r>
                  <w:rPr>
                    <w:szCs w:val="21"/>
                  </w:rPr>
                  <w:t>比上年增减（</w:t>
                </w:r>
                <w:r>
                  <w:rPr>
                    <w:rFonts w:hint="eastAsia"/>
                    <w:szCs w:val="21"/>
                  </w:rPr>
                  <w:t>%</w:t>
                </w:r>
                <w:r>
                  <w:rPr>
                    <w:szCs w:val="21"/>
                  </w:rPr>
                  <w:t>）</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Align w:val="center"/>
          </w:tcPr>
          <w:p>
            <w:pPr>
              <w:pStyle w:val="56"/>
              <w:ind w:firstLine="0" w:firstLineChars="0"/>
              <w:jc w:val="left"/>
              <w:rPr>
                <w:rFonts w:ascii="宋体" w:hAnsi="宋体" w:cs="宋体"/>
                <w:kern w:val="0"/>
                <w:szCs w:val="21"/>
              </w:rPr>
            </w:pPr>
            <w:r>
              <w:rPr>
                <w:rFonts w:hint="eastAsia"/>
                <w:color w:val="auto"/>
              </w:rPr>
              <w:t>日化产品</w:t>
            </w:r>
          </w:p>
        </w:tc>
        <w:tc>
          <w:tcPr>
            <w:tcW w:w="1702" w:type="dxa"/>
            <w:vAlign w:val="center"/>
          </w:tcPr>
          <w:p>
            <w:pPr>
              <w:widowControl w:val="0"/>
              <w:jc w:val="right"/>
              <w:rPr>
                <w:szCs w:val="21"/>
              </w:rPr>
            </w:pPr>
            <w:r>
              <w:rPr>
                <w:rFonts w:hint="eastAsia"/>
                <w:color w:val="auto"/>
                <w:szCs w:val="21"/>
              </w:rPr>
              <w:t>932,781,847.95</w:t>
            </w:r>
          </w:p>
        </w:tc>
        <w:tc>
          <w:tcPr>
            <w:tcW w:w="1549" w:type="dxa"/>
            <w:vAlign w:val="center"/>
          </w:tcPr>
          <w:p>
            <w:pPr>
              <w:widowControl w:val="0"/>
              <w:jc w:val="right"/>
              <w:rPr>
                <w:szCs w:val="21"/>
              </w:rPr>
            </w:pPr>
            <w:r>
              <w:rPr>
                <w:rFonts w:hint="eastAsia"/>
                <w:color w:val="auto"/>
                <w:szCs w:val="21"/>
              </w:rPr>
              <w:t>807,292,570.31</w:t>
            </w:r>
          </w:p>
        </w:tc>
        <w:tc>
          <w:tcPr>
            <w:tcW w:w="723" w:type="dxa"/>
            <w:vAlign w:val="center"/>
          </w:tcPr>
          <w:p>
            <w:pPr>
              <w:widowControl w:val="0"/>
              <w:jc w:val="right"/>
              <w:rPr>
                <w:szCs w:val="21"/>
              </w:rPr>
            </w:pPr>
            <w:r>
              <w:rPr>
                <w:rFonts w:hint="eastAsia"/>
                <w:color w:val="auto"/>
                <w:szCs w:val="21"/>
              </w:rPr>
              <w:t>13.45</w:t>
            </w:r>
          </w:p>
        </w:tc>
        <w:tc>
          <w:tcPr>
            <w:tcW w:w="1236" w:type="dxa"/>
            <w:vAlign w:val="center"/>
          </w:tcPr>
          <w:p>
            <w:pPr>
              <w:widowControl w:val="0"/>
              <w:jc w:val="right"/>
              <w:rPr>
                <w:szCs w:val="21"/>
              </w:rPr>
            </w:pPr>
            <w:r>
              <w:rPr>
                <w:rFonts w:hint="eastAsia"/>
                <w:color w:val="auto"/>
                <w:szCs w:val="21"/>
              </w:rPr>
              <w:t>0.42</w:t>
            </w:r>
          </w:p>
        </w:tc>
        <w:tc>
          <w:tcPr>
            <w:tcW w:w="1236" w:type="dxa"/>
            <w:vAlign w:val="center"/>
          </w:tcPr>
          <w:p>
            <w:pPr>
              <w:widowControl w:val="0"/>
              <w:jc w:val="right"/>
              <w:rPr>
                <w:szCs w:val="21"/>
              </w:rPr>
            </w:pPr>
            <w:r>
              <w:rPr>
                <w:rFonts w:hint="eastAsia"/>
                <w:color w:val="auto"/>
                <w:szCs w:val="21"/>
              </w:rPr>
              <w:t>0.87</w:t>
            </w:r>
          </w:p>
        </w:tc>
        <w:tc>
          <w:tcPr>
            <w:tcW w:w="1230" w:type="dxa"/>
            <w:vAlign w:val="center"/>
          </w:tcPr>
          <w:p>
            <w:pPr>
              <w:widowControl w:val="0"/>
              <w:jc w:val="center"/>
              <w:rPr>
                <w:szCs w:val="21"/>
              </w:rPr>
            </w:pPr>
            <w:r>
              <w:rPr>
                <w:rFonts w:hint="eastAsia"/>
                <w:color w:val="auto"/>
                <w:szCs w:val="21"/>
              </w:rPr>
              <w:t>减少0.39个百分点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Align w:val="center"/>
          </w:tcPr>
          <w:p>
            <w:pPr>
              <w:pStyle w:val="56"/>
              <w:ind w:firstLine="0" w:firstLineChars="0"/>
              <w:jc w:val="left"/>
              <w:rPr>
                <w:rFonts w:ascii="宋体" w:hAnsi="宋体" w:cs="宋体"/>
                <w:kern w:val="0"/>
                <w:szCs w:val="21"/>
              </w:rPr>
            </w:pPr>
            <w:r>
              <w:rPr>
                <w:rFonts w:hint="eastAsia"/>
                <w:color w:val="auto"/>
              </w:rPr>
              <w:t>药品</w:t>
            </w:r>
          </w:p>
        </w:tc>
        <w:tc>
          <w:tcPr>
            <w:tcW w:w="1702" w:type="dxa"/>
            <w:vAlign w:val="center"/>
          </w:tcPr>
          <w:p>
            <w:pPr>
              <w:widowControl w:val="0"/>
              <w:jc w:val="right"/>
              <w:rPr>
                <w:szCs w:val="21"/>
              </w:rPr>
            </w:pPr>
            <w:r>
              <w:rPr>
                <w:rFonts w:hint="eastAsia"/>
                <w:color w:val="auto"/>
                <w:szCs w:val="21"/>
              </w:rPr>
              <w:t>102,707,247.43</w:t>
            </w:r>
          </w:p>
        </w:tc>
        <w:tc>
          <w:tcPr>
            <w:tcW w:w="1549" w:type="dxa"/>
            <w:vAlign w:val="center"/>
          </w:tcPr>
          <w:p>
            <w:pPr>
              <w:widowControl w:val="0"/>
              <w:jc w:val="right"/>
              <w:rPr>
                <w:szCs w:val="21"/>
              </w:rPr>
            </w:pPr>
            <w:r>
              <w:rPr>
                <w:rFonts w:hint="eastAsia"/>
                <w:color w:val="auto"/>
                <w:szCs w:val="21"/>
              </w:rPr>
              <w:t>59,337,598.10</w:t>
            </w:r>
          </w:p>
        </w:tc>
        <w:tc>
          <w:tcPr>
            <w:tcW w:w="723" w:type="dxa"/>
            <w:vAlign w:val="center"/>
          </w:tcPr>
          <w:p>
            <w:pPr>
              <w:widowControl w:val="0"/>
              <w:jc w:val="right"/>
              <w:rPr>
                <w:szCs w:val="21"/>
              </w:rPr>
            </w:pPr>
            <w:r>
              <w:rPr>
                <w:rFonts w:hint="eastAsia"/>
                <w:color w:val="auto"/>
                <w:szCs w:val="21"/>
              </w:rPr>
              <w:t>42.23</w:t>
            </w:r>
          </w:p>
        </w:tc>
        <w:tc>
          <w:tcPr>
            <w:tcW w:w="1236" w:type="dxa"/>
            <w:vAlign w:val="center"/>
          </w:tcPr>
          <w:p>
            <w:pPr>
              <w:widowControl w:val="0"/>
              <w:jc w:val="right"/>
              <w:rPr>
                <w:szCs w:val="21"/>
              </w:rPr>
            </w:pPr>
            <w:r>
              <w:rPr>
                <w:rFonts w:hint="eastAsia"/>
                <w:color w:val="auto"/>
                <w:szCs w:val="21"/>
              </w:rPr>
              <w:t>-1.11</w:t>
            </w:r>
          </w:p>
        </w:tc>
        <w:tc>
          <w:tcPr>
            <w:tcW w:w="1236" w:type="dxa"/>
            <w:vAlign w:val="center"/>
          </w:tcPr>
          <w:p>
            <w:pPr>
              <w:widowControl w:val="0"/>
              <w:jc w:val="right"/>
              <w:rPr>
                <w:szCs w:val="21"/>
              </w:rPr>
            </w:pPr>
            <w:r>
              <w:rPr>
                <w:rFonts w:hint="eastAsia"/>
                <w:color w:val="auto"/>
                <w:szCs w:val="21"/>
              </w:rPr>
              <w:t>-4.91</w:t>
            </w:r>
          </w:p>
        </w:tc>
        <w:tc>
          <w:tcPr>
            <w:tcW w:w="1230" w:type="dxa"/>
            <w:vAlign w:val="center"/>
          </w:tcPr>
          <w:p>
            <w:pPr>
              <w:widowControl w:val="0"/>
              <w:jc w:val="center"/>
              <w:rPr>
                <w:szCs w:val="21"/>
              </w:rPr>
            </w:pPr>
            <w:r>
              <w:rPr>
                <w:rFonts w:hint="eastAsia"/>
                <w:color w:val="auto"/>
                <w:szCs w:val="21"/>
              </w:rPr>
              <w:t>增加2.32个百分点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Align w:val="center"/>
          </w:tcPr>
          <w:p>
            <w:pPr>
              <w:pStyle w:val="56"/>
              <w:ind w:firstLine="0" w:firstLineChars="0"/>
              <w:jc w:val="left"/>
              <w:rPr>
                <w:rFonts w:ascii="宋体" w:hAnsi="宋体" w:cs="宋体"/>
                <w:kern w:val="0"/>
                <w:szCs w:val="21"/>
              </w:rPr>
            </w:pPr>
            <w:r>
              <w:rPr>
                <w:rFonts w:hint="eastAsia"/>
                <w:color w:val="auto"/>
              </w:rPr>
              <w:t>商业贸易</w:t>
            </w:r>
          </w:p>
        </w:tc>
        <w:tc>
          <w:tcPr>
            <w:tcW w:w="1702" w:type="dxa"/>
            <w:vAlign w:val="center"/>
          </w:tcPr>
          <w:p>
            <w:pPr>
              <w:widowControl w:val="0"/>
              <w:jc w:val="right"/>
              <w:rPr>
                <w:szCs w:val="21"/>
              </w:rPr>
            </w:pPr>
            <w:r>
              <w:rPr>
                <w:rFonts w:hint="eastAsia"/>
                <w:color w:val="auto"/>
                <w:szCs w:val="21"/>
              </w:rPr>
              <w:t>12,718,788.08</w:t>
            </w:r>
          </w:p>
        </w:tc>
        <w:tc>
          <w:tcPr>
            <w:tcW w:w="1549" w:type="dxa"/>
            <w:vAlign w:val="center"/>
          </w:tcPr>
          <w:p>
            <w:pPr>
              <w:widowControl w:val="0"/>
              <w:jc w:val="right"/>
              <w:rPr>
                <w:szCs w:val="21"/>
              </w:rPr>
            </w:pPr>
            <w:r>
              <w:rPr>
                <w:rFonts w:hint="eastAsia"/>
                <w:color w:val="auto"/>
                <w:szCs w:val="21"/>
              </w:rPr>
              <w:t>10,824,642.37</w:t>
            </w:r>
          </w:p>
        </w:tc>
        <w:tc>
          <w:tcPr>
            <w:tcW w:w="723" w:type="dxa"/>
            <w:vAlign w:val="center"/>
          </w:tcPr>
          <w:p>
            <w:pPr>
              <w:widowControl w:val="0"/>
              <w:jc w:val="right"/>
              <w:rPr>
                <w:szCs w:val="21"/>
              </w:rPr>
            </w:pPr>
            <w:r>
              <w:rPr>
                <w:rFonts w:hint="eastAsia"/>
                <w:color w:val="auto"/>
                <w:szCs w:val="21"/>
              </w:rPr>
              <w:t>14.89</w:t>
            </w:r>
          </w:p>
        </w:tc>
        <w:tc>
          <w:tcPr>
            <w:tcW w:w="1236" w:type="dxa"/>
            <w:vAlign w:val="center"/>
          </w:tcPr>
          <w:p>
            <w:pPr>
              <w:widowControl w:val="0"/>
              <w:jc w:val="right"/>
              <w:rPr>
                <w:szCs w:val="21"/>
              </w:rPr>
            </w:pPr>
            <w:r>
              <w:rPr>
                <w:rFonts w:hint="eastAsia"/>
                <w:color w:val="auto"/>
                <w:szCs w:val="21"/>
              </w:rPr>
              <w:t>62.09</w:t>
            </w:r>
          </w:p>
        </w:tc>
        <w:tc>
          <w:tcPr>
            <w:tcW w:w="1236" w:type="dxa"/>
            <w:vAlign w:val="center"/>
          </w:tcPr>
          <w:p>
            <w:pPr>
              <w:widowControl w:val="0"/>
              <w:jc w:val="right"/>
              <w:rPr>
                <w:szCs w:val="21"/>
              </w:rPr>
            </w:pPr>
            <w:r>
              <w:rPr>
                <w:rFonts w:hint="eastAsia"/>
                <w:color w:val="auto"/>
                <w:szCs w:val="21"/>
              </w:rPr>
              <w:t>48.30</w:t>
            </w:r>
          </w:p>
        </w:tc>
        <w:tc>
          <w:tcPr>
            <w:tcW w:w="1230" w:type="dxa"/>
            <w:vAlign w:val="center"/>
          </w:tcPr>
          <w:p>
            <w:pPr>
              <w:widowControl w:val="0"/>
              <w:jc w:val="center"/>
              <w:rPr>
                <w:szCs w:val="21"/>
              </w:rPr>
            </w:pPr>
            <w:r>
              <w:rPr>
                <w:rFonts w:hint="eastAsia"/>
                <w:color w:val="auto"/>
                <w:szCs w:val="21"/>
              </w:rPr>
              <w:t>增加7.91个百分点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8" w:type="dxa"/>
            <w:gridSpan w:val="7"/>
            <w:vAlign w:val="center"/>
          </w:tcPr>
          <w:sdt>
            <w:sdtPr>
              <w:tag w:val="_PLD_fe4b98c3f70c495d9eb9797ce0f7b5f6"/>
              <w:id w:val="5750"/>
            </w:sdtPr>
            <w:sdtContent>
              <w:p>
                <w:pPr>
                  <w:widowControl w:val="0"/>
                  <w:jc w:val="center"/>
                  <w:rPr>
                    <w:szCs w:val="21"/>
                  </w:rPr>
                </w:pPr>
                <w:r>
                  <w:rPr>
                    <w:rFonts w:hint="eastAsia"/>
                    <w:szCs w:val="21"/>
                  </w:rPr>
                  <w:t>主营业务分地区情况</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Align w:val="center"/>
          </w:tcPr>
          <w:sdt>
            <w:sdtPr>
              <w:tag w:val="_PLD_88d8ea3d867f4a97a5a66d059c2a507e"/>
              <w:id w:val="5751"/>
            </w:sdtPr>
            <w:sdtContent>
              <w:p>
                <w:pPr>
                  <w:widowControl w:val="0"/>
                  <w:jc w:val="center"/>
                  <w:rPr>
                    <w:szCs w:val="21"/>
                  </w:rPr>
                </w:pPr>
                <w:r>
                  <w:rPr>
                    <w:rFonts w:hint="eastAsia"/>
                    <w:szCs w:val="21"/>
                  </w:rPr>
                  <w:t>分地区</w:t>
                </w:r>
              </w:p>
            </w:sdtContent>
          </w:sdt>
        </w:tc>
        <w:tc>
          <w:tcPr>
            <w:tcW w:w="1702" w:type="dxa"/>
            <w:vAlign w:val="center"/>
          </w:tcPr>
          <w:sdt>
            <w:sdtPr>
              <w:tag w:val="_PLD_d960c947c6424e2a87acbd6f4d534b0a"/>
              <w:id w:val="5752"/>
            </w:sdtPr>
            <w:sdtContent>
              <w:p>
                <w:pPr>
                  <w:widowControl w:val="0"/>
                  <w:jc w:val="center"/>
                  <w:rPr>
                    <w:szCs w:val="21"/>
                  </w:rPr>
                </w:pPr>
                <w:r>
                  <w:rPr>
                    <w:rFonts w:hint="eastAsia"/>
                    <w:szCs w:val="21"/>
                  </w:rPr>
                  <w:t>营业收入</w:t>
                </w:r>
              </w:p>
            </w:sdtContent>
          </w:sdt>
        </w:tc>
        <w:tc>
          <w:tcPr>
            <w:tcW w:w="1549" w:type="dxa"/>
            <w:vAlign w:val="center"/>
          </w:tcPr>
          <w:sdt>
            <w:sdtPr>
              <w:tag w:val="_PLD_0cab657ed1664cda8d161069df0d4ffe"/>
              <w:id w:val="5753"/>
            </w:sdtPr>
            <w:sdtContent>
              <w:p>
                <w:pPr>
                  <w:widowControl w:val="0"/>
                  <w:jc w:val="center"/>
                  <w:rPr>
                    <w:szCs w:val="21"/>
                  </w:rPr>
                </w:pPr>
                <w:r>
                  <w:rPr>
                    <w:rFonts w:hint="eastAsia"/>
                    <w:szCs w:val="21"/>
                  </w:rPr>
                  <w:t>营业成本</w:t>
                </w:r>
              </w:p>
            </w:sdtContent>
          </w:sdt>
        </w:tc>
        <w:tc>
          <w:tcPr>
            <w:tcW w:w="723" w:type="dxa"/>
            <w:vAlign w:val="center"/>
          </w:tcPr>
          <w:sdt>
            <w:sdtPr>
              <w:tag w:val="_PLD_de52f565c0c94f5f8930a8d275890566"/>
              <w:id w:val="5754"/>
            </w:sdtPr>
            <w:sdtContent>
              <w:p>
                <w:pPr>
                  <w:widowControl w:val="0"/>
                  <w:jc w:val="center"/>
                  <w:rPr>
                    <w:szCs w:val="21"/>
                  </w:rPr>
                </w:pPr>
                <w:r>
                  <w:rPr>
                    <w:rFonts w:hint="eastAsia"/>
                    <w:szCs w:val="21"/>
                  </w:rPr>
                  <w:t>毛利率（%）</w:t>
                </w:r>
              </w:p>
            </w:sdtContent>
          </w:sdt>
        </w:tc>
        <w:tc>
          <w:tcPr>
            <w:tcW w:w="1236" w:type="dxa"/>
            <w:vAlign w:val="center"/>
          </w:tcPr>
          <w:sdt>
            <w:sdtPr>
              <w:tag w:val="_PLD_66acbff90fbb46ac8fc6c5840a2a1352"/>
              <w:id w:val="5755"/>
            </w:sdtPr>
            <w:sdtContent>
              <w:p>
                <w:pPr>
                  <w:widowControl w:val="0"/>
                  <w:jc w:val="center"/>
                  <w:rPr>
                    <w:szCs w:val="21"/>
                  </w:rPr>
                </w:pPr>
                <w:r>
                  <w:rPr>
                    <w:rFonts w:hint="eastAsia"/>
                    <w:szCs w:val="21"/>
                  </w:rPr>
                  <w:t>营业收入比上年增减（%）</w:t>
                </w:r>
              </w:p>
            </w:sdtContent>
          </w:sdt>
        </w:tc>
        <w:tc>
          <w:tcPr>
            <w:tcW w:w="1236" w:type="dxa"/>
            <w:vAlign w:val="center"/>
          </w:tcPr>
          <w:sdt>
            <w:sdtPr>
              <w:tag w:val="_PLD_24222e0fb06f4b87bb8e6a25bfc923a9"/>
              <w:id w:val="5756"/>
            </w:sdtPr>
            <w:sdtContent>
              <w:p>
                <w:pPr>
                  <w:widowControl w:val="0"/>
                  <w:jc w:val="center"/>
                  <w:rPr>
                    <w:szCs w:val="21"/>
                  </w:rPr>
                </w:pPr>
                <w:r>
                  <w:rPr>
                    <w:rFonts w:hint="eastAsia"/>
                    <w:szCs w:val="21"/>
                  </w:rPr>
                  <w:t>营业成本比上年增减（%）</w:t>
                </w:r>
              </w:p>
            </w:sdtContent>
          </w:sdt>
        </w:tc>
        <w:tc>
          <w:tcPr>
            <w:tcW w:w="1230" w:type="dxa"/>
            <w:vAlign w:val="center"/>
          </w:tcPr>
          <w:sdt>
            <w:sdtPr>
              <w:tag w:val="_PLD_055160da443c4e4a8c520dbbde5baec3"/>
              <w:id w:val="5757"/>
            </w:sdtPr>
            <w:sdtContent>
              <w:p>
                <w:pPr>
                  <w:widowControl w:val="0"/>
                  <w:jc w:val="center"/>
                  <w:rPr>
                    <w:szCs w:val="21"/>
                  </w:rPr>
                </w:pPr>
                <w:r>
                  <w:rPr>
                    <w:rFonts w:hint="eastAsia"/>
                    <w:szCs w:val="21"/>
                  </w:rPr>
                  <w:t>毛利率</w:t>
                </w:r>
                <w:r>
                  <w:rPr>
                    <w:szCs w:val="21"/>
                  </w:rPr>
                  <w:t>比上年增减（</w:t>
                </w:r>
                <w:r>
                  <w:rPr>
                    <w:rFonts w:hint="eastAsia"/>
                    <w:szCs w:val="21"/>
                  </w:rPr>
                  <w:t>%</w:t>
                </w:r>
                <w:r>
                  <w:rPr>
                    <w:szCs w:val="21"/>
                  </w:rPr>
                  <w:t>）</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Align w:val="center"/>
          </w:tcPr>
          <w:p>
            <w:pPr>
              <w:pStyle w:val="56"/>
              <w:ind w:firstLine="0" w:firstLineChars="0"/>
              <w:jc w:val="left"/>
              <w:rPr>
                <w:rFonts w:hint="eastAsia" w:ascii="宋体" w:hAnsi="宋体" w:cs="宋体"/>
                <w:kern w:val="0"/>
                <w:szCs w:val="21"/>
              </w:rPr>
            </w:pPr>
            <w:r>
              <w:rPr>
                <w:rFonts w:hint="eastAsia"/>
                <w:color w:val="auto"/>
              </w:rPr>
              <w:t>国内</w:t>
            </w:r>
          </w:p>
        </w:tc>
        <w:tc>
          <w:tcPr>
            <w:tcW w:w="1702" w:type="dxa"/>
            <w:vAlign w:val="center"/>
          </w:tcPr>
          <w:p>
            <w:pPr>
              <w:widowControl w:val="0"/>
              <w:jc w:val="right"/>
              <w:rPr>
                <w:rFonts w:hint="eastAsia"/>
                <w:szCs w:val="21"/>
              </w:rPr>
            </w:pPr>
            <w:r>
              <w:rPr>
                <w:rFonts w:hint="eastAsia"/>
                <w:color w:val="auto"/>
              </w:rPr>
              <w:t>981,479,227.69</w:t>
            </w:r>
          </w:p>
        </w:tc>
        <w:tc>
          <w:tcPr>
            <w:tcW w:w="1549" w:type="dxa"/>
            <w:vAlign w:val="center"/>
          </w:tcPr>
          <w:p>
            <w:pPr>
              <w:widowControl w:val="0"/>
              <w:jc w:val="right"/>
              <w:rPr>
                <w:rFonts w:hint="eastAsia"/>
                <w:szCs w:val="21"/>
              </w:rPr>
            </w:pPr>
            <w:r>
              <w:rPr>
                <w:rFonts w:hint="eastAsia"/>
                <w:color w:val="auto"/>
              </w:rPr>
              <w:t>815,957,410.70</w:t>
            </w:r>
          </w:p>
        </w:tc>
        <w:tc>
          <w:tcPr>
            <w:tcW w:w="723" w:type="dxa"/>
            <w:vAlign w:val="center"/>
          </w:tcPr>
          <w:p>
            <w:pPr>
              <w:widowControl w:val="0"/>
              <w:jc w:val="right"/>
              <w:rPr>
                <w:rFonts w:hint="eastAsia"/>
                <w:szCs w:val="21"/>
              </w:rPr>
            </w:pPr>
            <w:r>
              <w:rPr>
                <w:rFonts w:hint="eastAsia"/>
                <w:color w:val="auto"/>
              </w:rPr>
              <w:t>16.86</w:t>
            </w:r>
          </w:p>
        </w:tc>
        <w:tc>
          <w:tcPr>
            <w:tcW w:w="1236" w:type="dxa"/>
            <w:vAlign w:val="center"/>
          </w:tcPr>
          <w:p>
            <w:pPr>
              <w:widowControl w:val="0"/>
              <w:jc w:val="right"/>
              <w:rPr>
                <w:rFonts w:hint="eastAsia"/>
                <w:szCs w:val="21"/>
              </w:rPr>
            </w:pPr>
            <w:r>
              <w:rPr>
                <w:rFonts w:hint="eastAsia"/>
                <w:color w:val="auto"/>
              </w:rPr>
              <w:t>-1.59</w:t>
            </w:r>
          </w:p>
        </w:tc>
        <w:tc>
          <w:tcPr>
            <w:tcW w:w="1236" w:type="dxa"/>
            <w:vAlign w:val="center"/>
          </w:tcPr>
          <w:p>
            <w:pPr>
              <w:widowControl w:val="0"/>
              <w:jc w:val="right"/>
              <w:rPr>
                <w:rFonts w:hint="eastAsia"/>
                <w:szCs w:val="21"/>
              </w:rPr>
            </w:pPr>
            <w:r>
              <w:rPr>
                <w:rFonts w:hint="eastAsia"/>
                <w:color w:val="auto"/>
              </w:rPr>
              <w:t>-1.32</w:t>
            </w:r>
          </w:p>
        </w:tc>
        <w:tc>
          <w:tcPr>
            <w:tcW w:w="1230" w:type="dxa"/>
            <w:vAlign w:val="center"/>
          </w:tcPr>
          <w:p>
            <w:pPr>
              <w:widowControl w:val="0"/>
              <w:jc w:val="center"/>
              <w:rPr>
                <w:rFonts w:hint="eastAsia"/>
                <w:szCs w:val="21"/>
              </w:rPr>
            </w:pPr>
            <w:r>
              <w:rPr>
                <w:rFonts w:hint="eastAsia"/>
                <w:color w:val="auto"/>
              </w:rPr>
              <w:t>减少0.23个百分点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Align w:val="center"/>
          </w:tcPr>
          <w:p>
            <w:pPr>
              <w:pStyle w:val="56"/>
              <w:ind w:firstLine="0" w:firstLineChars="0"/>
              <w:jc w:val="left"/>
              <w:rPr>
                <w:rFonts w:hint="eastAsia" w:ascii="宋体" w:hAnsi="宋体" w:cs="宋体"/>
                <w:kern w:val="0"/>
                <w:szCs w:val="21"/>
              </w:rPr>
            </w:pPr>
            <w:r>
              <w:rPr>
                <w:rFonts w:hint="eastAsia"/>
                <w:color w:val="auto"/>
              </w:rPr>
              <w:t>国外</w:t>
            </w:r>
          </w:p>
        </w:tc>
        <w:tc>
          <w:tcPr>
            <w:tcW w:w="1702" w:type="dxa"/>
            <w:vAlign w:val="center"/>
          </w:tcPr>
          <w:p>
            <w:pPr>
              <w:widowControl w:val="0"/>
              <w:jc w:val="right"/>
              <w:rPr>
                <w:rFonts w:hint="eastAsia"/>
                <w:szCs w:val="21"/>
              </w:rPr>
            </w:pPr>
            <w:r>
              <w:rPr>
                <w:rFonts w:hint="eastAsia"/>
                <w:color w:val="auto"/>
              </w:rPr>
              <w:t>66,728,655.77</w:t>
            </w:r>
          </w:p>
        </w:tc>
        <w:tc>
          <w:tcPr>
            <w:tcW w:w="1549" w:type="dxa"/>
            <w:vAlign w:val="center"/>
          </w:tcPr>
          <w:p>
            <w:pPr>
              <w:widowControl w:val="0"/>
              <w:jc w:val="right"/>
              <w:rPr>
                <w:rFonts w:hint="eastAsia"/>
                <w:szCs w:val="21"/>
              </w:rPr>
            </w:pPr>
            <w:r>
              <w:rPr>
                <w:rFonts w:hint="eastAsia"/>
                <w:color w:val="auto"/>
              </w:rPr>
              <w:t>61,497,400.08</w:t>
            </w:r>
          </w:p>
        </w:tc>
        <w:tc>
          <w:tcPr>
            <w:tcW w:w="723" w:type="dxa"/>
            <w:vAlign w:val="center"/>
          </w:tcPr>
          <w:p>
            <w:pPr>
              <w:widowControl w:val="0"/>
              <w:jc w:val="right"/>
              <w:rPr>
                <w:rFonts w:hint="eastAsia"/>
                <w:szCs w:val="21"/>
              </w:rPr>
            </w:pPr>
            <w:r>
              <w:rPr>
                <w:rFonts w:hint="eastAsia"/>
                <w:color w:val="auto"/>
              </w:rPr>
              <w:t>7.84</w:t>
            </w:r>
          </w:p>
        </w:tc>
        <w:tc>
          <w:tcPr>
            <w:tcW w:w="1236" w:type="dxa"/>
            <w:vAlign w:val="center"/>
          </w:tcPr>
          <w:p>
            <w:pPr>
              <w:widowControl w:val="0"/>
              <w:jc w:val="right"/>
              <w:rPr>
                <w:rFonts w:hint="eastAsia"/>
                <w:szCs w:val="21"/>
              </w:rPr>
            </w:pPr>
            <w:r>
              <w:rPr>
                <w:rFonts w:hint="eastAsia"/>
                <w:color w:val="auto"/>
              </w:rPr>
              <w:t>54.53</w:t>
            </w:r>
          </w:p>
        </w:tc>
        <w:tc>
          <w:tcPr>
            <w:tcW w:w="1236" w:type="dxa"/>
            <w:vAlign w:val="center"/>
          </w:tcPr>
          <w:p>
            <w:pPr>
              <w:widowControl w:val="0"/>
              <w:jc w:val="right"/>
              <w:rPr>
                <w:rFonts w:hint="eastAsia"/>
                <w:szCs w:val="21"/>
              </w:rPr>
            </w:pPr>
            <w:r>
              <w:rPr>
                <w:rFonts w:hint="eastAsia"/>
                <w:color w:val="auto"/>
              </w:rPr>
              <w:t>42.69</w:t>
            </w:r>
          </w:p>
        </w:tc>
        <w:tc>
          <w:tcPr>
            <w:tcW w:w="1230" w:type="dxa"/>
            <w:vAlign w:val="center"/>
          </w:tcPr>
          <w:p>
            <w:pPr>
              <w:widowControl w:val="0"/>
              <w:jc w:val="center"/>
              <w:rPr>
                <w:rFonts w:hint="eastAsia"/>
                <w:szCs w:val="21"/>
              </w:rPr>
            </w:pPr>
            <w:r>
              <w:rPr>
                <w:rFonts w:hint="eastAsia"/>
                <w:color w:val="auto"/>
              </w:rPr>
              <w:t>增加7.65个百分点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8" w:type="dxa"/>
            <w:gridSpan w:val="7"/>
            <w:vAlign w:val="center"/>
          </w:tcPr>
          <w:p>
            <w:pPr>
              <w:widowControl w:val="0"/>
              <w:jc w:val="center"/>
              <w:rPr>
                <w:szCs w:val="21"/>
              </w:rPr>
            </w:pPr>
            <w:sdt>
              <w:sdtPr>
                <w:tag w:val="_PLD_4be57b876a364ef5aee49673f139ef4a"/>
                <w:id w:val="5758"/>
              </w:sdtPr>
              <w:sdtContent>
                <w:r>
                  <w:rPr>
                    <w:rFonts w:hint="eastAsia"/>
                    <w:szCs w:val="21"/>
                  </w:rPr>
                  <w:t>主营业务分销售模式情况</w:t>
                </w:r>
              </w:sdtContent>
            </w:sdt>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Align w:val="center"/>
          </w:tcPr>
          <w:sdt>
            <w:sdtPr>
              <w:tag w:val="_PLD_fe8c7b7bf3a444db814cf5c56b1b72e0"/>
              <w:id w:val="5759"/>
            </w:sdtPr>
            <w:sdtContent>
              <w:p>
                <w:pPr>
                  <w:pStyle w:val="56"/>
                  <w:ind w:firstLine="0" w:firstLineChars="0"/>
                  <w:jc w:val="center"/>
                  <w:rPr>
                    <w:rFonts w:hint="eastAsia" w:ascii="宋体" w:hAnsi="宋体" w:cs="宋体"/>
                    <w:kern w:val="0"/>
                    <w:szCs w:val="21"/>
                  </w:rPr>
                </w:pPr>
                <w:r>
                  <w:rPr>
                    <w:rFonts w:hint="eastAsia" w:ascii="宋体" w:hAnsi="宋体" w:cs="宋体"/>
                    <w:kern w:val="0"/>
                    <w:szCs w:val="21"/>
                  </w:rPr>
                  <w:t>销售模式</w:t>
                </w:r>
              </w:p>
            </w:sdtContent>
          </w:sdt>
        </w:tc>
        <w:tc>
          <w:tcPr>
            <w:tcW w:w="1702" w:type="dxa"/>
            <w:vAlign w:val="center"/>
          </w:tcPr>
          <w:sdt>
            <w:sdtPr>
              <w:tag w:val="_PLD_a8a3a2b010534c9d820c7f9b6fd92caf"/>
              <w:id w:val="5760"/>
            </w:sdtPr>
            <w:sdtContent>
              <w:p>
                <w:pPr>
                  <w:widowControl w:val="0"/>
                  <w:jc w:val="center"/>
                  <w:rPr>
                    <w:szCs w:val="21"/>
                  </w:rPr>
                </w:pPr>
                <w:r>
                  <w:rPr>
                    <w:rFonts w:hint="eastAsia"/>
                    <w:szCs w:val="21"/>
                  </w:rPr>
                  <w:t>营业收入</w:t>
                </w:r>
              </w:p>
            </w:sdtContent>
          </w:sdt>
        </w:tc>
        <w:tc>
          <w:tcPr>
            <w:tcW w:w="1549" w:type="dxa"/>
            <w:vAlign w:val="center"/>
          </w:tcPr>
          <w:sdt>
            <w:sdtPr>
              <w:tag w:val="_PLD_cc237396dacd4c16b49a8294763c220b"/>
              <w:id w:val="5761"/>
            </w:sdtPr>
            <w:sdtContent>
              <w:p>
                <w:pPr>
                  <w:widowControl w:val="0"/>
                  <w:jc w:val="center"/>
                  <w:rPr>
                    <w:szCs w:val="21"/>
                  </w:rPr>
                </w:pPr>
                <w:r>
                  <w:rPr>
                    <w:rFonts w:hint="eastAsia"/>
                    <w:szCs w:val="21"/>
                  </w:rPr>
                  <w:t>营业成本</w:t>
                </w:r>
              </w:p>
            </w:sdtContent>
          </w:sdt>
        </w:tc>
        <w:tc>
          <w:tcPr>
            <w:tcW w:w="723" w:type="dxa"/>
            <w:vAlign w:val="center"/>
          </w:tcPr>
          <w:sdt>
            <w:sdtPr>
              <w:tag w:val="_PLD_941b22ab04a244cdbd8aa22ae424dacb"/>
              <w:id w:val="5762"/>
            </w:sdtPr>
            <w:sdtEndPr>
              <w:rPr>
                <w:rFonts w:hint="default"/>
              </w:rPr>
            </w:sdtEndPr>
            <w:sdtContent>
              <w:p>
                <w:pPr>
                  <w:widowControl w:val="0"/>
                  <w:jc w:val="center"/>
                  <w:rPr>
                    <w:szCs w:val="21"/>
                  </w:rPr>
                </w:pPr>
                <w:r>
                  <w:rPr>
                    <w:rFonts w:hint="eastAsia"/>
                    <w:szCs w:val="21"/>
                  </w:rPr>
                  <w:t>毛利率（</w:t>
                </w:r>
                <w:r>
                  <w:rPr>
                    <w:szCs w:val="21"/>
                  </w:rPr>
                  <w:t>%）</w:t>
                </w:r>
              </w:p>
            </w:sdtContent>
          </w:sdt>
        </w:tc>
        <w:tc>
          <w:tcPr>
            <w:tcW w:w="1236" w:type="dxa"/>
            <w:vAlign w:val="center"/>
          </w:tcPr>
          <w:sdt>
            <w:sdtPr>
              <w:tag w:val="_PLD_e219c48b013d406696797c069f5c1054"/>
              <w:id w:val="5763"/>
            </w:sdtPr>
            <w:sdtEndPr>
              <w:rPr>
                <w:rFonts w:hint="default"/>
              </w:rPr>
            </w:sdtEndPr>
            <w:sdtContent>
              <w:p>
                <w:pPr>
                  <w:widowControl w:val="0"/>
                  <w:jc w:val="center"/>
                  <w:rPr>
                    <w:szCs w:val="21"/>
                  </w:rPr>
                </w:pPr>
                <w:r>
                  <w:rPr>
                    <w:rFonts w:hint="eastAsia"/>
                    <w:szCs w:val="21"/>
                  </w:rPr>
                  <w:t>营业收入比上年增减（</w:t>
                </w:r>
                <w:r>
                  <w:rPr>
                    <w:szCs w:val="21"/>
                  </w:rPr>
                  <w:t>%）</w:t>
                </w:r>
              </w:p>
            </w:sdtContent>
          </w:sdt>
        </w:tc>
        <w:tc>
          <w:tcPr>
            <w:tcW w:w="1236" w:type="dxa"/>
            <w:vAlign w:val="center"/>
          </w:tcPr>
          <w:sdt>
            <w:sdtPr>
              <w:tag w:val="_PLD_ea6dd0b86c3c4f81ac1d0aab660982a0"/>
              <w:id w:val="5764"/>
            </w:sdtPr>
            <w:sdtEndPr>
              <w:rPr>
                <w:rFonts w:hint="default"/>
              </w:rPr>
            </w:sdtEndPr>
            <w:sdtContent>
              <w:p>
                <w:pPr>
                  <w:widowControl w:val="0"/>
                  <w:jc w:val="center"/>
                  <w:rPr>
                    <w:szCs w:val="21"/>
                  </w:rPr>
                </w:pPr>
                <w:r>
                  <w:rPr>
                    <w:rFonts w:hint="eastAsia"/>
                    <w:szCs w:val="21"/>
                  </w:rPr>
                  <w:t>营业成本比上年增减（</w:t>
                </w:r>
                <w:r>
                  <w:rPr>
                    <w:szCs w:val="21"/>
                  </w:rPr>
                  <w:t>%）</w:t>
                </w:r>
              </w:p>
            </w:sdtContent>
          </w:sdt>
        </w:tc>
        <w:tc>
          <w:tcPr>
            <w:tcW w:w="1230" w:type="dxa"/>
            <w:vAlign w:val="center"/>
          </w:tcPr>
          <w:sdt>
            <w:sdtPr>
              <w:tag w:val="_PLD_b228d83849d948259a50feeb3c8039e4"/>
              <w:id w:val="5765"/>
            </w:sdtPr>
            <w:sdtEndPr>
              <w:rPr>
                <w:rFonts w:hint="default"/>
              </w:rPr>
            </w:sdtEndPr>
            <w:sdtContent>
              <w:p>
                <w:pPr>
                  <w:widowControl w:val="0"/>
                  <w:jc w:val="center"/>
                  <w:rPr>
                    <w:szCs w:val="21"/>
                  </w:rPr>
                </w:pPr>
                <w:r>
                  <w:rPr>
                    <w:rFonts w:hint="eastAsia"/>
                    <w:szCs w:val="21"/>
                  </w:rPr>
                  <w:t>毛利率比上年增减（</w:t>
                </w:r>
                <w:r>
                  <w:rPr>
                    <w:szCs w:val="21"/>
                  </w:rPr>
                  <w:t>%）</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Align w:val="center"/>
          </w:tcPr>
          <w:p>
            <w:pPr>
              <w:pStyle w:val="56"/>
              <w:ind w:firstLine="0" w:firstLineChars="0"/>
              <w:jc w:val="left"/>
              <w:rPr>
                <w:rFonts w:hint="eastAsia" w:ascii="宋体" w:hAnsi="宋体" w:cs="宋体"/>
                <w:kern w:val="0"/>
                <w:szCs w:val="21"/>
              </w:rPr>
            </w:pPr>
            <w:r>
              <w:rPr>
                <w:rFonts w:hint="eastAsia"/>
                <w:color w:val="auto"/>
              </w:rPr>
              <w:t>线上</w:t>
            </w:r>
          </w:p>
        </w:tc>
        <w:tc>
          <w:tcPr>
            <w:tcW w:w="1702" w:type="dxa"/>
            <w:vAlign w:val="center"/>
          </w:tcPr>
          <w:p>
            <w:pPr>
              <w:widowControl w:val="0"/>
              <w:jc w:val="right"/>
              <w:rPr>
                <w:rFonts w:hint="eastAsia"/>
                <w:szCs w:val="21"/>
              </w:rPr>
            </w:pPr>
            <w:r>
              <w:rPr>
                <w:rFonts w:hint="eastAsia"/>
                <w:color w:val="auto"/>
              </w:rPr>
              <w:t>63,527,338.60</w:t>
            </w:r>
          </w:p>
        </w:tc>
        <w:tc>
          <w:tcPr>
            <w:tcW w:w="1549" w:type="dxa"/>
            <w:vAlign w:val="center"/>
          </w:tcPr>
          <w:p>
            <w:pPr>
              <w:widowControl w:val="0"/>
              <w:jc w:val="right"/>
              <w:rPr>
                <w:rFonts w:hint="eastAsia"/>
                <w:szCs w:val="21"/>
              </w:rPr>
            </w:pPr>
            <w:r>
              <w:rPr>
                <w:rFonts w:hint="eastAsia"/>
                <w:color w:val="auto"/>
              </w:rPr>
              <w:t>25,546,507.88</w:t>
            </w:r>
          </w:p>
        </w:tc>
        <w:tc>
          <w:tcPr>
            <w:tcW w:w="723" w:type="dxa"/>
            <w:vAlign w:val="center"/>
          </w:tcPr>
          <w:p>
            <w:pPr>
              <w:widowControl w:val="0"/>
              <w:jc w:val="right"/>
              <w:rPr>
                <w:rFonts w:hint="eastAsia"/>
                <w:szCs w:val="21"/>
              </w:rPr>
            </w:pPr>
            <w:r>
              <w:rPr>
                <w:rFonts w:hint="eastAsia"/>
                <w:color w:val="auto"/>
              </w:rPr>
              <w:t>59.79</w:t>
            </w:r>
          </w:p>
        </w:tc>
        <w:tc>
          <w:tcPr>
            <w:tcW w:w="1236" w:type="dxa"/>
            <w:vAlign w:val="center"/>
          </w:tcPr>
          <w:p>
            <w:pPr>
              <w:widowControl w:val="0"/>
              <w:jc w:val="right"/>
              <w:rPr>
                <w:rFonts w:hint="eastAsia"/>
                <w:szCs w:val="21"/>
              </w:rPr>
            </w:pPr>
            <w:r>
              <w:rPr>
                <w:rFonts w:hint="eastAsia"/>
                <w:color w:val="auto"/>
              </w:rPr>
              <w:t>-9.02%</w:t>
            </w:r>
          </w:p>
        </w:tc>
        <w:tc>
          <w:tcPr>
            <w:tcW w:w="1236" w:type="dxa"/>
            <w:vAlign w:val="center"/>
          </w:tcPr>
          <w:p>
            <w:pPr>
              <w:widowControl w:val="0"/>
              <w:jc w:val="right"/>
              <w:rPr>
                <w:rFonts w:hint="eastAsia"/>
                <w:szCs w:val="21"/>
              </w:rPr>
            </w:pPr>
            <w:r>
              <w:rPr>
                <w:rFonts w:hint="eastAsia"/>
                <w:color w:val="auto"/>
              </w:rPr>
              <w:t>-35.71%</w:t>
            </w:r>
          </w:p>
        </w:tc>
        <w:tc>
          <w:tcPr>
            <w:tcW w:w="1230" w:type="dxa"/>
            <w:vAlign w:val="center"/>
          </w:tcPr>
          <w:p>
            <w:pPr>
              <w:widowControl w:val="0"/>
              <w:jc w:val="center"/>
              <w:rPr>
                <w:rFonts w:hint="eastAsia"/>
                <w:szCs w:val="21"/>
              </w:rPr>
            </w:pPr>
            <w:r>
              <w:rPr>
                <w:rFonts w:hint="eastAsia"/>
                <w:color w:val="auto"/>
              </w:rPr>
              <w:t>增加16.7个百分点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Align w:val="center"/>
          </w:tcPr>
          <w:p>
            <w:pPr>
              <w:pStyle w:val="56"/>
              <w:ind w:firstLine="0" w:firstLineChars="0"/>
              <w:jc w:val="left"/>
              <w:rPr>
                <w:rFonts w:hint="eastAsia" w:ascii="宋体" w:hAnsi="宋体" w:cs="宋体"/>
                <w:kern w:val="0"/>
                <w:szCs w:val="21"/>
              </w:rPr>
            </w:pPr>
            <w:r>
              <w:rPr>
                <w:rFonts w:hint="eastAsia"/>
                <w:color w:val="auto"/>
              </w:rPr>
              <w:t>线下</w:t>
            </w:r>
          </w:p>
        </w:tc>
        <w:tc>
          <w:tcPr>
            <w:tcW w:w="1702" w:type="dxa"/>
            <w:vAlign w:val="center"/>
          </w:tcPr>
          <w:p>
            <w:pPr>
              <w:widowControl w:val="0"/>
              <w:jc w:val="right"/>
              <w:rPr>
                <w:rFonts w:hint="eastAsia"/>
                <w:szCs w:val="21"/>
              </w:rPr>
            </w:pPr>
            <w:r>
              <w:rPr>
                <w:rFonts w:hint="eastAsia"/>
                <w:color w:val="auto"/>
              </w:rPr>
              <w:t>984,680,544.86</w:t>
            </w:r>
          </w:p>
        </w:tc>
        <w:tc>
          <w:tcPr>
            <w:tcW w:w="1549" w:type="dxa"/>
            <w:vAlign w:val="center"/>
          </w:tcPr>
          <w:p>
            <w:pPr>
              <w:widowControl w:val="0"/>
              <w:jc w:val="right"/>
              <w:rPr>
                <w:rFonts w:hint="eastAsia"/>
                <w:szCs w:val="21"/>
              </w:rPr>
            </w:pPr>
            <w:r>
              <w:rPr>
                <w:rFonts w:hint="eastAsia"/>
                <w:color w:val="auto"/>
              </w:rPr>
              <w:t>851,908,302.90</w:t>
            </w:r>
          </w:p>
        </w:tc>
        <w:tc>
          <w:tcPr>
            <w:tcW w:w="723" w:type="dxa"/>
            <w:vAlign w:val="center"/>
          </w:tcPr>
          <w:p>
            <w:pPr>
              <w:widowControl w:val="0"/>
              <w:jc w:val="right"/>
              <w:rPr>
                <w:rFonts w:hint="eastAsia"/>
                <w:szCs w:val="21"/>
              </w:rPr>
            </w:pPr>
            <w:r>
              <w:rPr>
                <w:rFonts w:hint="eastAsia"/>
                <w:color w:val="auto"/>
              </w:rPr>
              <w:t>13.48</w:t>
            </w:r>
          </w:p>
        </w:tc>
        <w:tc>
          <w:tcPr>
            <w:tcW w:w="1236" w:type="dxa"/>
            <w:vAlign w:val="center"/>
          </w:tcPr>
          <w:p>
            <w:pPr>
              <w:widowControl w:val="0"/>
              <w:jc w:val="right"/>
              <w:rPr>
                <w:rFonts w:hint="eastAsia"/>
                <w:szCs w:val="21"/>
              </w:rPr>
            </w:pPr>
            <w:r>
              <w:rPr>
                <w:rFonts w:hint="eastAsia"/>
                <w:color w:val="auto"/>
              </w:rPr>
              <w:t>1.44%</w:t>
            </w:r>
          </w:p>
        </w:tc>
        <w:tc>
          <w:tcPr>
            <w:tcW w:w="1236" w:type="dxa"/>
            <w:vAlign w:val="center"/>
          </w:tcPr>
          <w:p>
            <w:pPr>
              <w:widowControl w:val="0"/>
              <w:jc w:val="right"/>
              <w:rPr>
                <w:rFonts w:hint="eastAsia"/>
                <w:szCs w:val="21"/>
              </w:rPr>
            </w:pPr>
            <w:r>
              <w:rPr>
                <w:rFonts w:hint="eastAsia"/>
                <w:color w:val="auto"/>
              </w:rPr>
              <w:t>2.61%</w:t>
            </w:r>
          </w:p>
        </w:tc>
        <w:tc>
          <w:tcPr>
            <w:tcW w:w="1230" w:type="dxa"/>
            <w:vAlign w:val="center"/>
          </w:tcPr>
          <w:p>
            <w:pPr>
              <w:widowControl w:val="0"/>
              <w:jc w:val="center"/>
              <w:rPr>
                <w:rFonts w:hint="eastAsia" w:eastAsia="宋体"/>
                <w:szCs w:val="21"/>
                <w:lang w:eastAsia="zh-CN"/>
              </w:rPr>
            </w:pPr>
            <w:r>
              <w:rPr>
                <w:rFonts w:hint="eastAsia"/>
                <w:color w:val="auto"/>
                <w:lang w:eastAsia="zh-CN"/>
              </w:rPr>
              <w:t>减少0.99个百分点</w:t>
            </w:r>
          </w:p>
        </w:tc>
      </w:tr>
    </w:tbl>
    <w:p>
      <w:pPr>
        <w:rPr>
          <w:szCs w:val="21"/>
        </w:rPr>
      </w:pPr>
      <w:r>
        <w:rPr>
          <w:szCs w:val="21"/>
        </w:rPr>
        <w:t>主营业务分行业</w:t>
      </w:r>
      <w:r>
        <w:rPr>
          <w:rFonts w:hint="eastAsia"/>
          <w:szCs w:val="21"/>
        </w:rPr>
        <w:t>、</w:t>
      </w:r>
      <w:r>
        <w:rPr>
          <w:szCs w:val="21"/>
        </w:rPr>
        <w:t>分产品、分地区</w:t>
      </w:r>
      <w:r>
        <w:rPr>
          <w:rFonts w:hint="eastAsia"/>
          <w:szCs w:val="21"/>
        </w:rPr>
        <w:t>、分销售模式</w:t>
      </w:r>
      <w:r>
        <w:rPr>
          <w:szCs w:val="21"/>
        </w:rPr>
        <w:t>情况的说明</w:t>
      </w:r>
    </w:p>
    <w:sdt>
      <w:sdtPr>
        <w:rPr>
          <w:rFonts w:hint="eastAsia"/>
          <w:szCs w:val="21"/>
        </w:rPr>
        <w:alias w:val="主营业务分行业和分产品情况的说明"/>
        <w:tag w:val="_GBC_81b87428f4384bf2959419c3aea2dad2"/>
        <w:id w:val="5766"/>
        <w:placeholder>
          <w:docPart w:val="GBC22222222222222222222222222222"/>
        </w:placeholder>
      </w:sdtPr>
      <w:sdtEndPr>
        <w:rPr>
          <w:rFonts w:hint="eastAsia"/>
          <w:szCs w:val="21"/>
        </w:rPr>
      </w:sdtEndPr>
      <w:sdtContent>
        <w:p>
          <w:pPr>
            <w:rPr>
              <w:szCs w:val="21"/>
            </w:rPr>
          </w:pPr>
          <w:r>
            <w:rPr>
              <w:rFonts w:hint="eastAsia"/>
              <w:szCs w:val="21"/>
            </w:rPr>
            <w:t>无</w:t>
          </w:r>
        </w:p>
      </w:sdtContent>
    </w:sdt>
    <w:bookmarkEnd w:id="51"/>
    <w:p/>
    <w:p>
      <w:pPr>
        <w:pStyle w:val="6"/>
        <w:numPr>
          <w:ilvl w:val="0"/>
          <w:numId w:val="10"/>
        </w:numPr>
        <w:tabs>
          <w:tab w:val="left" w:pos="567"/>
        </w:tabs>
        <w:ind w:leftChars="0"/>
        <w:rPr>
          <w:rFonts w:hint="eastAsia" w:ascii="宋体" w:hAnsi="宋体" w:cs="宋体"/>
          <w:kern w:val="0"/>
          <w:szCs w:val="24"/>
        </w:rPr>
      </w:pPr>
      <w:r>
        <w:rPr>
          <w:rFonts w:hint="eastAsia" w:ascii="宋体" w:hAnsi="宋体" w:cs="宋体"/>
          <w:kern w:val="0"/>
          <w:szCs w:val="24"/>
        </w:rPr>
        <w:t>产销量情况</w:t>
      </w:r>
      <w:r>
        <w:rPr>
          <w:rFonts w:ascii="宋体" w:hAnsi="宋体" w:cs="宋体"/>
          <w:kern w:val="0"/>
          <w:szCs w:val="24"/>
        </w:rPr>
        <w:t>分析表</w:t>
      </w:r>
    </w:p>
    <w:sdt>
      <w:sdtPr>
        <w:alias w:val="是否适用：产销量情况分析表[双击切换]"/>
        <w:tag w:val="_GBC_6ff51c492b3040799712ea51f78bdcc0"/>
        <w:id w:val="5767"/>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854"/>
        <w:gridCol w:w="1299"/>
        <w:gridCol w:w="1330"/>
        <w:gridCol w:w="1146"/>
        <w:gridCol w:w="1022"/>
        <w:gridCol w:w="1131"/>
        <w:gridCol w:w="1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center"/>
          </w:tcPr>
          <w:sdt>
            <w:sdtPr>
              <w:tag w:val="_PLD_259e79e9293847dfb1bd7816b6ad48e6"/>
              <w:id w:val="5768"/>
            </w:sdtPr>
            <w:sdtContent>
              <w:p>
                <w:pPr>
                  <w:widowControl w:val="0"/>
                  <w:jc w:val="center"/>
                  <w:rPr>
                    <w:szCs w:val="21"/>
                  </w:rPr>
                </w:pPr>
                <w:r>
                  <w:rPr>
                    <w:rFonts w:hint="eastAsia"/>
                    <w:szCs w:val="21"/>
                  </w:rPr>
                  <w:t>主要产品</w:t>
                </w:r>
              </w:p>
            </w:sdtContent>
          </w:sdt>
        </w:tc>
        <w:tc>
          <w:tcPr>
            <w:tcW w:w="854" w:type="dxa"/>
            <w:vAlign w:val="center"/>
          </w:tcPr>
          <w:sdt>
            <w:sdtPr>
              <w:tag w:val="_PLD_6d13c84fd3694535a3f1b6bcdd58d107"/>
              <w:id w:val="5769"/>
            </w:sdtPr>
            <w:sdtContent>
              <w:p>
                <w:pPr>
                  <w:widowControl w:val="0"/>
                  <w:jc w:val="center"/>
                </w:pPr>
                <w:r>
                  <w:rPr>
                    <w:rFonts w:hint="eastAsia"/>
                  </w:rPr>
                  <w:t>单位</w:t>
                </w:r>
              </w:p>
            </w:sdtContent>
          </w:sdt>
        </w:tc>
        <w:tc>
          <w:tcPr>
            <w:tcW w:w="1299" w:type="dxa"/>
            <w:vAlign w:val="center"/>
          </w:tcPr>
          <w:sdt>
            <w:sdtPr>
              <w:tag w:val="_PLD_3645c9ae184248f6bd2dda9de0540406"/>
              <w:id w:val="5770"/>
            </w:sdtPr>
            <w:sdtContent>
              <w:p>
                <w:pPr>
                  <w:widowControl w:val="0"/>
                  <w:jc w:val="center"/>
                  <w:rPr>
                    <w:szCs w:val="21"/>
                  </w:rPr>
                </w:pPr>
                <w:r>
                  <w:rPr>
                    <w:rFonts w:hint="eastAsia"/>
                    <w:szCs w:val="21"/>
                  </w:rPr>
                  <w:t>生产量</w:t>
                </w:r>
              </w:p>
            </w:sdtContent>
          </w:sdt>
        </w:tc>
        <w:tc>
          <w:tcPr>
            <w:tcW w:w="1330" w:type="dxa"/>
            <w:vAlign w:val="center"/>
          </w:tcPr>
          <w:sdt>
            <w:sdtPr>
              <w:tag w:val="_PLD_b4bd7da564c3452cb40ff15542829b7a"/>
              <w:id w:val="5771"/>
            </w:sdtPr>
            <w:sdtContent>
              <w:p>
                <w:pPr>
                  <w:widowControl w:val="0"/>
                  <w:jc w:val="center"/>
                  <w:rPr>
                    <w:szCs w:val="21"/>
                  </w:rPr>
                </w:pPr>
                <w:r>
                  <w:rPr>
                    <w:rFonts w:hint="eastAsia"/>
                    <w:szCs w:val="21"/>
                  </w:rPr>
                  <w:t>销售量</w:t>
                </w:r>
              </w:p>
            </w:sdtContent>
          </w:sdt>
        </w:tc>
        <w:tc>
          <w:tcPr>
            <w:tcW w:w="1146" w:type="dxa"/>
            <w:vAlign w:val="center"/>
          </w:tcPr>
          <w:sdt>
            <w:sdtPr>
              <w:tag w:val="_PLD_4f74a09ae16245a3a6e2c536c1266361"/>
              <w:id w:val="5772"/>
            </w:sdtPr>
            <w:sdtContent>
              <w:p>
                <w:pPr>
                  <w:widowControl w:val="0"/>
                  <w:jc w:val="center"/>
                  <w:rPr>
                    <w:szCs w:val="21"/>
                  </w:rPr>
                </w:pPr>
                <w:r>
                  <w:rPr>
                    <w:rFonts w:hint="eastAsia"/>
                    <w:szCs w:val="21"/>
                  </w:rPr>
                  <w:t>库存量</w:t>
                </w:r>
              </w:p>
            </w:sdtContent>
          </w:sdt>
        </w:tc>
        <w:tc>
          <w:tcPr>
            <w:tcW w:w="1022" w:type="dxa"/>
            <w:vAlign w:val="center"/>
          </w:tcPr>
          <w:sdt>
            <w:sdtPr>
              <w:tag w:val="_PLD_21bd7a4d992742feb4b83db592f976fd"/>
              <w:id w:val="5773"/>
            </w:sdtPr>
            <w:sdtContent>
              <w:p>
                <w:pPr>
                  <w:widowControl w:val="0"/>
                  <w:jc w:val="center"/>
                  <w:rPr>
                    <w:szCs w:val="21"/>
                  </w:rPr>
                </w:pPr>
                <w:r>
                  <w:rPr>
                    <w:rFonts w:hint="eastAsia"/>
                    <w:szCs w:val="21"/>
                  </w:rPr>
                  <w:t>生产量比上年增减（%）</w:t>
                </w:r>
              </w:p>
            </w:sdtContent>
          </w:sdt>
        </w:tc>
        <w:tc>
          <w:tcPr>
            <w:tcW w:w="1131" w:type="dxa"/>
            <w:vAlign w:val="center"/>
          </w:tcPr>
          <w:sdt>
            <w:sdtPr>
              <w:tag w:val="_PLD_37e055a5474a4aac989b4e3a88756935"/>
              <w:id w:val="5774"/>
            </w:sdtPr>
            <w:sdtContent>
              <w:p>
                <w:pPr>
                  <w:widowControl w:val="0"/>
                  <w:jc w:val="center"/>
                  <w:rPr>
                    <w:szCs w:val="21"/>
                  </w:rPr>
                </w:pPr>
                <w:r>
                  <w:rPr>
                    <w:rFonts w:hint="eastAsia"/>
                    <w:szCs w:val="21"/>
                  </w:rPr>
                  <w:t>销售量比上年增减（%）</w:t>
                </w:r>
              </w:p>
            </w:sdtContent>
          </w:sdt>
        </w:tc>
        <w:tc>
          <w:tcPr>
            <w:tcW w:w="1131" w:type="dxa"/>
            <w:vAlign w:val="center"/>
          </w:tcPr>
          <w:sdt>
            <w:sdtPr>
              <w:tag w:val="_PLD_d03cdf85475e4722ae39e10ea525eee5"/>
              <w:id w:val="5775"/>
            </w:sdtPr>
            <w:sdtContent>
              <w:p>
                <w:pPr>
                  <w:widowControl w:val="0"/>
                  <w:jc w:val="center"/>
                  <w:rPr>
                    <w:szCs w:val="21"/>
                  </w:rPr>
                </w:pPr>
                <w:r>
                  <w:rPr>
                    <w:rFonts w:hint="eastAsia"/>
                    <w:szCs w:val="21"/>
                  </w:rPr>
                  <w:t>库存量比上年增减（%）</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29" w:type="dxa"/>
            <w:vAlign w:val="center"/>
          </w:tcPr>
          <w:p>
            <w:pPr>
              <w:widowControl w:val="0"/>
              <w:jc w:val="both"/>
              <w:rPr>
                <w:szCs w:val="21"/>
              </w:rPr>
            </w:pPr>
            <w:r>
              <w:rPr>
                <w:rFonts w:hint="eastAsia"/>
                <w:color w:val="auto"/>
              </w:rPr>
              <w:t>家用牙膏</w:t>
            </w:r>
          </w:p>
        </w:tc>
        <w:tc>
          <w:tcPr>
            <w:tcW w:w="854" w:type="dxa"/>
            <w:vAlign w:val="center"/>
          </w:tcPr>
          <w:p>
            <w:pPr>
              <w:widowControl w:val="0"/>
              <w:jc w:val="both"/>
              <w:rPr>
                <w:szCs w:val="21"/>
              </w:rPr>
            </w:pPr>
            <w:r>
              <w:rPr>
                <w:rFonts w:hint="eastAsia"/>
                <w:color w:val="auto"/>
              </w:rPr>
              <w:t>万支</w:t>
            </w:r>
          </w:p>
        </w:tc>
        <w:tc>
          <w:tcPr>
            <w:tcW w:w="1299" w:type="dxa"/>
            <w:vAlign w:val="center"/>
          </w:tcPr>
          <w:p>
            <w:pPr>
              <w:widowControl w:val="0"/>
              <w:jc w:val="right"/>
              <w:rPr>
                <w:rFonts w:hint="eastAsia"/>
                <w:szCs w:val="21"/>
              </w:rPr>
            </w:pPr>
            <w:r>
              <w:rPr>
                <w:rFonts w:hint="eastAsia"/>
                <w:color w:val="auto"/>
              </w:rPr>
              <w:t>3,473.72</w:t>
            </w:r>
          </w:p>
        </w:tc>
        <w:tc>
          <w:tcPr>
            <w:tcW w:w="1330" w:type="dxa"/>
            <w:vAlign w:val="center"/>
          </w:tcPr>
          <w:p>
            <w:pPr>
              <w:widowControl w:val="0"/>
              <w:jc w:val="right"/>
              <w:rPr>
                <w:rFonts w:hint="eastAsia"/>
                <w:szCs w:val="21"/>
              </w:rPr>
            </w:pPr>
            <w:r>
              <w:rPr>
                <w:rFonts w:hint="eastAsia"/>
                <w:color w:val="auto"/>
              </w:rPr>
              <w:t>3,143.95</w:t>
            </w:r>
          </w:p>
        </w:tc>
        <w:tc>
          <w:tcPr>
            <w:tcW w:w="1146" w:type="dxa"/>
            <w:vAlign w:val="center"/>
          </w:tcPr>
          <w:p>
            <w:pPr>
              <w:widowControl w:val="0"/>
              <w:jc w:val="right"/>
              <w:rPr>
                <w:rFonts w:hint="eastAsia"/>
                <w:szCs w:val="21"/>
              </w:rPr>
            </w:pPr>
            <w:r>
              <w:rPr>
                <w:rFonts w:hint="eastAsia"/>
                <w:color w:val="auto"/>
              </w:rPr>
              <w:t>937.58</w:t>
            </w:r>
          </w:p>
        </w:tc>
        <w:tc>
          <w:tcPr>
            <w:tcW w:w="1022" w:type="dxa"/>
            <w:vAlign w:val="center"/>
          </w:tcPr>
          <w:p>
            <w:pPr>
              <w:widowControl w:val="0"/>
              <w:jc w:val="right"/>
              <w:rPr>
                <w:rFonts w:hint="eastAsia"/>
                <w:szCs w:val="21"/>
              </w:rPr>
            </w:pPr>
            <w:r>
              <w:rPr>
                <w:rFonts w:hint="eastAsia"/>
                <w:color w:val="auto"/>
              </w:rPr>
              <w:t>3.81</w:t>
            </w:r>
          </w:p>
        </w:tc>
        <w:tc>
          <w:tcPr>
            <w:tcW w:w="1131" w:type="dxa"/>
            <w:vAlign w:val="center"/>
          </w:tcPr>
          <w:p>
            <w:pPr>
              <w:widowControl w:val="0"/>
              <w:jc w:val="right"/>
              <w:rPr>
                <w:rFonts w:hint="eastAsia"/>
                <w:szCs w:val="21"/>
              </w:rPr>
            </w:pPr>
            <w:r>
              <w:rPr>
                <w:rFonts w:hint="eastAsia"/>
                <w:color w:val="auto"/>
              </w:rPr>
              <w:t>-3.54</w:t>
            </w:r>
          </w:p>
        </w:tc>
        <w:tc>
          <w:tcPr>
            <w:tcW w:w="1131" w:type="dxa"/>
            <w:vAlign w:val="center"/>
          </w:tcPr>
          <w:p>
            <w:pPr>
              <w:widowControl w:val="0"/>
              <w:jc w:val="right"/>
              <w:rPr>
                <w:rFonts w:hint="eastAsia"/>
                <w:szCs w:val="21"/>
              </w:rPr>
            </w:pPr>
            <w:r>
              <w:rPr>
                <w:rFonts w:hint="eastAsia"/>
                <w:color w:val="auto"/>
              </w:rPr>
              <w:t>20.64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29" w:type="dxa"/>
            <w:vAlign w:val="center"/>
          </w:tcPr>
          <w:p>
            <w:pPr>
              <w:widowControl w:val="0"/>
              <w:jc w:val="both"/>
              <w:rPr>
                <w:szCs w:val="21"/>
              </w:rPr>
            </w:pPr>
            <w:r>
              <w:rPr>
                <w:rFonts w:hint="eastAsia"/>
                <w:color w:val="auto"/>
              </w:rPr>
              <w:t>旅游牙膏单支</w:t>
            </w:r>
          </w:p>
        </w:tc>
        <w:tc>
          <w:tcPr>
            <w:tcW w:w="854" w:type="dxa"/>
            <w:vAlign w:val="center"/>
          </w:tcPr>
          <w:p>
            <w:pPr>
              <w:widowControl w:val="0"/>
              <w:jc w:val="both"/>
              <w:rPr>
                <w:szCs w:val="21"/>
              </w:rPr>
            </w:pPr>
            <w:r>
              <w:rPr>
                <w:rFonts w:hint="eastAsia"/>
                <w:color w:val="auto"/>
              </w:rPr>
              <w:t>万支</w:t>
            </w:r>
          </w:p>
        </w:tc>
        <w:tc>
          <w:tcPr>
            <w:tcW w:w="1299" w:type="dxa"/>
            <w:vAlign w:val="center"/>
          </w:tcPr>
          <w:p>
            <w:pPr>
              <w:widowControl w:val="0"/>
              <w:jc w:val="right"/>
              <w:rPr>
                <w:rFonts w:hint="eastAsia"/>
                <w:szCs w:val="21"/>
              </w:rPr>
            </w:pPr>
            <w:r>
              <w:rPr>
                <w:rFonts w:hint="eastAsia"/>
                <w:color w:val="auto"/>
              </w:rPr>
              <w:t>164,402.93</w:t>
            </w:r>
          </w:p>
        </w:tc>
        <w:tc>
          <w:tcPr>
            <w:tcW w:w="1330" w:type="dxa"/>
            <w:vAlign w:val="center"/>
          </w:tcPr>
          <w:p>
            <w:pPr>
              <w:widowControl w:val="0"/>
              <w:jc w:val="right"/>
              <w:rPr>
                <w:rFonts w:hint="eastAsia"/>
                <w:szCs w:val="21"/>
              </w:rPr>
            </w:pPr>
            <w:r>
              <w:rPr>
                <w:rFonts w:hint="eastAsia"/>
                <w:color w:val="auto"/>
              </w:rPr>
              <w:t>163,233.33</w:t>
            </w:r>
          </w:p>
        </w:tc>
        <w:tc>
          <w:tcPr>
            <w:tcW w:w="1146" w:type="dxa"/>
            <w:vAlign w:val="center"/>
          </w:tcPr>
          <w:p>
            <w:pPr>
              <w:widowControl w:val="0"/>
              <w:jc w:val="right"/>
              <w:rPr>
                <w:rFonts w:hint="eastAsia"/>
                <w:szCs w:val="21"/>
              </w:rPr>
            </w:pPr>
            <w:r>
              <w:rPr>
                <w:rFonts w:hint="eastAsia"/>
                <w:color w:val="auto"/>
              </w:rPr>
              <w:t>13,565.91</w:t>
            </w:r>
          </w:p>
        </w:tc>
        <w:tc>
          <w:tcPr>
            <w:tcW w:w="1022" w:type="dxa"/>
            <w:vAlign w:val="center"/>
          </w:tcPr>
          <w:p>
            <w:pPr>
              <w:widowControl w:val="0"/>
              <w:jc w:val="right"/>
              <w:rPr>
                <w:rFonts w:hint="eastAsia"/>
                <w:szCs w:val="21"/>
              </w:rPr>
            </w:pPr>
            <w:r>
              <w:rPr>
                <w:rFonts w:hint="eastAsia"/>
                <w:color w:val="auto"/>
              </w:rPr>
              <w:t>5.67</w:t>
            </w:r>
          </w:p>
        </w:tc>
        <w:tc>
          <w:tcPr>
            <w:tcW w:w="1131" w:type="dxa"/>
            <w:vAlign w:val="center"/>
          </w:tcPr>
          <w:p>
            <w:pPr>
              <w:widowControl w:val="0"/>
              <w:jc w:val="right"/>
              <w:rPr>
                <w:rFonts w:hint="eastAsia"/>
                <w:szCs w:val="21"/>
              </w:rPr>
            </w:pPr>
            <w:r>
              <w:rPr>
                <w:rFonts w:hint="eastAsia"/>
                <w:color w:val="auto"/>
              </w:rPr>
              <w:t>3.36</w:t>
            </w:r>
          </w:p>
        </w:tc>
        <w:tc>
          <w:tcPr>
            <w:tcW w:w="1131" w:type="dxa"/>
            <w:vAlign w:val="center"/>
          </w:tcPr>
          <w:p>
            <w:pPr>
              <w:widowControl w:val="0"/>
              <w:jc w:val="right"/>
              <w:rPr>
                <w:rFonts w:hint="eastAsia"/>
                <w:szCs w:val="21"/>
              </w:rPr>
            </w:pPr>
            <w:r>
              <w:rPr>
                <w:rFonts w:hint="eastAsia"/>
                <w:color w:val="auto"/>
              </w:rPr>
              <w:t>9.44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29" w:type="dxa"/>
            <w:vAlign w:val="center"/>
          </w:tcPr>
          <w:p>
            <w:pPr>
              <w:widowControl w:val="0"/>
              <w:jc w:val="both"/>
              <w:rPr>
                <w:szCs w:val="21"/>
              </w:rPr>
            </w:pPr>
            <w:r>
              <w:rPr>
                <w:rFonts w:hint="eastAsia"/>
                <w:color w:val="auto"/>
              </w:rPr>
              <w:t>旅游牙膏套装</w:t>
            </w:r>
          </w:p>
        </w:tc>
        <w:tc>
          <w:tcPr>
            <w:tcW w:w="854" w:type="dxa"/>
            <w:vAlign w:val="center"/>
          </w:tcPr>
          <w:p>
            <w:pPr>
              <w:widowControl w:val="0"/>
              <w:jc w:val="both"/>
              <w:rPr>
                <w:szCs w:val="21"/>
              </w:rPr>
            </w:pPr>
            <w:r>
              <w:rPr>
                <w:rFonts w:hint="eastAsia"/>
                <w:color w:val="auto"/>
              </w:rPr>
              <w:t>万套</w:t>
            </w:r>
          </w:p>
        </w:tc>
        <w:tc>
          <w:tcPr>
            <w:tcW w:w="1299" w:type="dxa"/>
            <w:vAlign w:val="center"/>
          </w:tcPr>
          <w:p>
            <w:pPr>
              <w:widowControl w:val="0"/>
              <w:jc w:val="right"/>
              <w:rPr>
                <w:rFonts w:hint="eastAsia"/>
                <w:szCs w:val="21"/>
              </w:rPr>
            </w:pPr>
            <w:r>
              <w:rPr>
                <w:rFonts w:hint="eastAsia"/>
                <w:color w:val="auto"/>
              </w:rPr>
              <w:t>16,215.35</w:t>
            </w:r>
          </w:p>
        </w:tc>
        <w:tc>
          <w:tcPr>
            <w:tcW w:w="1330" w:type="dxa"/>
            <w:vAlign w:val="center"/>
          </w:tcPr>
          <w:p>
            <w:pPr>
              <w:widowControl w:val="0"/>
              <w:jc w:val="right"/>
              <w:rPr>
                <w:rFonts w:hint="eastAsia"/>
                <w:szCs w:val="21"/>
              </w:rPr>
            </w:pPr>
            <w:r>
              <w:rPr>
                <w:rFonts w:hint="eastAsia"/>
                <w:color w:val="auto"/>
              </w:rPr>
              <w:t>18,815.51</w:t>
            </w:r>
          </w:p>
        </w:tc>
        <w:tc>
          <w:tcPr>
            <w:tcW w:w="1146" w:type="dxa"/>
            <w:vAlign w:val="center"/>
          </w:tcPr>
          <w:p>
            <w:pPr>
              <w:widowControl w:val="0"/>
              <w:jc w:val="right"/>
              <w:rPr>
                <w:rFonts w:hint="eastAsia"/>
                <w:szCs w:val="21"/>
              </w:rPr>
            </w:pPr>
            <w:r>
              <w:rPr>
                <w:rFonts w:hint="eastAsia"/>
                <w:color w:val="auto"/>
              </w:rPr>
              <w:t>866.61</w:t>
            </w:r>
          </w:p>
        </w:tc>
        <w:tc>
          <w:tcPr>
            <w:tcW w:w="1022" w:type="dxa"/>
            <w:vAlign w:val="center"/>
          </w:tcPr>
          <w:p>
            <w:pPr>
              <w:widowControl w:val="0"/>
              <w:jc w:val="right"/>
              <w:rPr>
                <w:rFonts w:hint="eastAsia"/>
                <w:szCs w:val="21"/>
              </w:rPr>
            </w:pPr>
            <w:r>
              <w:rPr>
                <w:rFonts w:hint="eastAsia"/>
                <w:color w:val="auto"/>
              </w:rPr>
              <w:t>-8.82</w:t>
            </w:r>
          </w:p>
        </w:tc>
        <w:tc>
          <w:tcPr>
            <w:tcW w:w="1131" w:type="dxa"/>
            <w:vAlign w:val="center"/>
          </w:tcPr>
          <w:p>
            <w:pPr>
              <w:widowControl w:val="0"/>
              <w:jc w:val="right"/>
              <w:rPr>
                <w:rFonts w:hint="eastAsia"/>
                <w:szCs w:val="21"/>
              </w:rPr>
            </w:pPr>
            <w:r>
              <w:rPr>
                <w:rFonts w:hint="eastAsia"/>
                <w:color w:val="auto"/>
              </w:rPr>
              <w:t>0.92</w:t>
            </w:r>
          </w:p>
        </w:tc>
        <w:tc>
          <w:tcPr>
            <w:tcW w:w="1131" w:type="dxa"/>
            <w:vAlign w:val="center"/>
          </w:tcPr>
          <w:p>
            <w:pPr>
              <w:widowControl w:val="0"/>
              <w:jc w:val="right"/>
              <w:rPr>
                <w:rFonts w:hint="eastAsia"/>
                <w:szCs w:val="21"/>
              </w:rPr>
            </w:pPr>
            <w:r>
              <w:rPr>
                <w:rFonts w:hint="eastAsia"/>
                <w:color w:val="auto"/>
              </w:rPr>
              <w:t>-64.98</w:t>
            </w:r>
          </w:p>
        </w:tc>
      </w:tr>
    </w:tbl>
    <w:p>
      <w:pPr>
        <w:rPr>
          <w:szCs w:val="21"/>
        </w:rPr>
      </w:pPr>
    </w:p>
    <w:p>
      <w:pPr>
        <w:rPr>
          <w:szCs w:val="21"/>
        </w:rPr>
      </w:pPr>
      <w:r>
        <w:rPr>
          <w:rFonts w:hint="eastAsia"/>
          <w:szCs w:val="21"/>
        </w:rPr>
        <w:t>产销量情况说明</w:t>
      </w:r>
    </w:p>
    <w:sdt>
      <w:sdtPr>
        <w:rPr>
          <w:rFonts w:hint="eastAsia"/>
          <w:szCs w:val="21"/>
        </w:rPr>
        <w:alias w:val="产销量情况说明"/>
        <w:tag w:val="_GBC_1aea839efa9940859168bf3f05061254"/>
        <w:id w:val="5776"/>
        <w:placeholder>
          <w:docPart w:val="GBC22222222222222222222222222222"/>
        </w:placeholder>
      </w:sdtPr>
      <w:sdtEndPr>
        <w:rPr>
          <w:rFonts w:hint="eastAsia"/>
          <w:szCs w:val="21"/>
        </w:rPr>
      </w:sdtEndPr>
      <w:sdtContent>
        <w:p>
          <w:pPr>
            <w:rPr>
              <w:szCs w:val="21"/>
            </w:rPr>
          </w:pPr>
          <w:r>
            <w:rPr>
              <w:rFonts w:hint="eastAsia"/>
              <w:szCs w:val="21"/>
            </w:rPr>
            <w:t>无</w:t>
          </w:r>
        </w:p>
      </w:sdtContent>
    </w:sdt>
    <w:p/>
    <w:p>
      <w:pPr>
        <w:pStyle w:val="6"/>
        <w:numPr>
          <w:ilvl w:val="0"/>
          <w:numId w:val="10"/>
        </w:numPr>
        <w:tabs>
          <w:tab w:val="left" w:pos="567"/>
        </w:tabs>
        <w:ind w:leftChars="0"/>
        <w:rPr>
          <w:rFonts w:hint="eastAsia" w:ascii="宋体" w:hAnsi="宋体" w:cs="宋体"/>
          <w:kern w:val="0"/>
          <w:szCs w:val="24"/>
        </w:rPr>
      </w:pPr>
      <w:bookmarkStart w:id="52" w:name="_Hlk89876471"/>
      <w:r>
        <w:rPr>
          <w:rFonts w:hint="eastAsia" w:ascii="宋体" w:hAnsi="宋体" w:cs="宋体"/>
          <w:kern w:val="0"/>
          <w:szCs w:val="24"/>
        </w:rPr>
        <w:t>重大采购合同、重大销售合同的履行情况</w:t>
      </w:r>
    </w:p>
    <w:sdt>
      <w:sdtPr>
        <w:rPr>
          <w:rFonts w:hint="eastAsia"/>
        </w:rPr>
        <w:alias w:val="是否适用：重大采购合同、重大销售合同的履行情况 [双击切换]"/>
        <w:tag w:val="_GBC_7db64bb10282470b9d1599cd986236d4"/>
        <w:id w:val="5777"/>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52"/>
    <w:sdt>
      <w:sdtPr>
        <w:tag w:val="_PLD_41979ad35c714afe87485088a54874bc"/>
        <w:id w:val="5778"/>
      </w:sdtPr>
      <w:sdtEndPr>
        <w:rPr>
          <w:b/>
          <w:bCs/>
        </w:rPr>
      </w:sdtEndPr>
      <w:sdtContent>
        <w:p>
          <w:pPr>
            <w:pStyle w:val="6"/>
            <w:numPr>
              <w:ilvl w:val="0"/>
              <w:numId w:val="10"/>
            </w:numPr>
            <w:tabs>
              <w:tab w:val="left" w:pos="567"/>
            </w:tabs>
            <w:ind w:leftChars="0"/>
            <w:rPr>
              <w:rFonts w:hint="eastAsia" w:ascii="宋体" w:hAnsi="宋体" w:cs="宋体"/>
              <w:kern w:val="0"/>
              <w:szCs w:val="24"/>
            </w:rPr>
          </w:pPr>
          <w:r>
            <w:rPr>
              <w:rFonts w:ascii="宋体" w:hAnsi="宋体" w:cs="宋体"/>
              <w:kern w:val="0"/>
              <w:szCs w:val="24"/>
            </w:rPr>
            <w:t>成本分析表</w:t>
          </w:r>
        </w:p>
      </w:sdtContent>
    </w:sdt>
    <w:p>
      <w:pPr>
        <w:pStyle w:val="56"/>
        <w:wordWrap w:val="0"/>
        <w:ind w:firstLine="0" w:firstLineChars="0"/>
        <w:jc w:val="right"/>
        <w:rPr>
          <w:szCs w:val="21"/>
        </w:rPr>
      </w:pPr>
      <w:r>
        <w:rPr>
          <w:rFonts w:hint="eastAsia"/>
          <w:szCs w:val="21"/>
        </w:rPr>
        <w:t>单位：</w:t>
      </w:r>
      <w:sdt>
        <w:sdtPr>
          <w:rPr>
            <w:rFonts w:hint="eastAsia"/>
            <w:szCs w:val="21"/>
          </w:rPr>
          <w:alias w:val="单位：成本分析表"/>
          <w:tag w:val="_GBC_b04622a3125b4989a822b6e63bf483c3"/>
          <w:id w:val="577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成本分析表"/>
          <w:tag w:val="_GBC_5c55578755b74bb6835d3a10e2d5f7d9"/>
          <w:id w:val="578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9"/>
        <w:tblW w:w="0" w:type="auto"/>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255"/>
        <w:gridCol w:w="1625"/>
        <w:gridCol w:w="899"/>
        <w:gridCol w:w="1719"/>
        <w:gridCol w:w="1058"/>
        <w:gridCol w:w="873"/>
        <w:gridCol w:w="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9334" w:type="dxa"/>
            <w:gridSpan w:val="8"/>
            <w:vAlign w:val="center"/>
          </w:tcPr>
          <w:sdt>
            <w:sdtPr>
              <w:tag w:val="_PLD_23eca1a24a6a46819aede5056d21b4e0"/>
              <w:id w:val="147473964"/>
            </w:sdtPr>
            <w:sdtContent>
              <w:p>
                <w:pPr>
                  <w:widowControl w:val="0"/>
                  <w:jc w:val="center"/>
                  <w:rPr>
                    <w:szCs w:val="21"/>
                  </w:rPr>
                </w:pPr>
                <w:r>
                  <w:rPr>
                    <w:szCs w:val="21"/>
                  </w:rPr>
                  <w:t>分行业情况</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236" w:type="dxa"/>
            <w:vAlign w:val="center"/>
          </w:tcPr>
          <w:sdt>
            <w:sdtPr>
              <w:tag w:val="_PLD_6ed773a4437a4fe9b33abca9c4813940"/>
              <w:id w:val="147453962"/>
            </w:sdtPr>
            <w:sdtContent>
              <w:p>
                <w:pPr>
                  <w:widowControl w:val="0"/>
                  <w:jc w:val="center"/>
                  <w:rPr>
                    <w:szCs w:val="21"/>
                  </w:rPr>
                </w:pPr>
                <w:r>
                  <w:rPr>
                    <w:szCs w:val="21"/>
                  </w:rPr>
                  <w:t>分行业</w:t>
                </w:r>
              </w:p>
            </w:sdtContent>
          </w:sdt>
        </w:tc>
        <w:tc>
          <w:tcPr>
            <w:tcW w:w="1255" w:type="dxa"/>
            <w:vAlign w:val="center"/>
          </w:tcPr>
          <w:sdt>
            <w:sdtPr>
              <w:tag w:val="_PLD_11eb33bcb20d4489a1b9fff2216d0a84"/>
              <w:id w:val="147471935"/>
            </w:sdtPr>
            <w:sdtContent>
              <w:p>
                <w:pPr>
                  <w:widowControl w:val="0"/>
                  <w:jc w:val="center"/>
                  <w:rPr>
                    <w:szCs w:val="21"/>
                  </w:rPr>
                </w:pPr>
                <w:r>
                  <w:rPr>
                    <w:szCs w:val="21"/>
                  </w:rPr>
                  <w:t>成本构成项目</w:t>
                </w:r>
              </w:p>
            </w:sdtContent>
          </w:sdt>
        </w:tc>
        <w:tc>
          <w:tcPr>
            <w:tcW w:w="1625" w:type="dxa"/>
            <w:vAlign w:val="center"/>
          </w:tcPr>
          <w:sdt>
            <w:sdtPr>
              <w:tag w:val="_PLD_25c03477e66a432199f6493c38aaca71"/>
              <w:id w:val="147478913"/>
            </w:sdtPr>
            <w:sdtContent>
              <w:p>
                <w:pPr>
                  <w:widowControl w:val="0"/>
                  <w:jc w:val="center"/>
                  <w:rPr>
                    <w:szCs w:val="21"/>
                  </w:rPr>
                </w:pPr>
                <w:r>
                  <w:rPr>
                    <w:szCs w:val="21"/>
                  </w:rPr>
                  <w:t>本期金额</w:t>
                </w:r>
              </w:p>
            </w:sdtContent>
          </w:sdt>
        </w:tc>
        <w:tc>
          <w:tcPr>
            <w:tcW w:w="899" w:type="dxa"/>
            <w:vAlign w:val="center"/>
          </w:tcPr>
          <w:sdt>
            <w:sdtPr>
              <w:tag w:val="_PLD_29b86b13ed1449cfb64b8547d9ed08a7"/>
              <w:id w:val="147454509"/>
            </w:sdtPr>
            <w:sdtContent>
              <w:p>
                <w:pPr>
                  <w:widowControl w:val="0"/>
                  <w:jc w:val="center"/>
                  <w:rPr>
                    <w:szCs w:val="21"/>
                  </w:rPr>
                </w:pPr>
                <w:r>
                  <w:rPr>
                    <w:szCs w:val="21"/>
                  </w:rPr>
                  <w:t>本期占总成本比例(</w:t>
                </w:r>
                <w:r>
                  <w:rPr>
                    <w:rFonts w:hint="eastAsia"/>
                    <w:szCs w:val="21"/>
                  </w:rPr>
                  <w:t>%</w:t>
                </w:r>
                <w:r>
                  <w:rPr>
                    <w:szCs w:val="21"/>
                  </w:rPr>
                  <w:t>)</w:t>
                </w:r>
              </w:p>
            </w:sdtContent>
          </w:sdt>
        </w:tc>
        <w:tc>
          <w:tcPr>
            <w:tcW w:w="1719" w:type="dxa"/>
            <w:vAlign w:val="center"/>
          </w:tcPr>
          <w:sdt>
            <w:sdtPr>
              <w:tag w:val="_PLD_5ff02c2ae2d941d5bb2ed5b1e6bfa8e6"/>
              <w:id w:val="147477587"/>
            </w:sdtPr>
            <w:sdtContent>
              <w:p>
                <w:pPr>
                  <w:widowControl w:val="0"/>
                  <w:jc w:val="center"/>
                  <w:rPr>
                    <w:szCs w:val="21"/>
                  </w:rPr>
                </w:pPr>
                <w:r>
                  <w:rPr>
                    <w:szCs w:val="21"/>
                  </w:rPr>
                  <w:t>上年同期金额</w:t>
                </w:r>
              </w:p>
            </w:sdtContent>
          </w:sdt>
        </w:tc>
        <w:tc>
          <w:tcPr>
            <w:tcW w:w="1058" w:type="dxa"/>
            <w:vAlign w:val="center"/>
          </w:tcPr>
          <w:sdt>
            <w:sdtPr>
              <w:tag w:val="_PLD_517f7979a01748fba12b11d5561fdcdd"/>
              <w:id w:val="147466838"/>
            </w:sdtPr>
            <w:sdtContent>
              <w:p>
                <w:pPr>
                  <w:widowControl w:val="0"/>
                  <w:jc w:val="center"/>
                  <w:rPr>
                    <w:szCs w:val="21"/>
                  </w:rPr>
                </w:pPr>
                <w:r>
                  <w:rPr>
                    <w:szCs w:val="21"/>
                  </w:rPr>
                  <w:t>上年同期占总成本比例(</w:t>
                </w:r>
                <w:r>
                  <w:rPr>
                    <w:rFonts w:hint="eastAsia"/>
                    <w:szCs w:val="21"/>
                  </w:rPr>
                  <w:t>%</w:t>
                </w:r>
                <w:r>
                  <w:rPr>
                    <w:szCs w:val="21"/>
                  </w:rPr>
                  <w:t>)</w:t>
                </w:r>
              </w:p>
            </w:sdtContent>
          </w:sdt>
        </w:tc>
        <w:tc>
          <w:tcPr>
            <w:tcW w:w="873" w:type="dxa"/>
            <w:vAlign w:val="center"/>
          </w:tcPr>
          <w:sdt>
            <w:sdtPr>
              <w:tag w:val="_PLD_51133d067ddc4eeda00133d4c26d206f"/>
              <w:id w:val="147481144"/>
            </w:sdtPr>
            <w:sdtContent>
              <w:p>
                <w:pPr>
                  <w:widowControl w:val="0"/>
                  <w:jc w:val="center"/>
                  <w:rPr>
                    <w:szCs w:val="21"/>
                  </w:rPr>
                </w:pPr>
                <w:r>
                  <w:rPr>
                    <w:szCs w:val="21"/>
                  </w:rPr>
                  <w:t>本期金额较上年同期变动比例(</w:t>
                </w:r>
                <w:r>
                  <w:rPr>
                    <w:rFonts w:hint="eastAsia"/>
                    <w:szCs w:val="21"/>
                  </w:rPr>
                  <w:t>%</w:t>
                </w:r>
                <w:r>
                  <w:rPr>
                    <w:szCs w:val="21"/>
                  </w:rPr>
                  <w:t>)</w:t>
                </w:r>
              </w:p>
            </w:sdtContent>
          </w:sdt>
        </w:tc>
        <w:tc>
          <w:tcPr>
            <w:tcW w:w="669" w:type="dxa"/>
            <w:vAlign w:val="center"/>
          </w:tcPr>
          <w:sdt>
            <w:sdtPr>
              <w:tag w:val="_PLD_88c2b4dabd62472381be05c0702377e2"/>
              <w:id w:val="147474855"/>
            </w:sdtPr>
            <w:sdtContent>
              <w:p>
                <w:pPr>
                  <w:widowControl w:val="0"/>
                  <w:jc w:val="center"/>
                  <w:rPr>
                    <w:szCs w:val="21"/>
                  </w:rPr>
                </w:pPr>
                <w:r>
                  <w:rPr>
                    <w:szCs w:val="21"/>
                  </w:rPr>
                  <w:t>情况</w:t>
                </w:r>
              </w:p>
              <w:p>
                <w:pPr>
                  <w:widowControl w:val="0"/>
                  <w:jc w:val="center"/>
                  <w:rPr>
                    <w:szCs w:val="21"/>
                  </w:rPr>
                </w:pPr>
                <w:r>
                  <w:rPr>
                    <w:szCs w:val="21"/>
                  </w:rPr>
                  <w:t>说明</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restart"/>
            <w:vAlign w:val="center"/>
          </w:tcPr>
          <w:p>
            <w:pPr>
              <w:widowControl w:val="0"/>
              <w:jc w:val="both"/>
              <w:rPr>
                <w:szCs w:val="21"/>
              </w:rPr>
            </w:pPr>
            <w:r>
              <w:rPr>
                <w:rFonts w:hint="eastAsia"/>
                <w:color w:val="auto"/>
              </w:rPr>
              <w:t>工业</w:t>
            </w:r>
          </w:p>
        </w:tc>
        <w:tc>
          <w:tcPr>
            <w:tcW w:w="1255" w:type="dxa"/>
            <w:vAlign w:val="center"/>
          </w:tcPr>
          <w:p>
            <w:pPr>
              <w:widowControl w:val="0"/>
              <w:jc w:val="both"/>
              <w:rPr>
                <w:szCs w:val="21"/>
              </w:rPr>
            </w:pPr>
            <w:r>
              <w:rPr>
                <w:rFonts w:hint="eastAsia"/>
                <w:color w:val="auto"/>
              </w:rPr>
              <w:t>材料</w:t>
            </w:r>
          </w:p>
        </w:tc>
        <w:tc>
          <w:tcPr>
            <w:tcW w:w="1625" w:type="dxa"/>
            <w:vAlign w:val="center"/>
          </w:tcPr>
          <w:p>
            <w:pPr>
              <w:widowControl w:val="0"/>
              <w:jc w:val="right"/>
              <w:rPr>
                <w:szCs w:val="21"/>
              </w:rPr>
            </w:pPr>
            <w:r>
              <w:rPr>
                <w:rFonts w:hint="eastAsia"/>
                <w:color w:val="auto"/>
              </w:rPr>
              <w:t>539,442,853.67</w:t>
            </w:r>
          </w:p>
        </w:tc>
        <w:tc>
          <w:tcPr>
            <w:tcW w:w="899" w:type="dxa"/>
            <w:vAlign w:val="center"/>
          </w:tcPr>
          <w:p>
            <w:pPr>
              <w:widowControl w:val="0"/>
              <w:jc w:val="right"/>
              <w:rPr>
                <w:szCs w:val="21"/>
              </w:rPr>
            </w:pPr>
            <w:r>
              <w:rPr>
                <w:rFonts w:hint="eastAsia"/>
                <w:color w:val="auto"/>
              </w:rPr>
              <w:t>61.48</w:t>
            </w:r>
          </w:p>
        </w:tc>
        <w:tc>
          <w:tcPr>
            <w:tcW w:w="1719" w:type="dxa"/>
            <w:vAlign w:val="center"/>
          </w:tcPr>
          <w:p>
            <w:pPr>
              <w:widowControl w:val="0"/>
              <w:jc w:val="right"/>
              <w:rPr>
                <w:szCs w:val="21"/>
              </w:rPr>
            </w:pPr>
            <w:r>
              <w:rPr>
                <w:rFonts w:hint="eastAsia"/>
                <w:color w:val="auto"/>
              </w:rPr>
              <w:t>557,693,926.59</w:t>
            </w:r>
          </w:p>
        </w:tc>
        <w:tc>
          <w:tcPr>
            <w:tcW w:w="1058" w:type="dxa"/>
            <w:vAlign w:val="center"/>
          </w:tcPr>
          <w:p>
            <w:pPr>
              <w:widowControl w:val="0"/>
              <w:jc w:val="right"/>
              <w:rPr>
                <w:szCs w:val="21"/>
              </w:rPr>
            </w:pPr>
            <w:r>
              <w:rPr>
                <w:rFonts w:hint="eastAsia"/>
                <w:color w:val="auto"/>
              </w:rPr>
              <w:t>64.10</w:t>
            </w:r>
          </w:p>
        </w:tc>
        <w:tc>
          <w:tcPr>
            <w:tcW w:w="873" w:type="dxa"/>
            <w:vAlign w:val="center"/>
          </w:tcPr>
          <w:p>
            <w:pPr>
              <w:widowControl w:val="0"/>
              <w:jc w:val="right"/>
              <w:rPr>
                <w:szCs w:val="21"/>
              </w:rPr>
            </w:pPr>
            <w:r>
              <w:rPr>
                <w:rFonts w:hint="eastAsia"/>
                <w:color w:val="auto"/>
              </w:rPr>
              <w:t>-3.27</w:t>
            </w:r>
          </w:p>
        </w:tc>
        <w:tc>
          <w:tcPr>
            <w:tcW w:w="669" w:type="dxa"/>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continue"/>
            <w:vAlign w:val="center"/>
          </w:tcPr>
          <w:p>
            <w:pPr>
              <w:widowControl w:val="0"/>
              <w:jc w:val="both"/>
              <w:rPr>
                <w:szCs w:val="21"/>
              </w:rPr>
            </w:pPr>
          </w:p>
        </w:tc>
        <w:tc>
          <w:tcPr>
            <w:tcW w:w="1255" w:type="dxa"/>
            <w:vAlign w:val="center"/>
          </w:tcPr>
          <w:p>
            <w:pPr>
              <w:widowControl w:val="0"/>
              <w:jc w:val="both"/>
              <w:rPr>
                <w:szCs w:val="21"/>
              </w:rPr>
            </w:pPr>
            <w:r>
              <w:rPr>
                <w:rFonts w:hint="eastAsia"/>
                <w:color w:val="auto"/>
              </w:rPr>
              <w:t>人工</w:t>
            </w:r>
          </w:p>
        </w:tc>
        <w:tc>
          <w:tcPr>
            <w:tcW w:w="1625" w:type="dxa"/>
            <w:vAlign w:val="center"/>
          </w:tcPr>
          <w:p>
            <w:pPr>
              <w:widowControl w:val="0"/>
              <w:jc w:val="right"/>
              <w:rPr>
                <w:szCs w:val="21"/>
              </w:rPr>
            </w:pPr>
            <w:r>
              <w:rPr>
                <w:rFonts w:hint="eastAsia"/>
                <w:color w:val="auto"/>
              </w:rPr>
              <w:t>68,221,252.96</w:t>
            </w:r>
          </w:p>
        </w:tc>
        <w:tc>
          <w:tcPr>
            <w:tcW w:w="899" w:type="dxa"/>
            <w:vAlign w:val="center"/>
          </w:tcPr>
          <w:p>
            <w:pPr>
              <w:widowControl w:val="0"/>
              <w:jc w:val="right"/>
              <w:rPr>
                <w:szCs w:val="21"/>
              </w:rPr>
            </w:pPr>
            <w:r>
              <w:rPr>
                <w:rFonts w:hint="eastAsia"/>
                <w:color w:val="auto"/>
              </w:rPr>
              <w:t>7.77</w:t>
            </w:r>
          </w:p>
        </w:tc>
        <w:tc>
          <w:tcPr>
            <w:tcW w:w="1719" w:type="dxa"/>
            <w:vAlign w:val="center"/>
          </w:tcPr>
          <w:p>
            <w:pPr>
              <w:widowControl w:val="0"/>
              <w:jc w:val="right"/>
              <w:rPr>
                <w:szCs w:val="21"/>
              </w:rPr>
            </w:pPr>
            <w:r>
              <w:rPr>
                <w:rFonts w:hint="eastAsia"/>
                <w:color w:val="auto"/>
              </w:rPr>
              <w:t>65,979,819.24</w:t>
            </w:r>
          </w:p>
        </w:tc>
        <w:tc>
          <w:tcPr>
            <w:tcW w:w="1058" w:type="dxa"/>
            <w:vAlign w:val="center"/>
          </w:tcPr>
          <w:p>
            <w:pPr>
              <w:widowControl w:val="0"/>
              <w:jc w:val="right"/>
              <w:rPr>
                <w:szCs w:val="21"/>
              </w:rPr>
            </w:pPr>
            <w:r>
              <w:rPr>
                <w:rFonts w:hint="eastAsia"/>
                <w:color w:val="auto"/>
              </w:rPr>
              <w:t>7.58</w:t>
            </w:r>
          </w:p>
        </w:tc>
        <w:tc>
          <w:tcPr>
            <w:tcW w:w="873" w:type="dxa"/>
            <w:vAlign w:val="center"/>
          </w:tcPr>
          <w:p>
            <w:pPr>
              <w:widowControl w:val="0"/>
              <w:jc w:val="right"/>
              <w:rPr>
                <w:szCs w:val="21"/>
              </w:rPr>
            </w:pPr>
            <w:r>
              <w:rPr>
                <w:rFonts w:hint="eastAsia"/>
                <w:color w:val="auto"/>
              </w:rPr>
              <w:t>3.40</w:t>
            </w:r>
          </w:p>
        </w:tc>
        <w:tc>
          <w:tcPr>
            <w:tcW w:w="669" w:type="dxa"/>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continue"/>
            <w:vAlign w:val="center"/>
          </w:tcPr>
          <w:p>
            <w:pPr>
              <w:widowControl w:val="0"/>
              <w:jc w:val="both"/>
              <w:rPr>
                <w:szCs w:val="21"/>
              </w:rPr>
            </w:pPr>
          </w:p>
        </w:tc>
        <w:tc>
          <w:tcPr>
            <w:tcW w:w="1255" w:type="dxa"/>
            <w:vAlign w:val="center"/>
          </w:tcPr>
          <w:p>
            <w:pPr>
              <w:widowControl w:val="0"/>
              <w:jc w:val="both"/>
              <w:rPr>
                <w:szCs w:val="21"/>
              </w:rPr>
            </w:pPr>
            <w:r>
              <w:rPr>
                <w:rFonts w:hint="eastAsia"/>
                <w:color w:val="auto"/>
              </w:rPr>
              <w:t>燃料动力</w:t>
            </w:r>
          </w:p>
        </w:tc>
        <w:tc>
          <w:tcPr>
            <w:tcW w:w="1625" w:type="dxa"/>
            <w:vAlign w:val="center"/>
          </w:tcPr>
          <w:p>
            <w:pPr>
              <w:widowControl w:val="0"/>
              <w:jc w:val="right"/>
              <w:rPr>
                <w:szCs w:val="21"/>
              </w:rPr>
            </w:pPr>
            <w:r>
              <w:rPr>
                <w:rFonts w:hint="eastAsia"/>
                <w:color w:val="auto"/>
              </w:rPr>
              <w:t>17,344,235.55</w:t>
            </w:r>
          </w:p>
        </w:tc>
        <w:tc>
          <w:tcPr>
            <w:tcW w:w="899" w:type="dxa"/>
            <w:vAlign w:val="center"/>
          </w:tcPr>
          <w:p>
            <w:pPr>
              <w:widowControl w:val="0"/>
              <w:jc w:val="right"/>
              <w:rPr>
                <w:szCs w:val="21"/>
              </w:rPr>
            </w:pPr>
            <w:r>
              <w:rPr>
                <w:rFonts w:hint="eastAsia"/>
                <w:color w:val="auto"/>
              </w:rPr>
              <w:t>1.98</w:t>
            </w:r>
          </w:p>
        </w:tc>
        <w:tc>
          <w:tcPr>
            <w:tcW w:w="1719" w:type="dxa"/>
            <w:vAlign w:val="center"/>
          </w:tcPr>
          <w:p>
            <w:pPr>
              <w:widowControl w:val="0"/>
              <w:jc w:val="right"/>
              <w:rPr>
                <w:szCs w:val="21"/>
              </w:rPr>
            </w:pPr>
            <w:r>
              <w:rPr>
                <w:rFonts w:hint="eastAsia"/>
                <w:color w:val="auto"/>
              </w:rPr>
              <w:t>17,944,048.39</w:t>
            </w:r>
          </w:p>
        </w:tc>
        <w:tc>
          <w:tcPr>
            <w:tcW w:w="1058" w:type="dxa"/>
            <w:vAlign w:val="center"/>
          </w:tcPr>
          <w:p>
            <w:pPr>
              <w:widowControl w:val="0"/>
              <w:jc w:val="right"/>
              <w:rPr>
                <w:szCs w:val="21"/>
              </w:rPr>
            </w:pPr>
            <w:r>
              <w:rPr>
                <w:rFonts w:hint="eastAsia"/>
                <w:color w:val="auto"/>
              </w:rPr>
              <w:t>2.06</w:t>
            </w:r>
          </w:p>
        </w:tc>
        <w:tc>
          <w:tcPr>
            <w:tcW w:w="873" w:type="dxa"/>
            <w:vAlign w:val="center"/>
          </w:tcPr>
          <w:p>
            <w:pPr>
              <w:widowControl w:val="0"/>
              <w:jc w:val="right"/>
              <w:rPr>
                <w:szCs w:val="21"/>
              </w:rPr>
            </w:pPr>
            <w:r>
              <w:rPr>
                <w:rFonts w:hint="eastAsia"/>
                <w:color w:val="auto"/>
              </w:rPr>
              <w:t>-3.34</w:t>
            </w:r>
          </w:p>
        </w:tc>
        <w:tc>
          <w:tcPr>
            <w:tcW w:w="669" w:type="dxa"/>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continue"/>
            <w:vAlign w:val="center"/>
          </w:tcPr>
          <w:p>
            <w:pPr>
              <w:widowControl w:val="0"/>
              <w:jc w:val="both"/>
              <w:rPr>
                <w:szCs w:val="21"/>
              </w:rPr>
            </w:pPr>
          </w:p>
        </w:tc>
        <w:tc>
          <w:tcPr>
            <w:tcW w:w="1255" w:type="dxa"/>
            <w:vAlign w:val="center"/>
          </w:tcPr>
          <w:p>
            <w:pPr>
              <w:widowControl w:val="0"/>
              <w:jc w:val="both"/>
              <w:rPr>
                <w:szCs w:val="21"/>
              </w:rPr>
            </w:pPr>
            <w:r>
              <w:rPr>
                <w:rFonts w:hint="eastAsia"/>
                <w:color w:val="auto"/>
              </w:rPr>
              <w:t>制造费用</w:t>
            </w:r>
          </w:p>
        </w:tc>
        <w:tc>
          <w:tcPr>
            <w:tcW w:w="1625" w:type="dxa"/>
            <w:vAlign w:val="center"/>
          </w:tcPr>
          <w:p>
            <w:pPr>
              <w:widowControl w:val="0"/>
              <w:jc w:val="right"/>
              <w:rPr>
                <w:szCs w:val="21"/>
              </w:rPr>
            </w:pPr>
            <w:r>
              <w:rPr>
                <w:rFonts w:hint="eastAsia"/>
                <w:color w:val="auto"/>
              </w:rPr>
              <w:t>39,603,424.52</w:t>
            </w:r>
          </w:p>
        </w:tc>
        <w:tc>
          <w:tcPr>
            <w:tcW w:w="899" w:type="dxa"/>
            <w:vAlign w:val="center"/>
          </w:tcPr>
          <w:p>
            <w:pPr>
              <w:widowControl w:val="0"/>
              <w:jc w:val="right"/>
              <w:rPr>
                <w:szCs w:val="21"/>
              </w:rPr>
            </w:pPr>
            <w:r>
              <w:rPr>
                <w:rFonts w:hint="eastAsia"/>
                <w:color w:val="auto"/>
              </w:rPr>
              <w:t>4.51</w:t>
            </w:r>
          </w:p>
        </w:tc>
        <w:tc>
          <w:tcPr>
            <w:tcW w:w="1719" w:type="dxa"/>
            <w:vAlign w:val="center"/>
          </w:tcPr>
          <w:p>
            <w:pPr>
              <w:widowControl w:val="0"/>
              <w:jc w:val="right"/>
              <w:rPr>
                <w:szCs w:val="21"/>
              </w:rPr>
            </w:pPr>
            <w:r>
              <w:rPr>
                <w:rFonts w:hint="eastAsia"/>
                <w:color w:val="auto"/>
              </w:rPr>
              <w:t>37,929,184.85</w:t>
            </w:r>
          </w:p>
        </w:tc>
        <w:tc>
          <w:tcPr>
            <w:tcW w:w="1058" w:type="dxa"/>
            <w:vAlign w:val="center"/>
          </w:tcPr>
          <w:p>
            <w:pPr>
              <w:widowControl w:val="0"/>
              <w:jc w:val="right"/>
              <w:rPr>
                <w:szCs w:val="21"/>
              </w:rPr>
            </w:pPr>
            <w:r>
              <w:rPr>
                <w:rFonts w:hint="eastAsia"/>
                <w:color w:val="auto"/>
              </w:rPr>
              <w:t>4.36</w:t>
            </w:r>
          </w:p>
        </w:tc>
        <w:tc>
          <w:tcPr>
            <w:tcW w:w="873" w:type="dxa"/>
            <w:vAlign w:val="center"/>
          </w:tcPr>
          <w:p>
            <w:pPr>
              <w:widowControl w:val="0"/>
              <w:jc w:val="right"/>
              <w:rPr>
                <w:szCs w:val="21"/>
              </w:rPr>
            </w:pPr>
            <w:r>
              <w:rPr>
                <w:rFonts w:hint="eastAsia"/>
                <w:color w:val="auto"/>
              </w:rPr>
              <w:t>4.41</w:t>
            </w:r>
          </w:p>
        </w:tc>
        <w:tc>
          <w:tcPr>
            <w:tcW w:w="669" w:type="dxa"/>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continue"/>
            <w:vAlign w:val="center"/>
          </w:tcPr>
          <w:p>
            <w:pPr>
              <w:widowControl w:val="0"/>
              <w:jc w:val="both"/>
              <w:rPr>
                <w:szCs w:val="21"/>
              </w:rPr>
            </w:pPr>
          </w:p>
        </w:tc>
        <w:tc>
          <w:tcPr>
            <w:tcW w:w="1255" w:type="dxa"/>
            <w:vAlign w:val="center"/>
          </w:tcPr>
          <w:p>
            <w:pPr>
              <w:widowControl w:val="0"/>
              <w:jc w:val="both"/>
              <w:rPr>
                <w:szCs w:val="21"/>
              </w:rPr>
            </w:pPr>
            <w:r>
              <w:rPr>
                <w:rFonts w:hint="eastAsia"/>
                <w:color w:val="auto"/>
              </w:rPr>
              <w:t>运输费用</w:t>
            </w:r>
          </w:p>
        </w:tc>
        <w:tc>
          <w:tcPr>
            <w:tcW w:w="1625" w:type="dxa"/>
            <w:vAlign w:val="center"/>
          </w:tcPr>
          <w:p>
            <w:pPr>
              <w:widowControl w:val="0"/>
              <w:jc w:val="right"/>
              <w:rPr>
                <w:szCs w:val="21"/>
              </w:rPr>
            </w:pPr>
            <w:r>
              <w:rPr>
                <w:rFonts w:hint="eastAsia"/>
                <w:color w:val="auto"/>
              </w:rPr>
              <w:t>44,934,382.80</w:t>
            </w:r>
          </w:p>
        </w:tc>
        <w:tc>
          <w:tcPr>
            <w:tcW w:w="899" w:type="dxa"/>
            <w:vAlign w:val="center"/>
          </w:tcPr>
          <w:p>
            <w:pPr>
              <w:widowControl w:val="0"/>
              <w:jc w:val="right"/>
              <w:rPr>
                <w:szCs w:val="21"/>
              </w:rPr>
            </w:pPr>
            <w:r>
              <w:rPr>
                <w:rFonts w:hint="eastAsia"/>
                <w:color w:val="auto"/>
              </w:rPr>
              <w:t>5.12</w:t>
            </w:r>
          </w:p>
        </w:tc>
        <w:tc>
          <w:tcPr>
            <w:tcW w:w="1719" w:type="dxa"/>
            <w:vAlign w:val="center"/>
          </w:tcPr>
          <w:p>
            <w:pPr>
              <w:widowControl w:val="0"/>
              <w:jc w:val="right"/>
              <w:rPr>
                <w:szCs w:val="21"/>
              </w:rPr>
            </w:pPr>
            <w:r>
              <w:rPr>
                <w:rFonts w:hint="eastAsia"/>
                <w:color w:val="auto"/>
              </w:rPr>
              <w:t>41,237,777.38</w:t>
            </w:r>
          </w:p>
        </w:tc>
        <w:tc>
          <w:tcPr>
            <w:tcW w:w="1058" w:type="dxa"/>
            <w:vAlign w:val="center"/>
          </w:tcPr>
          <w:p>
            <w:pPr>
              <w:widowControl w:val="0"/>
              <w:jc w:val="right"/>
              <w:rPr>
                <w:szCs w:val="21"/>
              </w:rPr>
            </w:pPr>
            <w:r>
              <w:rPr>
                <w:rFonts w:hint="eastAsia"/>
                <w:color w:val="auto"/>
              </w:rPr>
              <w:t>4.74</w:t>
            </w:r>
          </w:p>
        </w:tc>
        <w:tc>
          <w:tcPr>
            <w:tcW w:w="873" w:type="dxa"/>
            <w:vAlign w:val="center"/>
          </w:tcPr>
          <w:p>
            <w:pPr>
              <w:widowControl w:val="0"/>
              <w:jc w:val="right"/>
              <w:rPr>
                <w:szCs w:val="21"/>
              </w:rPr>
            </w:pPr>
            <w:r>
              <w:rPr>
                <w:rFonts w:hint="eastAsia"/>
                <w:color w:val="auto"/>
              </w:rPr>
              <w:t>8.96</w:t>
            </w:r>
          </w:p>
        </w:tc>
        <w:tc>
          <w:tcPr>
            <w:tcW w:w="669" w:type="dxa"/>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continue"/>
            <w:vAlign w:val="center"/>
          </w:tcPr>
          <w:p>
            <w:pPr>
              <w:widowControl w:val="0"/>
              <w:jc w:val="both"/>
              <w:rPr>
                <w:szCs w:val="21"/>
              </w:rPr>
            </w:pPr>
          </w:p>
        </w:tc>
        <w:tc>
          <w:tcPr>
            <w:tcW w:w="1255" w:type="dxa"/>
            <w:vAlign w:val="center"/>
          </w:tcPr>
          <w:p>
            <w:pPr>
              <w:widowControl w:val="0"/>
              <w:jc w:val="both"/>
              <w:rPr>
                <w:szCs w:val="21"/>
              </w:rPr>
            </w:pPr>
            <w:r>
              <w:rPr>
                <w:rFonts w:hint="eastAsia"/>
                <w:color w:val="auto"/>
              </w:rPr>
              <w:t>外购产品采购成本</w:t>
            </w:r>
          </w:p>
        </w:tc>
        <w:tc>
          <w:tcPr>
            <w:tcW w:w="1625" w:type="dxa"/>
            <w:vAlign w:val="center"/>
          </w:tcPr>
          <w:p>
            <w:pPr>
              <w:widowControl w:val="0"/>
              <w:jc w:val="right"/>
              <w:rPr>
                <w:szCs w:val="21"/>
              </w:rPr>
            </w:pPr>
            <w:r>
              <w:rPr>
                <w:rFonts w:hint="eastAsia"/>
                <w:color w:val="auto"/>
              </w:rPr>
              <w:t>157,084,018.91</w:t>
            </w:r>
          </w:p>
        </w:tc>
        <w:tc>
          <w:tcPr>
            <w:tcW w:w="899" w:type="dxa"/>
            <w:vAlign w:val="center"/>
          </w:tcPr>
          <w:p>
            <w:pPr>
              <w:widowControl w:val="0"/>
              <w:jc w:val="right"/>
              <w:rPr>
                <w:szCs w:val="21"/>
              </w:rPr>
            </w:pPr>
            <w:r>
              <w:rPr>
                <w:rFonts w:hint="eastAsia"/>
                <w:color w:val="auto"/>
              </w:rPr>
              <w:t>17.90</w:t>
            </w:r>
          </w:p>
        </w:tc>
        <w:tc>
          <w:tcPr>
            <w:tcW w:w="1719" w:type="dxa"/>
            <w:vAlign w:val="center"/>
          </w:tcPr>
          <w:p>
            <w:pPr>
              <w:widowControl w:val="0"/>
              <w:jc w:val="right"/>
              <w:rPr>
                <w:szCs w:val="21"/>
              </w:rPr>
            </w:pPr>
            <w:r>
              <w:rPr>
                <w:rFonts w:hint="eastAsia"/>
                <w:color w:val="auto"/>
              </w:rPr>
              <w:t>141,919,314.92</w:t>
            </w:r>
          </w:p>
        </w:tc>
        <w:tc>
          <w:tcPr>
            <w:tcW w:w="1058" w:type="dxa"/>
            <w:vAlign w:val="center"/>
          </w:tcPr>
          <w:p>
            <w:pPr>
              <w:widowControl w:val="0"/>
              <w:jc w:val="right"/>
              <w:rPr>
                <w:szCs w:val="21"/>
              </w:rPr>
            </w:pPr>
            <w:r>
              <w:rPr>
                <w:rFonts w:hint="eastAsia"/>
                <w:color w:val="auto"/>
              </w:rPr>
              <w:t>16.31</w:t>
            </w:r>
          </w:p>
        </w:tc>
        <w:tc>
          <w:tcPr>
            <w:tcW w:w="873" w:type="dxa"/>
            <w:vAlign w:val="center"/>
          </w:tcPr>
          <w:p>
            <w:pPr>
              <w:widowControl w:val="0"/>
              <w:jc w:val="right"/>
              <w:rPr>
                <w:szCs w:val="21"/>
              </w:rPr>
            </w:pPr>
            <w:r>
              <w:rPr>
                <w:rFonts w:hint="eastAsia"/>
                <w:color w:val="auto"/>
              </w:rPr>
              <w:t>10.69</w:t>
            </w:r>
          </w:p>
        </w:tc>
        <w:tc>
          <w:tcPr>
            <w:tcW w:w="669" w:type="dxa"/>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continue"/>
            <w:vAlign w:val="center"/>
          </w:tcPr>
          <w:p>
            <w:pPr>
              <w:widowControl w:val="0"/>
              <w:jc w:val="both"/>
              <w:rPr>
                <w:szCs w:val="21"/>
              </w:rPr>
            </w:pPr>
          </w:p>
        </w:tc>
        <w:tc>
          <w:tcPr>
            <w:tcW w:w="1255" w:type="dxa"/>
            <w:vAlign w:val="center"/>
          </w:tcPr>
          <w:p>
            <w:pPr>
              <w:widowControl w:val="0"/>
              <w:jc w:val="both"/>
              <w:rPr>
                <w:szCs w:val="21"/>
              </w:rPr>
            </w:pPr>
            <w:r>
              <w:rPr>
                <w:rFonts w:hint="eastAsia"/>
                <w:color w:val="auto"/>
              </w:rPr>
              <w:t>工业成本小计</w:t>
            </w:r>
          </w:p>
        </w:tc>
        <w:tc>
          <w:tcPr>
            <w:tcW w:w="1625" w:type="dxa"/>
            <w:vAlign w:val="center"/>
          </w:tcPr>
          <w:p>
            <w:pPr>
              <w:widowControl w:val="0"/>
              <w:jc w:val="right"/>
              <w:rPr>
                <w:szCs w:val="21"/>
              </w:rPr>
            </w:pPr>
            <w:r>
              <w:rPr>
                <w:rFonts w:hint="eastAsia"/>
                <w:color w:val="auto"/>
              </w:rPr>
              <w:t>866,630,168.41</w:t>
            </w:r>
          </w:p>
        </w:tc>
        <w:tc>
          <w:tcPr>
            <w:tcW w:w="899" w:type="dxa"/>
            <w:vAlign w:val="center"/>
          </w:tcPr>
          <w:p>
            <w:pPr>
              <w:widowControl w:val="0"/>
              <w:jc w:val="right"/>
              <w:rPr>
                <w:szCs w:val="21"/>
              </w:rPr>
            </w:pPr>
            <w:r>
              <w:rPr>
                <w:rFonts w:hint="eastAsia"/>
                <w:color w:val="auto"/>
              </w:rPr>
              <w:t>98.77</w:t>
            </w:r>
          </w:p>
        </w:tc>
        <w:tc>
          <w:tcPr>
            <w:tcW w:w="1719" w:type="dxa"/>
            <w:vAlign w:val="center"/>
          </w:tcPr>
          <w:p>
            <w:pPr>
              <w:widowControl w:val="0"/>
              <w:jc w:val="right"/>
              <w:rPr>
                <w:szCs w:val="21"/>
              </w:rPr>
            </w:pPr>
            <w:r>
              <w:rPr>
                <w:rFonts w:hint="eastAsia"/>
                <w:color w:val="auto"/>
              </w:rPr>
              <w:t>862,704,071.37</w:t>
            </w:r>
          </w:p>
        </w:tc>
        <w:tc>
          <w:tcPr>
            <w:tcW w:w="1058" w:type="dxa"/>
            <w:vAlign w:val="center"/>
          </w:tcPr>
          <w:p>
            <w:pPr>
              <w:widowControl w:val="0"/>
              <w:jc w:val="right"/>
              <w:rPr>
                <w:szCs w:val="21"/>
              </w:rPr>
            </w:pPr>
            <w:r>
              <w:rPr>
                <w:rFonts w:hint="eastAsia"/>
                <w:color w:val="auto"/>
              </w:rPr>
              <w:t>99.16</w:t>
            </w:r>
          </w:p>
        </w:tc>
        <w:tc>
          <w:tcPr>
            <w:tcW w:w="873" w:type="dxa"/>
            <w:vAlign w:val="center"/>
          </w:tcPr>
          <w:p>
            <w:pPr>
              <w:widowControl w:val="0"/>
              <w:jc w:val="right"/>
              <w:rPr>
                <w:szCs w:val="21"/>
              </w:rPr>
            </w:pPr>
            <w:r>
              <w:rPr>
                <w:rFonts w:hint="eastAsia"/>
                <w:color w:val="auto"/>
              </w:rPr>
              <w:t>0.46</w:t>
            </w:r>
          </w:p>
        </w:tc>
        <w:tc>
          <w:tcPr>
            <w:tcW w:w="669" w:type="dxa"/>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Align w:val="center"/>
          </w:tcPr>
          <w:p>
            <w:pPr>
              <w:widowControl w:val="0"/>
              <w:jc w:val="both"/>
              <w:rPr>
                <w:szCs w:val="21"/>
              </w:rPr>
            </w:pPr>
            <w:r>
              <w:rPr>
                <w:rFonts w:hint="eastAsia"/>
                <w:color w:val="auto"/>
              </w:rPr>
              <w:t>商业贸易</w:t>
            </w:r>
          </w:p>
        </w:tc>
        <w:tc>
          <w:tcPr>
            <w:tcW w:w="1255" w:type="dxa"/>
            <w:vAlign w:val="center"/>
          </w:tcPr>
          <w:p>
            <w:pPr>
              <w:widowControl w:val="0"/>
              <w:jc w:val="both"/>
              <w:rPr>
                <w:szCs w:val="21"/>
              </w:rPr>
            </w:pPr>
            <w:r>
              <w:rPr>
                <w:rFonts w:hint="eastAsia"/>
                <w:color w:val="auto"/>
              </w:rPr>
              <w:t>商业贸易成本</w:t>
            </w:r>
          </w:p>
        </w:tc>
        <w:tc>
          <w:tcPr>
            <w:tcW w:w="1625" w:type="dxa"/>
            <w:vAlign w:val="center"/>
          </w:tcPr>
          <w:p>
            <w:pPr>
              <w:widowControl w:val="0"/>
              <w:jc w:val="right"/>
              <w:rPr>
                <w:szCs w:val="21"/>
              </w:rPr>
            </w:pPr>
            <w:r>
              <w:rPr>
                <w:rFonts w:hint="eastAsia"/>
                <w:color w:val="auto"/>
              </w:rPr>
              <w:t>10,824,642.37</w:t>
            </w:r>
          </w:p>
        </w:tc>
        <w:tc>
          <w:tcPr>
            <w:tcW w:w="899" w:type="dxa"/>
            <w:vAlign w:val="center"/>
          </w:tcPr>
          <w:p>
            <w:pPr>
              <w:widowControl w:val="0"/>
              <w:jc w:val="right"/>
              <w:rPr>
                <w:szCs w:val="21"/>
              </w:rPr>
            </w:pPr>
            <w:r>
              <w:rPr>
                <w:rFonts w:hint="eastAsia"/>
                <w:color w:val="auto"/>
              </w:rPr>
              <w:t>1.23</w:t>
            </w:r>
          </w:p>
        </w:tc>
        <w:tc>
          <w:tcPr>
            <w:tcW w:w="1719" w:type="dxa"/>
            <w:vAlign w:val="center"/>
          </w:tcPr>
          <w:p>
            <w:pPr>
              <w:widowControl w:val="0"/>
              <w:jc w:val="right"/>
              <w:rPr>
                <w:szCs w:val="21"/>
              </w:rPr>
            </w:pPr>
            <w:r>
              <w:rPr>
                <w:rFonts w:hint="eastAsia"/>
                <w:color w:val="auto"/>
              </w:rPr>
              <w:t>7,299,163.28</w:t>
            </w:r>
          </w:p>
        </w:tc>
        <w:tc>
          <w:tcPr>
            <w:tcW w:w="1058" w:type="dxa"/>
            <w:vAlign w:val="center"/>
          </w:tcPr>
          <w:p>
            <w:pPr>
              <w:widowControl w:val="0"/>
              <w:jc w:val="right"/>
              <w:rPr>
                <w:szCs w:val="21"/>
              </w:rPr>
            </w:pPr>
            <w:r>
              <w:rPr>
                <w:rFonts w:hint="eastAsia"/>
                <w:color w:val="auto"/>
              </w:rPr>
              <w:t>0.84</w:t>
            </w:r>
          </w:p>
        </w:tc>
        <w:tc>
          <w:tcPr>
            <w:tcW w:w="873" w:type="dxa"/>
            <w:vAlign w:val="center"/>
          </w:tcPr>
          <w:p>
            <w:pPr>
              <w:widowControl w:val="0"/>
              <w:jc w:val="right"/>
              <w:rPr>
                <w:szCs w:val="21"/>
              </w:rPr>
            </w:pPr>
            <w:r>
              <w:rPr>
                <w:rFonts w:hint="eastAsia"/>
                <w:color w:val="auto"/>
              </w:rPr>
              <w:t>48.30</w:t>
            </w:r>
          </w:p>
        </w:tc>
        <w:tc>
          <w:tcPr>
            <w:tcW w:w="669" w:type="dxa"/>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Align w:val="center"/>
          </w:tcPr>
          <w:p>
            <w:pPr>
              <w:widowControl w:val="0"/>
              <w:jc w:val="both"/>
              <w:rPr>
                <w:szCs w:val="21"/>
              </w:rPr>
            </w:pPr>
            <w:r>
              <w:rPr>
                <w:rFonts w:hint="eastAsia"/>
                <w:color w:val="auto"/>
              </w:rPr>
              <w:t>合计</w:t>
            </w:r>
          </w:p>
        </w:tc>
        <w:tc>
          <w:tcPr>
            <w:tcW w:w="1255" w:type="dxa"/>
            <w:vAlign w:val="center"/>
          </w:tcPr>
          <w:p>
            <w:pPr>
              <w:widowControl w:val="0"/>
              <w:jc w:val="both"/>
              <w:rPr>
                <w:szCs w:val="21"/>
              </w:rPr>
            </w:pPr>
            <w:r>
              <w:rPr>
                <w:rFonts w:hint="eastAsia"/>
                <w:color w:val="auto"/>
              </w:rPr>
              <w:t>/</w:t>
            </w:r>
          </w:p>
        </w:tc>
        <w:tc>
          <w:tcPr>
            <w:tcW w:w="1625" w:type="dxa"/>
            <w:vAlign w:val="center"/>
          </w:tcPr>
          <w:p>
            <w:pPr>
              <w:widowControl w:val="0"/>
              <w:jc w:val="right"/>
              <w:rPr>
                <w:szCs w:val="21"/>
              </w:rPr>
            </w:pPr>
            <w:r>
              <w:rPr>
                <w:rFonts w:hint="eastAsia"/>
                <w:color w:val="auto"/>
              </w:rPr>
              <w:t>877,454,810.78</w:t>
            </w:r>
          </w:p>
        </w:tc>
        <w:tc>
          <w:tcPr>
            <w:tcW w:w="899" w:type="dxa"/>
            <w:vAlign w:val="center"/>
          </w:tcPr>
          <w:p>
            <w:pPr>
              <w:widowControl w:val="0"/>
              <w:jc w:val="right"/>
              <w:rPr>
                <w:szCs w:val="21"/>
              </w:rPr>
            </w:pPr>
            <w:r>
              <w:rPr>
                <w:rFonts w:hint="eastAsia"/>
                <w:color w:val="auto"/>
              </w:rPr>
              <w:t>100.00</w:t>
            </w:r>
          </w:p>
        </w:tc>
        <w:tc>
          <w:tcPr>
            <w:tcW w:w="1719" w:type="dxa"/>
            <w:vAlign w:val="center"/>
          </w:tcPr>
          <w:p>
            <w:pPr>
              <w:widowControl w:val="0"/>
              <w:jc w:val="right"/>
              <w:rPr>
                <w:szCs w:val="21"/>
              </w:rPr>
            </w:pPr>
            <w:r>
              <w:rPr>
                <w:rFonts w:hint="eastAsia"/>
                <w:color w:val="auto"/>
              </w:rPr>
              <w:t>870,003,234.65</w:t>
            </w:r>
          </w:p>
        </w:tc>
        <w:tc>
          <w:tcPr>
            <w:tcW w:w="1058" w:type="dxa"/>
            <w:vAlign w:val="center"/>
          </w:tcPr>
          <w:p>
            <w:pPr>
              <w:widowControl w:val="0"/>
              <w:jc w:val="right"/>
              <w:rPr>
                <w:szCs w:val="21"/>
              </w:rPr>
            </w:pPr>
            <w:r>
              <w:rPr>
                <w:rFonts w:hint="eastAsia"/>
                <w:color w:val="auto"/>
              </w:rPr>
              <w:t>100.00</w:t>
            </w:r>
          </w:p>
        </w:tc>
        <w:tc>
          <w:tcPr>
            <w:tcW w:w="873" w:type="dxa"/>
            <w:vAlign w:val="center"/>
          </w:tcPr>
          <w:p>
            <w:pPr>
              <w:widowControl w:val="0"/>
              <w:jc w:val="right"/>
              <w:rPr>
                <w:szCs w:val="21"/>
              </w:rPr>
            </w:pPr>
            <w:r>
              <w:rPr>
                <w:rFonts w:hint="eastAsia"/>
                <w:color w:val="auto"/>
              </w:rPr>
              <w:t>0.86</w:t>
            </w:r>
          </w:p>
        </w:tc>
        <w:tc>
          <w:tcPr>
            <w:tcW w:w="669" w:type="dxa"/>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9334" w:type="dxa"/>
            <w:gridSpan w:val="8"/>
            <w:vAlign w:val="center"/>
          </w:tcPr>
          <w:sdt>
            <w:sdtPr>
              <w:tag w:val="_PLD_0092d9f33f1f4ccb96da6cc52c190e39"/>
              <w:id w:val="147451817"/>
            </w:sdtPr>
            <w:sdtContent>
              <w:p>
                <w:pPr>
                  <w:widowControl w:val="0"/>
                  <w:jc w:val="center"/>
                  <w:rPr>
                    <w:szCs w:val="21"/>
                  </w:rPr>
                </w:pPr>
                <w:r>
                  <w:rPr>
                    <w:szCs w:val="21"/>
                  </w:rPr>
                  <w:t>分产品情况</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236" w:type="dxa"/>
            <w:vAlign w:val="center"/>
          </w:tcPr>
          <w:sdt>
            <w:sdtPr>
              <w:tag w:val="_PLD_c196e3eb716a4b75bda8de0a1a1a5780"/>
              <w:id w:val="147459074"/>
            </w:sdtPr>
            <w:sdtContent>
              <w:p>
                <w:pPr>
                  <w:widowControl w:val="0"/>
                  <w:jc w:val="center"/>
                  <w:rPr>
                    <w:szCs w:val="21"/>
                  </w:rPr>
                </w:pPr>
                <w:r>
                  <w:rPr>
                    <w:szCs w:val="21"/>
                  </w:rPr>
                  <w:t>分</w:t>
                </w:r>
                <w:r>
                  <w:rPr>
                    <w:rFonts w:hint="eastAsia"/>
                    <w:szCs w:val="21"/>
                  </w:rPr>
                  <w:t>产品</w:t>
                </w:r>
              </w:p>
            </w:sdtContent>
          </w:sdt>
        </w:tc>
        <w:tc>
          <w:tcPr>
            <w:tcW w:w="1255" w:type="dxa"/>
            <w:vAlign w:val="center"/>
          </w:tcPr>
          <w:sdt>
            <w:sdtPr>
              <w:tag w:val="_PLD_9a4782df875a421fa22d5bb28b135494"/>
              <w:id w:val="147481069"/>
            </w:sdtPr>
            <w:sdtContent>
              <w:p>
                <w:pPr>
                  <w:widowControl w:val="0"/>
                  <w:jc w:val="center"/>
                  <w:rPr>
                    <w:szCs w:val="21"/>
                  </w:rPr>
                </w:pPr>
                <w:r>
                  <w:rPr>
                    <w:szCs w:val="21"/>
                  </w:rPr>
                  <w:t>成本构成项目</w:t>
                </w:r>
              </w:p>
            </w:sdtContent>
          </w:sdt>
        </w:tc>
        <w:tc>
          <w:tcPr>
            <w:tcW w:w="1625" w:type="dxa"/>
            <w:vAlign w:val="center"/>
          </w:tcPr>
          <w:sdt>
            <w:sdtPr>
              <w:tag w:val="_PLD_3ddf6750761e4cb5a3c10274752059ad"/>
              <w:id w:val="147463452"/>
            </w:sdtPr>
            <w:sdtContent>
              <w:p>
                <w:pPr>
                  <w:widowControl w:val="0"/>
                  <w:jc w:val="center"/>
                  <w:rPr>
                    <w:szCs w:val="21"/>
                  </w:rPr>
                </w:pPr>
                <w:r>
                  <w:rPr>
                    <w:szCs w:val="21"/>
                  </w:rPr>
                  <w:t>本期金额</w:t>
                </w:r>
              </w:p>
            </w:sdtContent>
          </w:sdt>
        </w:tc>
        <w:tc>
          <w:tcPr>
            <w:tcW w:w="899" w:type="dxa"/>
            <w:vAlign w:val="center"/>
          </w:tcPr>
          <w:sdt>
            <w:sdtPr>
              <w:tag w:val="_PLD_dcb03e51a739483781a7336e1a9b6c53"/>
              <w:id w:val="147471181"/>
            </w:sdtPr>
            <w:sdtContent>
              <w:p>
                <w:pPr>
                  <w:widowControl w:val="0"/>
                  <w:jc w:val="center"/>
                  <w:rPr>
                    <w:szCs w:val="21"/>
                  </w:rPr>
                </w:pPr>
                <w:r>
                  <w:rPr>
                    <w:szCs w:val="21"/>
                  </w:rPr>
                  <w:t>本期占总成本比例(</w:t>
                </w:r>
                <w:r>
                  <w:rPr>
                    <w:rFonts w:hint="eastAsia"/>
                    <w:szCs w:val="21"/>
                  </w:rPr>
                  <w:t>%</w:t>
                </w:r>
                <w:r>
                  <w:rPr>
                    <w:szCs w:val="21"/>
                  </w:rPr>
                  <w:t>)</w:t>
                </w:r>
              </w:p>
            </w:sdtContent>
          </w:sdt>
        </w:tc>
        <w:tc>
          <w:tcPr>
            <w:tcW w:w="1719" w:type="dxa"/>
            <w:vAlign w:val="center"/>
          </w:tcPr>
          <w:sdt>
            <w:sdtPr>
              <w:tag w:val="_PLD_fe6b2171d862410980857c00f504b451"/>
              <w:id w:val="147463628"/>
            </w:sdtPr>
            <w:sdtContent>
              <w:p>
                <w:pPr>
                  <w:widowControl w:val="0"/>
                  <w:jc w:val="center"/>
                  <w:rPr>
                    <w:szCs w:val="21"/>
                  </w:rPr>
                </w:pPr>
                <w:r>
                  <w:rPr>
                    <w:szCs w:val="21"/>
                  </w:rPr>
                  <w:t>上年同期金额</w:t>
                </w:r>
              </w:p>
            </w:sdtContent>
          </w:sdt>
        </w:tc>
        <w:tc>
          <w:tcPr>
            <w:tcW w:w="1058" w:type="dxa"/>
            <w:vAlign w:val="center"/>
          </w:tcPr>
          <w:sdt>
            <w:sdtPr>
              <w:tag w:val="_PLD_4cf5110e7be04df78012e249a0900292"/>
              <w:id w:val="147454501"/>
            </w:sdtPr>
            <w:sdtContent>
              <w:p>
                <w:pPr>
                  <w:widowControl w:val="0"/>
                  <w:jc w:val="center"/>
                  <w:rPr>
                    <w:szCs w:val="21"/>
                  </w:rPr>
                </w:pPr>
                <w:r>
                  <w:rPr>
                    <w:szCs w:val="21"/>
                  </w:rPr>
                  <w:t>上年同期占总成本比例(</w:t>
                </w:r>
                <w:r>
                  <w:rPr>
                    <w:rFonts w:hint="eastAsia"/>
                    <w:szCs w:val="21"/>
                  </w:rPr>
                  <w:t>%</w:t>
                </w:r>
                <w:r>
                  <w:rPr>
                    <w:szCs w:val="21"/>
                  </w:rPr>
                  <w:t>)</w:t>
                </w:r>
              </w:p>
            </w:sdtContent>
          </w:sdt>
        </w:tc>
        <w:tc>
          <w:tcPr>
            <w:tcW w:w="873" w:type="dxa"/>
            <w:vAlign w:val="center"/>
          </w:tcPr>
          <w:sdt>
            <w:sdtPr>
              <w:tag w:val="_PLD_efbc8491fdf34506bf7690ab3a8f6402"/>
              <w:id w:val="147482731"/>
            </w:sdtPr>
            <w:sdtContent>
              <w:p>
                <w:pPr>
                  <w:widowControl w:val="0"/>
                  <w:jc w:val="center"/>
                  <w:rPr>
                    <w:szCs w:val="21"/>
                  </w:rPr>
                </w:pPr>
                <w:r>
                  <w:rPr>
                    <w:szCs w:val="21"/>
                  </w:rPr>
                  <w:t>本期金额较上年同期变动比例(</w:t>
                </w:r>
                <w:r>
                  <w:rPr>
                    <w:rFonts w:hint="eastAsia"/>
                    <w:szCs w:val="21"/>
                  </w:rPr>
                  <w:t>%</w:t>
                </w:r>
                <w:r>
                  <w:rPr>
                    <w:szCs w:val="21"/>
                  </w:rPr>
                  <w:t>)</w:t>
                </w:r>
              </w:p>
            </w:sdtContent>
          </w:sdt>
        </w:tc>
        <w:tc>
          <w:tcPr>
            <w:tcW w:w="669" w:type="dxa"/>
            <w:vAlign w:val="center"/>
          </w:tcPr>
          <w:sdt>
            <w:sdtPr>
              <w:tag w:val="_PLD_b8e943b8220340c7810a554346594426"/>
              <w:id w:val="147466043"/>
            </w:sdtPr>
            <w:sdtContent>
              <w:p>
                <w:pPr>
                  <w:widowControl w:val="0"/>
                  <w:jc w:val="center"/>
                  <w:rPr>
                    <w:szCs w:val="21"/>
                  </w:rPr>
                </w:pPr>
                <w:r>
                  <w:rPr>
                    <w:szCs w:val="21"/>
                  </w:rPr>
                  <w:t>情况</w:t>
                </w:r>
              </w:p>
              <w:p>
                <w:pPr>
                  <w:widowControl w:val="0"/>
                  <w:jc w:val="center"/>
                  <w:rPr>
                    <w:szCs w:val="21"/>
                  </w:rPr>
                </w:pPr>
                <w:r>
                  <w:rPr>
                    <w:szCs w:val="21"/>
                  </w:rPr>
                  <w:t>说明</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restart"/>
            <w:tcBorders>
              <w:bottom w:val="single" w:color="auto" w:sz="4" w:space="0"/>
            </w:tcBorders>
            <w:vAlign w:val="center"/>
          </w:tcPr>
          <w:p>
            <w:pPr>
              <w:widowControl w:val="0"/>
              <w:jc w:val="both"/>
              <w:rPr>
                <w:szCs w:val="21"/>
              </w:rPr>
            </w:pPr>
            <w:r>
              <w:rPr>
                <w:rFonts w:hint="eastAsia"/>
                <w:color w:val="auto"/>
              </w:rPr>
              <w:t>日化产品</w:t>
            </w:r>
          </w:p>
        </w:tc>
        <w:tc>
          <w:tcPr>
            <w:tcW w:w="1255" w:type="dxa"/>
            <w:tcBorders>
              <w:bottom w:val="single" w:color="auto" w:sz="4" w:space="0"/>
            </w:tcBorders>
            <w:vAlign w:val="center"/>
          </w:tcPr>
          <w:p>
            <w:pPr>
              <w:widowControl w:val="0"/>
              <w:jc w:val="both"/>
              <w:rPr>
                <w:szCs w:val="21"/>
              </w:rPr>
            </w:pPr>
            <w:r>
              <w:rPr>
                <w:rFonts w:hint="eastAsia"/>
                <w:color w:val="auto"/>
              </w:rPr>
              <w:t>材料</w:t>
            </w:r>
          </w:p>
        </w:tc>
        <w:tc>
          <w:tcPr>
            <w:tcW w:w="1625" w:type="dxa"/>
            <w:tcBorders>
              <w:bottom w:val="single" w:color="auto" w:sz="4" w:space="0"/>
            </w:tcBorders>
            <w:vAlign w:val="center"/>
          </w:tcPr>
          <w:p>
            <w:pPr>
              <w:widowControl w:val="0"/>
              <w:jc w:val="right"/>
              <w:rPr>
                <w:szCs w:val="21"/>
              </w:rPr>
            </w:pPr>
            <w:r>
              <w:rPr>
                <w:rFonts w:hint="eastAsia"/>
                <w:color w:val="auto"/>
              </w:rPr>
              <w:t>502,247,570.57</w:t>
            </w:r>
          </w:p>
        </w:tc>
        <w:tc>
          <w:tcPr>
            <w:tcW w:w="899" w:type="dxa"/>
            <w:tcBorders>
              <w:bottom w:val="single" w:color="auto" w:sz="4" w:space="0"/>
            </w:tcBorders>
            <w:vAlign w:val="center"/>
          </w:tcPr>
          <w:p>
            <w:pPr>
              <w:widowControl w:val="0"/>
              <w:jc w:val="right"/>
              <w:rPr>
                <w:szCs w:val="21"/>
              </w:rPr>
            </w:pPr>
            <w:r>
              <w:rPr>
                <w:rFonts w:hint="eastAsia"/>
                <w:color w:val="auto"/>
              </w:rPr>
              <w:t>62.21</w:t>
            </w:r>
          </w:p>
        </w:tc>
        <w:tc>
          <w:tcPr>
            <w:tcW w:w="1719" w:type="dxa"/>
            <w:tcBorders>
              <w:bottom w:val="single" w:color="auto" w:sz="4" w:space="0"/>
            </w:tcBorders>
            <w:vAlign w:val="center"/>
          </w:tcPr>
          <w:p>
            <w:pPr>
              <w:widowControl w:val="0"/>
              <w:jc w:val="right"/>
              <w:rPr>
                <w:szCs w:val="21"/>
              </w:rPr>
            </w:pPr>
            <w:r>
              <w:rPr>
                <w:rFonts w:hint="eastAsia"/>
                <w:color w:val="auto"/>
              </w:rPr>
              <w:t>515,582,799.08</w:t>
            </w:r>
          </w:p>
        </w:tc>
        <w:tc>
          <w:tcPr>
            <w:tcW w:w="1058" w:type="dxa"/>
            <w:tcBorders>
              <w:bottom w:val="single" w:color="auto" w:sz="4" w:space="0"/>
            </w:tcBorders>
            <w:vAlign w:val="center"/>
          </w:tcPr>
          <w:p>
            <w:pPr>
              <w:widowControl w:val="0"/>
              <w:jc w:val="right"/>
              <w:rPr>
                <w:szCs w:val="21"/>
              </w:rPr>
            </w:pPr>
            <w:r>
              <w:rPr>
                <w:rFonts w:hint="eastAsia"/>
                <w:color w:val="auto"/>
              </w:rPr>
              <w:t>64.42</w:t>
            </w:r>
          </w:p>
        </w:tc>
        <w:tc>
          <w:tcPr>
            <w:tcW w:w="873" w:type="dxa"/>
            <w:tcBorders>
              <w:bottom w:val="single" w:color="auto" w:sz="4" w:space="0"/>
            </w:tcBorders>
            <w:vAlign w:val="center"/>
          </w:tcPr>
          <w:p>
            <w:pPr>
              <w:widowControl w:val="0"/>
              <w:jc w:val="right"/>
              <w:rPr>
                <w:szCs w:val="21"/>
              </w:rPr>
            </w:pPr>
            <w:r>
              <w:rPr>
                <w:rFonts w:hint="eastAsia"/>
                <w:color w:val="auto"/>
              </w:rPr>
              <w:t>-2.59</w:t>
            </w:r>
          </w:p>
        </w:tc>
        <w:tc>
          <w:tcPr>
            <w:tcW w:w="669" w:type="dxa"/>
            <w:tcBorders>
              <w:bottom w:val="single" w:color="auto" w:sz="4" w:space="0"/>
            </w:tcBorders>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continue"/>
            <w:tcBorders>
              <w:bottom w:val="single" w:color="auto" w:sz="4" w:space="0"/>
            </w:tcBorders>
            <w:vAlign w:val="center"/>
          </w:tcPr>
          <w:p>
            <w:pPr>
              <w:widowControl w:val="0"/>
              <w:jc w:val="both"/>
              <w:rPr>
                <w:szCs w:val="21"/>
              </w:rPr>
            </w:pPr>
          </w:p>
        </w:tc>
        <w:tc>
          <w:tcPr>
            <w:tcW w:w="1255" w:type="dxa"/>
            <w:tcBorders>
              <w:bottom w:val="single" w:color="auto" w:sz="4" w:space="0"/>
            </w:tcBorders>
            <w:vAlign w:val="center"/>
          </w:tcPr>
          <w:p>
            <w:pPr>
              <w:widowControl w:val="0"/>
              <w:jc w:val="both"/>
              <w:rPr>
                <w:szCs w:val="21"/>
              </w:rPr>
            </w:pPr>
            <w:r>
              <w:rPr>
                <w:rFonts w:hint="eastAsia"/>
                <w:color w:val="auto"/>
              </w:rPr>
              <w:t>人工</w:t>
            </w:r>
          </w:p>
        </w:tc>
        <w:tc>
          <w:tcPr>
            <w:tcW w:w="1625" w:type="dxa"/>
            <w:tcBorders>
              <w:bottom w:val="single" w:color="auto" w:sz="4" w:space="0"/>
            </w:tcBorders>
            <w:vAlign w:val="center"/>
          </w:tcPr>
          <w:p>
            <w:pPr>
              <w:widowControl w:val="0"/>
              <w:jc w:val="right"/>
              <w:rPr>
                <w:szCs w:val="21"/>
              </w:rPr>
            </w:pPr>
            <w:r>
              <w:rPr>
                <w:rFonts w:hint="eastAsia"/>
                <w:color w:val="auto"/>
              </w:rPr>
              <w:t>59,107,724.94</w:t>
            </w:r>
          </w:p>
        </w:tc>
        <w:tc>
          <w:tcPr>
            <w:tcW w:w="899" w:type="dxa"/>
            <w:tcBorders>
              <w:bottom w:val="single" w:color="auto" w:sz="4" w:space="0"/>
            </w:tcBorders>
            <w:vAlign w:val="center"/>
          </w:tcPr>
          <w:p>
            <w:pPr>
              <w:widowControl w:val="0"/>
              <w:jc w:val="right"/>
              <w:rPr>
                <w:szCs w:val="21"/>
              </w:rPr>
            </w:pPr>
            <w:r>
              <w:rPr>
                <w:rFonts w:hint="eastAsia"/>
                <w:color w:val="auto"/>
              </w:rPr>
              <w:t>7.32</w:t>
            </w:r>
          </w:p>
        </w:tc>
        <w:tc>
          <w:tcPr>
            <w:tcW w:w="1719" w:type="dxa"/>
            <w:tcBorders>
              <w:bottom w:val="single" w:color="auto" w:sz="4" w:space="0"/>
            </w:tcBorders>
            <w:vAlign w:val="center"/>
          </w:tcPr>
          <w:p>
            <w:pPr>
              <w:widowControl w:val="0"/>
              <w:jc w:val="right"/>
              <w:rPr>
                <w:szCs w:val="21"/>
              </w:rPr>
            </w:pPr>
            <w:r>
              <w:rPr>
                <w:rFonts w:hint="eastAsia"/>
                <w:color w:val="auto"/>
              </w:rPr>
              <w:t>55,742,205.55</w:t>
            </w:r>
          </w:p>
        </w:tc>
        <w:tc>
          <w:tcPr>
            <w:tcW w:w="1058" w:type="dxa"/>
            <w:tcBorders>
              <w:bottom w:val="single" w:color="auto" w:sz="4" w:space="0"/>
            </w:tcBorders>
            <w:vAlign w:val="center"/>
          </w:tcPr>
          <w:p>
            <w:pPr>
              <w:widowControl w:val="0"/>
              <w:jc w:val="right"/>
              <w:rPr>
                <w:szCs w:val="21"/>
              </w:rPr>
            </w:pPr>
            <w:r>
              <w:rPr>
                <w:rFonts w:hint="eastAsia"/>
                <w:color w:val="auto"/>
              </w:rPr>
              <w:t>6.97</w:t>
            </w:r>
          </w:p>
        </w:tc>
        <w:tc>
          <w:tcPr>
            <w:tcW w:w="873" w:type="dxa"/>
            <w:tcBorders>
              <w:bottom w:val="single" w:color="auto" w:sz="4" w:space="0"/>
            </w:tcBorders>
            <w:vAlign w:val="center"/>
          </w:tcPr>
          <w:p>
            <w:pPr>
              <w:widowControl w:val="0"/>
              <w:jc w:val="right"/>
              <w:rPr>
                <w:szCs w:val="21"/>
              </w:rPr>
            </w:pPr>
            <w:r>
              <w:rPr>
                <w:rFonts w:hint="eastAsia"/>
                <w:color w:val="auto"/>
              </w:rPr>
              <w:t>6.04</w:t>
            </w:r>
          </w:p>
        </w:tc>
        <w:tc>
          <w:tcPr>
            <w:tcW w:w="669" w:type="dxa"/>
            <w:tcBorders>
              <w:bottom w:val="single" w:color="auto" w:sz="4" w:space="0"/>
            </w:tcBorders>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continue"/>
            <w:tcBorders>
              <w:bottom w:val="single" w:color="auto" w:sz="4" w:space="0"/>
            </w:tcBorders>
            <w:vAlign w:val="center"/>
          </w:tcPr>
          <w:p>
            <w:pPr>
              <w:widowControl w:val="0"/>
              <w:jc w:val="both"/>
              <w:rPr>
                <w:szCs w:val="21"/>
              </w:rPr>
            </w:pPr>
          </w:p>
        </w:tc>
        <w:tc>
          <w:tcPr>
            <w:tcW w:w="1255" w:type="dxa"/>
            <w:tcBorders>
              <w:bottom w:val="single" w:color="auto" w:sz="4" w:space="0"/>
            </w:tcBorders>
            <w:vAlign w:val="center"/>
          </w:tcPr>
          <w:p>
            <w:pPr>
              <w:widowControl w:val="0"/>
              <w:jc w:val="both"/>
              <w:rPr>
                <w:szCs w:val="21"/>
              </w:rPr>
            </w:pPr>
            <w:r>
              <w:rPr>
                <w:rFonts w:hint="eastAsia"/>
                <w:color w:val="auto"/>
              </w:rPr>
              <w:t>燃料动力</w:t>
            </w:r>
          </w:p>
        </w:tc>
        <w:tc>
          <w:tcPr>
            <w:tcW w:w="1625" w:type="dxa"/>
            <w:tcBorders>
              <w:bottom w:val="single" w:color="auto" w:sz="4" w:space="0"/>
            </w:tcBorders>
            <w:vAlign w:val="center"/>
          </w:tcPr>
          <w:p>
            <w:pPr>
              <w:widowControl w:val="0"/>
              <w:jc w:val="right"/>
              <w:rPr>
                <w:szCs w:val="21"/>
              </w:rPr>
            </w:pPr>
            <w:r>
              <w:rPr>
                <w:rFonts w:hint="eastAsia"/>
                <w:color w:val="auto"/>
              </w:rPr>
              <w:t>13,572,789.01</w:t>
            </w:r>
          </w:p>
        </w:tc>
        <w:tc>
          <w:tcPr>
            <w:tcW w:w="899" w:type="dxa"/>
            <w:tcBorders>
              <w:bottom w:val="single" w:color="auto" w:sz="4" w:space="0"/>
            </w:tcBorders>
            <w:vAlign w:val="center"/>
          </w:tcPr>
          <w:p>
            <w:pPr>
              <w:widowControl w:val="0"/>
              <w:jc w:val="right"/>
              <w:rPr>
                <w:szCs w:val="21"/>
              </w:rPr>
            </w:pPr>
            <w:r>
              <w:rPr>
                <w:rFonts w:hint="eastAsia"/>
                <w:color w:val="auto"/>
              </w:rPr>
              <w:t>1.68</w:t>
            </w:r>
          </w:p>
        </w:tc>
        <w:tc>
          <w:tcPr>
            <w:tcW w:w="1719" w:type="dxa"/>
            <w:tcBorders>
              <w:bottom w:val="single" w:color="auto" w:sz="4" w:space="0"/>
            </w:tcBorders>
            <w:vAlign w:val="center"/>
          </w:tcPr>
          <w:p>
            <w:pPr>
              <w:widowControl w:val="0"/>
              <w:jc w:val="right"/>
              <w:rPr>
                <w:szCs w:val="21"/>
              </w:rPr>
            </w:pPr>
            <w:r>
              <w:rPr>
                <w:rFonts w:hint="eastAsia"/>
                <w:color w:val="auto"/>
              </w:rPr>
              <w:t>13,957,483.95</w:t>
            </w:r>
          </w:p>
        </w:tc>
        <w:tc>
          <w:tcPr>
            <w:tcW w:w="1058" w:type="dxa"/>
            <w:tcBorders>
              <w:bottom w:val="single" w:color="auto" w:sz="4" w:space="0"/>
            </w:tcBorders>
            <w:vAlign w:val="center"/>
          </w:tcPr>
          <w:p>
            <w:pPr>
              <w:widowControl w:val="0"/>
              <w:jc w:val="right"/>
              <w:rPr>
                <w:szCs w:val="21"/>
              </w:rPr>
            </w:pPr>
            <w:r>
              <w:rPr>
                <w:rFonts w:hint="eastAsia"/>
                <w:color w:val="auto"/>
              </w:rPr>
              <w:t>1.74</w:t>
            </w:r>
          </w:p>
        </w:tc>
        <w:tc>
          <w:tcPr>
            <w:tcW w:w="873" w:type="dxa"/>
            <w:tcBorders>
              <w:bottom w:val="single" w:color="auto" w:sz="4" w:space="0"/>
            </w:tcBorders>
            <w:vAlign w:val="center"/>
          </w:tcPr>
          <w:p>
            <w:pPr>
              <w:widowControl w:val="0"/>
              <w:jc w:val="right"/>
              <w:rPr>
                <w:szCs w:val="21"/>
              </w:rPr>
            </w:pPr>
            <w:r>
              <w:rPr>
                <w:rFonts w:hint="eastAsia"/>
                <w:color w:val="auto"/>
              </w:rPr>
              <w:t>-2.76</w:t>
            </w:r>
          </w:p>
        </w:tc>
        <w:tc>
          <w:tcPr>
            <w:tcW w:w="669" w:type="dxa"/>
            <w:tcBorders>
              <w:bottom w:val="single" w:color="auto" w:sz="4" w:space="0"/>
            </w:tcBorders>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continue"/>
            <w:tcBorders>
              <w:bottom w:val="single" w:color="auto" w:sz="4" w:space="0"/>
            </w:tcBorders>
            <w:vAlign w:val="center"/>
          </w:tcPr>
          <w:p>
            <w:pPr>
              <w:widowControl w:val="0"/>
              <w:jc w:val="both"/>
              <w:rPr>
                <w:szCs w:val="21"/>
              </w:rPr>
            </w:pPr>
          </w:p>
        </w:tc>
        <w:tc>
          <w:tcPr>
            <w:tcW w:w="1255" w:type="dxa"/>
            <w:tcBorders>
              <w:bottom w:val="single" w:color="auto" w:sz="4" w:space="0"/>
            </w:tcBorders>
            <w:vAlign w:val="center"/>
          </w:tcPr>
          <w:p>
            <w:pPr>
              <w:widowControl w:val="0"/>
              <w:jc w:val="both"/>
              <w:rPr>
                <w:szCs w:val="21"/>
              </w:rPr>
            </w:pPr>
            <w:r>
              <w:rPr>
                <w:rFonts w:hint="eastAsia"/>
                <w:color w:val="auto"/>
              </w:rPr>
              <w:t>制造费用</w:t>
            </w:r>
          </w:p>
        </w:tc>
        <w:tc>
          <w:tcPr>
            <w:tcW w:w="1625" w:type="dxa"/>
            <w:tcBorders>
              <w:bottom w:val="single" w:color="auto" w:sz="4" w:space="0"/>
            </w:tcBorders>
            <w:vAlign w:val="center"/>
          </w:tcPr>
          <w:p>
            <w:pPr>
              <w:widowControl w:val="0"/>
              <w:jc w:val="right"/>
              <w:rPr>
                <w:szCs w:val="21"/>
              </w:rPr>
            </w:pPr>
            <w:r>
              <w:rPr>
                <w:rFonts w:hint="eastAsia"/>
                <w:color w:val="auto"/>
              </w:rPr>
              <w:t>35,520,890.60</w:t>
            </w:r>
          </w:p>
        </w:tc>
        <w:tc>
          <w:tcPr>
            <w:tcW w:w="899" w:type="dxa"/>
            <w:tcBorders>
              <w:bottom w:val="single" w:color="auto" w:sz="4" w:space="0"/>
            </w:tcBorders>
            <w:vAlign w:val="center"/>
          </w:tcPr>
          <w:p>
            <w:pPr>
              <w:widowControl w:val="0"/>
              <w:jc w:val="right"/>
              <w:rPr>
                <w:szCs w:val="21"/>
              </w:rPr>
            </w:pPr>
            <w:r>
              <w:rPr>
                <w:rFonts w:hint="eastAsia"/>
                <w:color w:val="auto"/>
              </w:rPr>
              <w:t>4.40</w:t>
            </w:r>
          </w:p>
        </w:tc>
        <w:tc>
          <w:tcPr>
            <w:tcW w:w="1719" w:type="dxa"/>
            <w:tcBorders>
              <w:bottom w:val="single" w:color="auto" w:sz="4" w:space="0"/>
            </w:tcBorders>
            <w:vAlign w:val="center"/>
          </w:tcPr>
          <w:p>
            <w:pPr>
              <w:widowControl w:val="0"/>
              <w:jc w:val="right"/>
              <w:rPr>
                <w:szCs w:val="21"/>
              </w:rPr>
            </w:pPr>
            <w:r>
              <w:rPr>
                <w:rFonts w:hint="eastAsia"/>
                <w:color w:val="auto"/>
              </w:rPr>
              <w:t>33,560,898.94</w:t>
            </w:r>
          </w:p>
        </w:tc>
        <w:tc>
          <w:tcPr>
            <w:tcW w:w="1058" w:type="dxa"/>
            <w:tcBorders>
              <w:bottom w:val="single" w:color="auto" w:sz="4" w:space="0"/>
            </w:tcBorders>
            <w:vAlign w:val="center"/>
          </w:tcPr>
          <w:p>
            <w:pPr>
              <w:widowControl w:val="0"/>
              <w:jc w:val="right"/>
              <w:rPr>
                <w:szCs w:val="21"/>
              </w:rPr>
            </w:pPr>
            <w:r>
              <w:rPr>
                <w:rFonts w:hint="eastAsia"/>
                <w:color w:val="auto"/>
              </w:rPr>
              <w:t>4.19</w:t>
            </w:r>
          </w:p>
        </w:tc>
        <w:tc>
          <w:tcPr>
            <w:tcW w:w="873" w:type="dxa"/>
            <w:tcBorders>
              <w:bottom w:val="single" w:color="auto" w:sz="4" w:space="0"/>
            </w:tcBorders>
            <w:vAlign w:val="center"/>
          </w:tcPr>
          <w:p>
            <w:pPr>
              <w:widowControl w:val="0"/>
              <w:jc w:val="right"/>
              <w:rPr>
                <w:szCs w:val="21"/>
              </w:rPr>
            </w:pPr>
            <w:r>
              <w:rPr>
                <w:rFonts w:hint="eastAsia"/>
                <w:color w:val="auto"/>
              </w:rPr>
              <w:t>5.84</w:t>
            </w:r>
          </w:p>
        </w:tc>
        <w:tc>
          <w:tcPr>
            <w:tcW w:w="669" w:type="dxa"/>
            <w:tcBorders>
              <w:bottom w:val="single" w:color="auto" w:sz="4" w:space="0"/>
            </w:tcBorders>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continue"/>
            <w:tcBorders>
              <w:bottom w:val="single" w:color="auto" w:sz="4" w:space="0"/>
            </w:tcBorders>
            <w:vAlign w:val="center"/>
          </w:tcPr>
          <w:p>
            <w:pPr>
              <w:widowControl w:val="0"/>
              <w:jc w:val="both"/>
              <w:rPr>
                <w:szCs w:val="21"/>
              </w:rPr>
            </w:pPr>
          </w:p>
        </w:tc>
        <w:tc>
          <w:tcPr>
            <w:tcW w:w="1255" w:type="dxa"/>
            <w:tcBorders>
              <w:bottom w:val="single" w:color="auto" w:sz="4" w:space="0"/>
            </w:tcBorders>
            <w:vAlign w:val="center"/>
          </w:tcPr>
          <w:p>
            <w:pPr>
              <w:widowControl w:val="0"/>
              <w:jc w:val="both"/>
              <w:rPr>
                <w:szCs w:val="21"/>
              </w:rPr>
            </w:pPr>
            <w:r>
              <w:rPr>
                <w:rFonts w:hint="eastAsia"/>
                <w:color w:val="auto"/>
              </w:rPr>
              <w:t>运输费用</w:t>
            </w:r>
          </w:p>
        </w:tc>
        <w:tc>
          <w:tcPr>
            <w:tcW w:w="1625" w:type="dxa"/>
            <w:tcBorders>
              <w:bottom w:val="single" w:color="auto" w:sz="4" w:space="0"/>
            </w:tcBorders>
            <w:vAlign w:val="center"/>
          </w:tcPr>
          <w:p>
            <w:pPr>
              <w:widowControl w:val="0"/>
              <w:jc w:val="right"/>
              <w:rPr>
                <w:szCs w:val="21"/>
              </w:rPr>
            </w:pPr>
            <w:r>
              <w:rPr>
                <w:rFonts w:hint="eastAsia"/>
                <w:color w:val="auto"/>
              </w:rPr>
              <w:t>43,799,072.40</w:t>
            </w:r>
          </w:p>
        </w:tc>
        <w:tc>
          <w:tcPr>
            <w:tcW w:w="899" w:type="dxa"/>
            <w:tcBorders>
              <w:bottom w:val="single" w:color="auto" w:sz="4" w:space="0"/>
            </w:tcBorders>
            <w:vAlign w:val="center"/>
          </w:tcPr>
          <w:p>
            <w:pPr>
              <w:widowControl w:val="0"/>
              <w:jc w:val="right"/>
              <w:rPr>
                <w:szCs w:val="21"/>
              </w:rPr>
            </w:pPr>
            <w:r>
              <w:rPr>
                <w:rFonts w:hint="eastAsia"/>
                <w:color w:val="auto"/>
              </w:rPr>
              <w:t>5.43</w:t>
            </w:r>
          </w:p>
        </w:tc>
        <w:tc>
          <w:tcPr>
            <w:tcW w:w="1719" w:type="dxa"/>
            <w:tcBorders>
              <w:bottom w:val="single" w:color="auto" w:sz="4" w:space="0"/>
            </w:tcBorders>
            <w:vAlign w:val="center"/>
          </w:tcPr>
          <w:p>
            <w:pPr>
              <w:widowControl w:val="0"/>
              <w:jc w:val="right"/>
              <w:rPr>
                <w:szCs w:val="21"/>
              </w:rPr>
            </w:pPr>
            <w:r>
              <w:rPr>
                <w:rFonts w:hint="eastAsia"/>
                <w:color w:val="auto"/>
              </w:rPr>
              <w:t>40,075,427.66</w:t>
            </w:r>
          </w:p>
        </w:tc>
        <w:tc>
          <w:tcPr>
            <w:tcW w:w="1058" w:type="dxa"/>
            <w:tcBorders>
              <w:bottom w:val="single" w:color="auto" w:sz="4" w:space="0"/>
            </w:tcBorders>
            <w:vAlign w:val="center"/>
          </w:tcPr>
          <w:p>
            <w:pPr>
              <w:widowControl w:val="0"/>
              <w:jc w:val="right"/>
              <w:rPr>
                <w:szCs w:val="21"/>
              </w:rPr>
            </w:pPr>
            <w:r>
              <w:rPr>
                <w:rFonts w:hint="eastAsia"/>
                <w:color w:val="auto"/>
              </w:rPr>
              <w:t>5.01</w:t>
            </w:r>
          </w:p>
        </w:tc>
        <w:tc>
          <w:tcPr>
            <w:tcW w:w="873" w:type="dxa"/>
            <w:tcBorders>
              <w:bottom w:val="single" w:color="auto" w:sz="4" w:space="0"/>
            </w:tcBorders>
            <w:vAlign w:val="center"/>
          </w:tcPr>
          <w:p>
            <w:pPr>
              <w:widowControl w:val="0"/>
              <w:jc w:val="right"/>
              <w:rPr>
                <w:szCs w:val="21"/>
              </w:rPr>
            </w:pPr>
            <w:r>
              <w:rPr>
                <w:rFonts w:hint="eastAsia"/>
                <w:color w:val="auto"/>
              </w:rPr>
              <w:t>9.29</w:t>
            </w:r>
          </w:p>
        </w:tc>
        <w:tc>
          <w:tcPr>
            <w:tcW w:w="669" w:type="dxa"/>
            <w:tcBorders>
              <w:bottom w:val="single" w:color="auto" w:sz="4" w:space="0"/>
            </w:tcBorders>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continue"/>
            <w:tcBorders>
              <w:bottom w:val="single" w:color="auto" w:sz="4" w:space="0"/>
            </w:tcBorders>
            <w:vAlign w:val="center"/>
          </w:tcPr>
          <w:p>
            <w:pPr>
              <w:widowControl w:val="0"/>
              <w:jc w:val="both"/>
              <w:rPr>
                <w:szCs w:val="21"/>
              </w:rPr>
            </w:pPr>
          </w:p>
        </w:tc>
        <w:tc>
          <w:tcPr>
            <w:tcW w:w="1255" w:type="dxa"/>
            <w:tcBorders>
              <w:bottom w:val="single" w:color="auto" w:sz="4" w:space="0"/>
            </w:tcBorders>
            <w:vAlign w:val="center"/>
          </w:tcPr>
          <w:p>
            <w:pPr>
              <w:widowControl w:val="0"/>
              <w:jc w:val="both"/>
              <w:rPr>
                <w:szCs w:val="21"/>
              </w:rPr>
            </w:pPr>
            <w:r>
              <w:rPr>
                <w:rFonts w:hint="eastAsia"/>
                <w:color w:val="auto"/>
              </w:rPr>
              <w:t>外购产品采购成本</w:t>
            </w:r>
          </w:p>
        </w:tc>
        <w:tc>
          <w:tcPr>
            <w:tcW w:w="1625" w:type="dxa"/>
            <w:tcBorders>
              <w:bottom w:val="single" w:color="auto" w:sz="4" w:space="0"/>
            </w:tcBorders>
            <w:vAlign w:val="center"/>
          </w:tcPr>
          <w:p>
            <w:pPr>
              <w:widowControl w:val="0"/>
              <w:jc w:val="right"/>
              <w:rPr>
                <w:szCs w:val="21"/>
              </w:rPr>
            </w:pPr>
            <w:r>
              <w:rPr>
                <w:rFonts w:hint="eastAsia"/>
                <w:color w:val="auto"/>
              </w:rPr>
              <w:t>157,010,070.88</w:t>
            </w:r>
          </w:p>
        </w:tc>
        <w:tc>
          <w:tcPr>
            <w:tcW w:w="899" w:type="dxa"/>
            <w:tcBorders>
              <w:bottom w:val="single" w:color="auto" w:sz="4" w:space="0"/>
            </w:tcBorders>
            <w:vAlign w:val="center"/>
          </w:tcPr>
          <w:p>
            <w:pPr>
              <w:widowControl w:val="0"/>
              <w:jc w:val="right"/>
              <w:rPr>
                <w:szCs w:val="21"/>
              </w:rPr>
            </w:pPr>
            <w:r>
              <w:rPr>
                <w:rFonts w:hint="eastAsia"/>
                <w:color w:val="auto"/>
              </w:rPr>
              <w:t>19.35</w:t>
            </w:r>
          </w:p>
        </w:tc>
        <w:tc>
          <w:tcPr>
            <w:tcW w:w="1719" w:type="dxa"/>
            <w:tcBorders>
              <w:bottom w:val="single" w:color="auto" w:sz="4" w:space="0"/>
            </w:tcBorders>
            <w:vAlign w:val="center"/>
          </w:tcPr>
          <w:p>
            <w:pPr>
              <w:widowControl w:val="0"/>
              <w:jc w:val="right"/>
              <w:rPr>
                <w:szCs w:val="21"/>
              </w:rPr>
            </w:pPr>
            <w:r>
              <w:rPr>
                <w:rFonts w:hint="eastAsia"/>
                <w:color w:val="auto"/>
              </w:rPr>
              <w:t>141,381,601.41</w:t>
            </w:r>
          </w:p>
        </w:tc>
        <w:tc>
          <w:tcPr>
            <w:tcW w:w="1058" w:type="dxa"/>
            <w:tcBorders>
              <w:bottom w:val="single" w:color="auto" w:sz="4" w:space="0"/>
            </w:tcBorders>
            <w:vAlign w:val="center"/>
          </w:tcPr>
          <w:p>
            <w:pPr>
              <w:widowControl w:val="0"/>
              <w:jc w:val="right"/>
              <w:rPr>
                <w:szCs w:val="21"/>
              </w:rPr>
            </w:pPr>
            <w:r>
              <w:rPr>
                <w:rFonts w:hint="eastAsia"/>
                <w:color w:val="auto"/>
              </w:rPr>
              <w:t>17.67</w:t>
            </w:r>
          </w:p>
        </w:tc>
        <w:tc>
          <w:tcPr>
            <w:tcW w:w="873" w:type="dxa"/>
            <w:tcBorders>
              <w:bottom w:val="single" w:color="auto" w:sz="4" w:space="0"/>
            </w:tcBorders>
            <w:vAlign w:val="center"/>
          </w:tcPr>
          <w:p>
            <w:pPr>
              <w:widowControl w:val="0"/>
              <w:jc w:val="right"/>
              <w:rPr>
                <w:szCs w:val="21"/>
              </w:rPr>
            </w:pPr>
            <w:r>
              <w:rPr>
                <w:rFonts w:hint="eastAsia"/>
                <w:color w:val="auto"/>
              </w:rPr>
              <w:t>11.05</w:t>
            </w:r>
          </w:p>
        </w:tc>
        <w:tc>
          <w:tcPr>
            <w:tcW w:w="669" w:type="dxa"/>
            <w:tcBorders>
              <w:bottom w:val="single" w:color="auto" w:sz="4" w:space="0"/>
            </w:tcBorders>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continue"/>
            <w:tcBorders>
              <w:bottom w:val="single" w:color="auto" w:sz="4" w:space="0"/>
            </w:tcBorders>
            <w:vAlign w:val="center"/>
          </w:tcPr>
          <w:p>
            <w:pPr>
              <w:widowControl w:val="0"/>
              <w:jc w:val="both"/>
              <w:rPr>
                <w:szCs w:val="21"/>
              </w:rPr>
            </w:pPr>
          </w:p>
        </w:tc>
        <w:tc>
          <w:tcPr>
            <w:tcW w:w="1255" w:type="dxa"/>
            <w:tcBorders>
              <w:bottom w:val="single" w:color="auto" w:sz="4" w:space="0"/>
            </w:tcBorders>
            <w:vAlign w:val="center"/>
          </w:tcPr>
          <w:p>
            <w:pPr>
              <w:widowControl w:val="0"/>
              <w:jc w:val="both"/>
              <w:rPr>
                <w:szCs w:val="21"/>
              </w:rPr>
            </w:pPr>
            <w:r>
              <w:rPr>
                <w:rFonts w:hint="eastAsia"/>
                <w:color w:val="auto"/>
              </w:rPr>
              <w:t>小计</w:t>
            </w:r>
          </w:p>
        </w:tc>
        <w:tc>
          <w:tcPr>
            <w:tcW w:w="1625" w:type="dxa"/>
            <w:tcBorders>
              <w:bottom w:val="single" w:color="auto" w:sz="4" w:space="0"/>
            </w:tcBorders>
            <w:vAlign w:val="center"/>
          </w:tcPr>
          <w:p>
            <w:pPr>
              <w:widowControl w:val="0"/>
              <w:jc w:val="right"/>
              <w:rPr>
                <w:szCs w:val="21"/>
              </w:rPr>
            </w:pPr>
            <w:r>
              <w:rPr>
                <w:rFonts w:hint="eastAsia"/>
                <w:color w:val="auto"/>
              </w:rPr>
              <w:t>811,258,118.40</w:t>
            </w:r>
          </w:p>
        </w:tc>
        <w:tc>
          <w:tcPr>
            <w:tcW w:w="899" w:type="dxa"/>
            <w:tcBorders>
              <w:bottom w:val="single" w:color="auto" w:sz="4" w:space="0"/>
            </w:tcBorders>
            <w:vAlign w:val="center"/>
          </w:tcPr>
          <w:p>
            <w:pPr>
              <w:widowControl w:val="0"/>
              <w:jc w:val="right"/>
              <w:rPr>
                <w:szCs w:val="21"/>
              </w:rPr>
            </w:pPr>
            <w:r>
              <w:rPr>
                <w:rFonts w:hint="eastAsia"/>
                <w:color w:val="auto"/>
              </w:rPr>
              <w:t>100.00</w:t>
            </w:r>
          </w:p>
        </w:tc>
        <w:tc>
          <w:tcPr>
            <w:tcW w:w="1719" w:type="dxa"/>
            <w:tcBorders>
              <w:bottom w:val="single" w:color="auto" w:sz="4" w:space="0"/>
            </w:tcBorders>
            <w:vAlign w:val="center"/>
          </w:tcPr>
          <w:p>
            <w:pPr>
              <w:widowControl w:val="0"/>
              <w:jc w:val="right"/>
              <w:rPr>
                <w:szCs w:val="21"/>
              </w:rPr>
            </w:pPr>
            <w:r>
              <w:rPr>
                <w:rFonts w:hint="eastAsia"/>
                <w:color w:val="auto"/>
              </w:rPr>
              <w:t>800,300,416.59</w:t>
            </w:r>
          </w:p>
        </w:tc>
        <w:tc>
          <w:tcPr>
            <w:tcW w:w="1058" w:type="dxa"/>
            <w:tcBorders>
              <w:bottom w:val="single" w:color="auto" w:sz="4" w:space="0"/>
            </w:tcBorders>
            <w:vAlign w:val="center"/>
          </w:tcPr>
          <w:p>
            <w:pPr>
              <w:widowControl w:val="0"/>
              <w:jc w:val="right"/>
              <w:rPr>
                <w:szCs w:val="21"/>
              </w:rPr>
            </w:pPr>
            <w:r>
              <w:rPr>
                <w:rFonts w:hint="eastAsia"/>
                <w:color w:val="auto"/>
              </w:rPr>
              <w:t>100.00</w:t>
            </w:r>
          </w:p>
        </w:tc>
        <w:tc>
          <w:tcPr>
            <w:tcW w:w="873" w:type="dxa"/>
            <w:tcBorders>
              <w:bottom w:val="single" w:color="auto" w:sz="4" w:space="0"/>
            </w:tcBorders>
            <w:vAlign w:val="center"/>
          </w:tcPr>
          <w:p>
            <w:pPr>
              <w:widowControl w:val="0"/>
              <w:jc w:val="right"/>
              <w:rPr>
                <w:szCs w:val="21"/>
              </w:rPr>
            </w:pPr>
            <w:r>
              <w:rPr>
                <w:rFonts w:hint="eastAsia"/>
                <w:color w:val="auto"/>
              </w:rPr>
              <w:t>1.37</w:t>
            </w:r>
          </w:p>
        </w:tc>
        <w:tc>
          <w:tcPr>
            <w:tcW w:w="669" w:type="dxa"/>
            <w:tcBorders>
              <w:bottom w:val="single" w:color="auto" w:sz="4" w:space="0"/>
            </w:tcBorders>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restart"/>
            <w:tcBorders>
              <w:bottom w:val="single" w:color="auto" w:sz="4" w:space="0"/>
            </w:tcBorders>
            <w:vAlign w:val="center"/>
          </w:tcPr>
          <w:p>
            <w:pPr>
              <w:widowControl w:val="0"/>
              <w:jc w:val="both"/>
              <w:rPr>
                <w:szCs w:val="21"/>
              </w:rPr>
            </w:pPr>
            <w:r>
              <w:rPr>
                <w:rFonts w:hint="eastAsia"/>
                <w:color w:val="auto"/>
              </w:rPr>
              <w:t>药品</w:t>
            </w:r>
          </w:p>
        </w:tc>
        <w:tc>
          <w:tcPr>
            <w:tcW w:w="1255" w:type="dxa"/>
            <w:tcBorders>
              <w:bottom w:val="single" w:color="auto" w:sz="4" w:space="0"/>
            </w:tcBorders>
            <w:vAlign w:val="center"/>
          </w:tcPr>
          <w:p>
            <w:pPr>
              <w:widowControl w:val="0"/>
              <w:jc w:val="both"/>
              <w:rPr>
                <w:szCs w:val="21"/>
              </w:rPr>
            </w:pPr>
            <w:r>
              <w:rPr>
                <w:rFonts w:hint="eastAsia"/>
                <w:color w:val="auto"/>
              </w:rPr>
              <w:t>材料</w:t>
            </w:r>
          </w:p>
        </w:tc>
        <w:tc>
          <w:tcPr>
            <w:tcW w:w="1625" w:type="dxa"/>
            <w:tcBorders>
              <w:bottom w:val="single" w:color="auto" w:sz="4" w:space="0"/>
            </w:tcBorders>
            <w:vAlign w:val="center"/>
          </w:tcPr>
          <w:p>
            <w:pPr>
              <w:widowControl w:val="0"/>
              <w:jc w:val="right"/>
              <w:rPr>
                <w:szCs w:val="21"/>
              </w:rPr>
            </w:pPr>
            <w:r>
              <w:rPr>
                <w:rFonts w:hint="eastAsia"/>
                <w:color w:val="auto"/>
              </w:rPr>
              <w:t>37,195,283.10</w:t>
            </w:r>
          </w:p>
        </w:tc>
        <w:tc>
          <w:tcPr>
            <w:tcW w:w="899" w:type="dxa"/>
            <w:tcBorders>
              <w:bottom w:val="single" w:color="auto" w:sz="4" w:space="0"/>
            </w:tcBorders>
            <w:vAlign w:val="center"/>
          </w:tcPr>
          <w:p>
            <w:pPr>
              <w:widowControl w:val="0"/>
              <w:jc w:val="right"/>
              <w:rPr>
                <w:szCs w:val="21"/>
              </w:rPr>
            </w:pPr>
            <w:r>
              <w:rPr>
                <w:rFonts w:hint="eastAsia"/>
                <w:color w:val="auto"/>
              </w:rPr>
              <w:t>62.68</w:t>
            </w:r>
          </w:p>
        </w:tc>
        <w:tc>
          <w:tcPr>
            <w:tcW w:w="1719" w:type="dxa"/>
            <w:tcBorders>
              <w:bottom w:val="single" w:color="auto" w:sz="4" w:space="0"/>
            </w:tcBorders>
            <w:vAlign w:val="center"/>
          </w:tcPr>
          <w:p>
            <w:pPr>
              <w:widowControl w:val="0"/>
              <w:jc w:val="right"/>
              <w:rPr>
                <w:szCs w:val="21"/>
              </w:rPr>
            </w:pPr>
            <w:r>
              <w:rPr>
                <w:rFonts w:hint="eastAsia"/>
                <w:color w:val="auto"/>
              </w:rPr>
              <w:t>42,111,127.51</w:t>
            </w:r>
          </w:p>
        </w:tc>
        <w:tc>
          <w:tcPr>
            <w:tcW w:w="1058" w:type="dxa"/>
            <w:tcBorders>
              <w:bottom w:val="single" w:color="auto" w:sz="4" w:space="0"/>
            </w:tcBorders>
            <w:vAlign w:val="center"/>
          </w:tcPr>
          <w:p>
            <w:pPr>
              <w:widowControl w:val="0"/>
              <w:jc w:val="right"/>
              <w:rPr>
                <w:szCs w:val="21"/>
              </w:rPr>
            </w:pPr>
            <w:r>
              <w:rPr>
                <w:rFonts w:hint="eastAsia"/>
                <w:color w:val="auto"/>
              </w:rPr>
              <w:t>67.48</w:t>
            </w:r>
          </w:p>
        </w:tc>
        <w:tc>
          <w:tcPr>
            <w:tcW w:w="873" w:type="dxa"/>
            <w:tcBorders>
              <w:bottom w:val="single" w:color="auto" w:sz="4" w:space="0"/>
            </w:tcBorders>
            <w:vAlign w:val="center"/>
          </w:tcPr>
          <w:p>
            <w:pPr>
              <w:widowControl w:val="0"/>
              <w:jc w:val="right"/>
              <w:rPr>
                <w:szCs w:val="21"/>
              </w:rPr>
            </w:pPr>
            <w:r>
              <w:rPr>
                <w:rFonts w:hint="eastAsia"/>
                <w:color w:val="auto"/>
              </w:rPr>
              <w:t>-11.67</w:t>
            </w:r>
          </w:p>
        </w:tc>
        <w:tc>
          <w:tcPr>
            <w:tcW w:w="669" w:type="dxa"/>
            <w:tcBorders>
              <w:bottom w:val="single" w:color="auto" w:sz="4" w:space="0"/>
            </w:tcBorders>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continue"/>
            <w:tcBorders>
              <w:bottom w:val="single" w:color="auto" w:sz="4" w:space="0"/>
            </w:tcBorders>
            <w:vAlign w:val="center"/>
          </w:tcPr>
          <w:p>
            <w:pPr>
              <w:widowControl w:val="0"/>
              <w:jc w:val="both"/>
              <w:rPr>
                <w:szCs w:val="21"/>
              </w:rPr>
            </w:pPr>
          </w:p>
        </w:tc>
        <w:tc>
          <w:tcPr>
            <w:tcW w:w="1255" w:type="dxa"/>
            <w:tcBorders>
              <w:bottom w:val="single" w:color="auto" w:sz="4" w:space="0"/>
            </w:tcBorders>
            <w:vAlign w:val="center"/>
          </w:tcPr>
          <w:p>
            <w:pPr>
              <w:widowControl w:val="0"/>
              <w:jc w:val="both"/>
              <w:rPr>
                <w:szCs w:val="21"/>
              </w:rPr>
            </w:pPr>
            <w:r>
              <w:rPr>
                <w:rFonts w:hint="eastAsia"/>
                <w:color w:val="auto"/>
              </w:rPr>
              <w:t>人工</w:t>
            </w:r>
          </w:p>
        </w:tc>
        <w:tc>
          <w:tcPr>
            <w:tcW w:w="1625" w:type="dxa"/>
            <w:tcBorders>
              <w:bottom w:val="single" w:color="auto" w:sz="4" w:space="0"/>
            </w:tcBorders>
            <w:vAlign w:val="center"/>
          </w:tcPr>
          <w:p>
            <w:pPr>
              <w:widowControl w:val="0"/>
              <w:jc w:val="right"/>
              <w:rPr>
                <w:szCs w:val="21"/>
              </w:rPr>
            </w:pPr>
            <w:r>
              <w:rPr>
                <w:rFonts w:hint="eastAsia"/>
                <w:color w:val="auto"/>
              </w:rPr>
              <w:t>9,113,528.02</w:t>
            </w:r>
          </w:p>
        </w:tc>
        <w:tc>
          <w:tcPr>
            <w:tcW w:w="899" w:type="dxa"/>
            <w:tcBorders>
              <w:bottom w:val="single" w:color="auto" w:sz="4" w:space="0"/>
            </w:tcBorders>
            <w:vAlign w:val="center"/>
          </w:tcPr>
          <w:p>
            <w:pPr>
              <w:widowControl w:val="0"/>
              <w:jc w:val="right"/>
              <w:rPr>
                <w:szCs w:val="21"/>
              </w:rPr>
            </w:pPr>
            <w:r>
              <w:rPr>
                <w:rFonts w:hint="eastAsia"/>
                <w:color w:val="auto"/>
              </w:rPr>
              <w:t>15.36</w:t>
            </w:r>
          </w:p>
        </w:tc>
        <w:tc>
          <w:tcPr>
            <w:tcW w:w="1719" w:type="dxa"/>
            <w:tcBorders>
              <w:bottom w:val="single" w:color="auto" w:sz="4" w:space="0"/>
            </w:tcBorders>
            <w:vAlign w:val="center"/>
          </w:tcPr>
          <w:p>
            <w:pPr>
              <w:widowControl w:val="0"/>
              <w:jc w:val="right"/>
              <w:rPr>
                <w:szCs w:val="21"/>
              </w:rPr>
            </w:pPr>
            <w:r>
              <w:rPr>
                <w:rFonts w:hint="eastAsia"/>
                <w:color w:val="auto"/>
              </w:rPr>
              <w:t>10,237,613.69</w:t>
            </w:r>
          </w:p>
        </w:tc>
        <w:tc>
          <w:tcPr>
            <w:tcW w:w="1058" w:type="dxa"/>
            <w:tcBorders>
              <w:bottom w:val="single" w:color="auto" w:sz="4" w:space="0"/>
            </w:tcBorders>
            <w:vAlign w:val="center"/>
          </w:tcPr>
          <w:p>
            <w:pPr>
              <w:widowControl w:val="0"/>
              <w:jc w:val="right"/>
              <w:rPr>
                <w:szCs w:val="21"/>
              </w:rPr>
            </w:pPr>
            <w:r>
              <w:rPr>
                <w:rFonts w:hint="eastAsia"/>
                <w:color w:val="auto"/>
              </w:rPr>
              <w:t>16.41</w:t>
            </w:r>
          </w:p>
        </w:tc>
        <w:tc>
          <w:tcPr>
            <w:tcW w:w="873" w:type="dxa"/>
            <w:tcBorders>
              <w:bottom w:val="single" w:color="auto" w:sz="4" w:space="0"/>
            </w:tcBorders>
            <w:vAlign w:val="center"/>
          </w:tcPr>
          <w:p>
            <w:pPr>
              <w:widowControl w:val="0"/>
              <w:jc w:val="right"/>
              <w:rPr>
                <w:szCs w:val="21"/>
              </w:rPr>
            </w:pPr>
            <w:r>
              <w:rPr>
                <w:rFonts w:hint="eastAsia"/>
                <w:color w:val="auto"/>
              </w:rPr>
              <w:t>-10.98</w:t>
            </w:r>
          </w:p>
        </w:tc>
        <w:tc>
          <w:tcPr>
            <w:tcW w:w="669" w:type="dxa"/>
            <w:tcBorders>
              <w:bottom w:val="single" w:color="auto" w:sz="4" w:space="0"/>
            </w:tcBorders>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continue"/>
            <w:tcBorders>
              <w:bottom w:val="single" w:color="auto" w:sz="4" w:space="0"/>
            </w:tcBorders>
            <w:vAlign w:val="center"/>
          </w:tcPr>
          <w:p>
            <w:pPr>
              <w:widowControl w:val="0"/>
              <w:jc w:val="both"/>
              <w:rPr>
                <w:szCs w:val="21"/>
              </w:rPr>
            </w:pPr>
          </w:p>
        </w:tc>
        <w:tc>
          <w:tcPr>
            <w:tcW w:w="1255" w:type="dxa"/>
            <w:tcBorders>
              <w:bottom w:val="single" w:color="auto" w:sz="4" w:space="0"/>
            </w:tcBorders>
            <w:vAlign w:val="center"/>
          </w:tcPr>
          <w:p>
            <w:pPr>
              <w:widowControl w:val="0"/>
              <w:jc w:val="both"/>
              <w:rPr>
                <w:szCs w:val="21"/>
              </w:rPr>
            </w:pPr>
            <w:r>
              <w:rPr>
                <w:rFonts w:hint="eastAsia"/>
                <w:color w:val="auto"/>
              </w:rPr>
              <w:t>燃料动力</w:t>
            </w:r>
          </w:p>
        </w:tc>
        <w:tc>
          <w:tcPr>
            <w:tcW w:w="1625" w:type="dxa"/>
            <w:tcBorders>
              <w:bottom w:val="single" w:color="auto" w:sz="4" w:space="0"/>
            </w:tcBorders>
            <w:vAlign w:val="center"/>
          </w:tcPr>
          <w:p>
            <w:pPr>
              <w:widowControl w:val="0"/>
              <w:jc w:val="right"/>
              <w:rPr>
                <w:szCs w:val="21"/>
              </w:rPr>
            </w:pPr>
            <w:r>
              <w:rPr>
                <w:rFonts w:hint="eastAsia"/>
                <w:color w:val="auto"/>
              </w:rPr>
              <w:t>3,771,446.54</w:t>
            </w:r>
          </w:p>
        </w:tc>
        <w:tc>
          <w:tcPr>
            <w:tcW w:w="899" w:type="dxa"/>
            <w:tcBorders>
              <w:bottom w:val="single" w:color="auto" w:sz="4" w:space="0"/>
            </w:tcBorders>
            <w:vAlign w:val="center"/>
          </w:tcPr>
          <w:p>
            <w:pPr>
              <w:widowControl w:val="0"/>
              <w:jc w:val="right"/>
              <w:rPr>
                <w:szCs w:val="21"/>
              </w:rPr>
            </w:pPr>
            <w:r>
              <w:rPr>
                <w:rFonts w:hint="eastAsia"/>
                <w:color w:val="auto"/>
              </w:rPr>
              <w:t>6.36</w:t>
            </w:r>
          </w:p>
        </w:tc>
        <w:tc>
          <w:tcPr>
            <w:tcW w:w="1719" w:type="dxa"/>
            <w:tcBorders>
              <w:bottom w:val="single" w:color="auto" w:sz="4" w:space="0"/>
            </w:tcBorders>
            <w:vAlign w:val="center"/>
          </w:tcPr>
          <w:p>
            <w:pPr>
              <w:widowControl w:val="0"/>
              <w:jc w:val="right"/>
              <w:rPr>
                <w:szCs w:val="21"/>
              </w:rPr>
            </w:pPr>
            <w:r>
              <w:rPr>
                <w:rFonts w:hint="eastAsia"/>
                <w:color w:val="auto"/>
              </w:rPr>
              <w:t>3,986,564.44</w:t>
            </w:r>
          </w:p>
        </w:tc>
        <w:tc>
          <w:tcPr>
            <w:tcW w:w="1058" w:type="dxa"/>
            <w:tcBorders>
              <w:bottom w:val="single" w:color="auto" w:sz="4" w:space="0"/>
            </w:tcBorders>
            <w:vAlign w:val="center"/>
          </w:tcPr>
          <w:p>
            <w:pPr>
              <w:widowControl w:val="0"/>
              <w:jc w:val="right"/>
              <w:rPr>
                <w:szCs w:val="21"/>
              </w:rPr>
            </w:pPr>
            <w:r>
              <w:rPr>
                <w:rFonts w:hint="eastAsia"/>
                <w:color w:val="auto"/>
              </w:rPr>
              <w:t>6.39</w:t>
            </w:r>
          </w:p>
        </w:tc>
        <w:tc>
          <w:tcPr>
            <w:tcW w:w="873" w:type="dxa"/>
            <w:tcBorders>
              <w:bottom w:val="single" w:color="auto" w:sz="4" w:space="0"/>
            </w:tcBorders>
            <w:vAlign w:val="center"/>
          </w:tcPr>
          <w:p>
            <w:pPr>
              <w:widowControl w:val="0"/>
              <w:jc w:val="right"/>
              <w:rPr>
                <w:szCs w:val="21"/>
              </w:rPr>
            </w:pPr>
            <w:r>
              <w:rPr>
                <w:rFonts w:hint="eastAsia"/>
                <w:color w:val="auto"/>
              </w:rPr>
              <w:t>-5.40</w:t>
            </w:r>
          </w:p>
        </w:tc>
        <w:tc>
          <w:tcPr>
            <w:tcW w:w="669" w:type="dxa"/>
            <w:tcBorders>
              <w:bottom w:val="single" w:color="auto" w:sz="4" w:space="0"/>
            </w:tcBorders>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continue"/>
            <w:tcBorders>
              <w:bottom w:val="single" w:color="auto" w:sz="4" w:space="0"/>
            </w:tcBorders>
            <w:vAlign w:val="center"/>
          </w:tcPr>
          <w:p>
            <w:pPr>
              <w:widowControl w:val="0"/>
              <w:jc w:val="both"/>
              <w:rPr>
                <w:szCs w:val="21"/>
              </w:rPr>
            </w:pPr>
          </w:p>
        </w:tc>
        <w:tc>
          <w:tcPr>
            <w:tcW w:w="1255" w:type="dxa"/>
            <w:tcBorders>
              <w:bottom w:val="single" w:color="auto" w:sz="4" w:space="0"/>
            </w:tcBorders>
            <w:vAlign w:val="center"/>
          </w:tcPr>
          <w:p>
            <w:pPr>
              <w:widowControl w:val="0"/>
              <w:jc w:val="both"/>
              <w:rPr>
                <w:szCs w:val="21"/>
              </w:rPr>
            </w:pPr>
            <w:r>
              <w:rPr>
                <w:rFonts w:hint="eastAsia"/>
                <w:color w:val="auto"/>
              </w:rPr>
              <w:t>制造费用</w:t>
            </w:r>
          </w:p>
        </w:tc>
        <w:tc>
          <w:tcPr>
            <w:tcW w:w="1625" w:type="dxa"/>
            <w:tcBorders>
              <w:bottom w:val="single" w:color="auto" w:sz="4" w:space="0"/>
            </w:tcBorders>
            <w:vAlign w:val="center"/>
          </w:tcPr>
          <w:p>
            <w:pPr>
              <w:widowControl w:val="0"/>
              <w:jc w:val="right"/>
              <w:rPr>
                <w:szCs w:val="21"/>
              </w:rPr>
            </w:pPr>
            <w:r>
              <w:rPr>
                <w:rFonts w:hint="eastAsia"/>
                <w:color w:val="auto"/>
              </w:rPr>
              <w:t>4,082,533.92</w:t>
            </w:r>
          </w:p>
        </w:tc>
        <w:tc>
          <w:tcPr>
            <w:tcW w:w="899" w:type="dxa"/>
            <w:tcBorders>
              <w:bottom w:val="single" w:color="auto" w:sz="4" w:space="0"/>
            </w:tcBorders>
            <w:vAlign w:val="center"/>
          </w:tcPr>
          <w:p>
            <w:pPr>
              <w:widowControl w:val="0"/>
              <w:jc w:val="right"/>
              <w:rPr>
                <w:szCs w:val="21"/>
              </w:rPr>
            </w:pPr>
            <w:r>
              <w:rPr>
                <w:rFonts w:hint="eastAsia"/>
                <w:color w:val="auto"/>
              </w:rPr>
              <w:t>6.88</w:t>
            </w:r>
          </w:p>
        </w:tc>
        <w:tc>
          <w:tcPr>
            <w:tcW w:w="1719" w:type="dxa"/>
            <w:tcBorders>
              <w:bottom w:val="single" w:color="auto" w:sz="4" w:space="0"/>
            </w:tcBorders>
            <w:vAlign w:val="center"/>
          </w:tcPr>
          <w:p>
            <w:pPr>
              <w:widowControl w:val="0"/>
              <w:jc w:val="right"/>
              <w:rPr>
                <w:szCs w:val="21"/>
              </w:rPr>
            </w:pPr>
            <w:r>
              <w:rPr>
                <w:rFonts w:hint="eastAsia"/>
                <w:color w:val="auto"/>
              </w:rPr>
              <w:t>4,368,285.91</w:t>
            </w:r>
          </w:p>
        </w:tc>
        <w:tc>
          <w:tcPr>
            <w:tcW w:w="1058" w:type="dxa"/>
            <w:tcBorders>
              <w:bottom w:val="single" w:color="auto" w:sz="4" w:space="0"/>
            </w:tcBorders>
            <w:vAlign w:val="center"/>
          </w:tcPr>
          <w:p>
            <w:pPr>
              <w:widowControl w:val="0"/>
              <w:jc w:val="right"/>
              <w:rPr>
                <w:szCs w:val="21"/>
              </w:rPr>
            </w:pPr>
            <w:r>
              <w:rPr>
                <w:rFonts w:hint="eastAsia"/>
                <w:color w:val="auto"/>
              </w:rPr>
              <w:t>7.00</w:t>
            </w:r>
          </w:p>
        </w:tc>
        <w:tc>
          <w:tcPr>
            <w:tcW w:w="873" w:type="dxa"/>
            <w:tcBorders>
              <w:bottom w:val="single" w:color="auto" w:sz="4" w:space="0"/>
            </w:tcBorders>
            <w:vAlign w:val="center"/>
          </w:tcPr>
          <w:p>
            <w:pPr>
              <w:widowControl w:val="0"/>
              <w:jc w:val="right"/>
              <w:rPr>
                <w:szCs w:val="21"/>
              </w:rPr>
            </w:pPr>
            <w:r>
              <w:rPr>
                <w:rFonts w:hint="eastAsia"/>
                <w:color w:val="auto"/>
              </w:rPr>
              <w:t>-6.54</w:t>
            </w:r>
          </w:p>
        </w:tc>
        <w:tc>
          <w:tcPr>
            <w:tcW w:w="669" w:type="dxa"/>
            <w:tcBorders>
              <w:bottom w:val="single" w:color="auto" w:sz="4" w:space="0"/>
            </w:tcBorders>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continue"/>
            <w:tcBorders>
              <w:bottom w:val="single" w:color="auto" w:sz="4" w:space="0"/>
            </w:tcBorders>
            <w:vAlign w:val="center"/>
          </w:tcPr>
          <w:p>
            <w:pPr>
              <w:widowControl w:val="0"/>
              <w:jc w:val="both"/>
              <w:rPr>
                <w:szCs w:val="21"/>
              </w:rPr>
            </w:pPr>
          </w:p>
        </w:tc>
        <w:tc>
          <w:tcPr>
            <w:tcW w:w="1255" w:type="dxa"/>
            <w:tcBorders>
              <w:bottom w:val="single" w:color="auto" w:sz="4" w:space="0"/>
            </w:tcBorders>
            <w:vAlign w:val="center"/>
          </w:tcPr>
          <w:p>
            <w:pPr>
              <w:widowControl w:val="0"/>
              <w:jc w:val="both"/>
              <w:rPr>
                <w:szCs w:val="21"/>
              </w:rPr>
            </w:pPr>
            <w:r>
              <w:rPr>
                <w:rFonts w:hint="eastAsia"/>
                <w:color w:val="auto"/>
              </w:rPr>
              <w:t>运输费用</w:t>
            </w:r>
          </w:p>
        </w:tc>
        <w:tc>
          <w:tcPr>
            <w:tcW w:w="1625" w:type="dxa"/>
            <w:tcBorders>
              <w:bottom w:val="single" w:color="auto" w:sz="4" w:space="0"/>
            </w:tcBorders>
            <w:vAlign w:val="center"/>
          </w:tcPr>
          <w:p>
            <w:pPr>
              <w:widowControl w:val="0"/>
              <w:jc w:val="right"/>
              <w:rPr>
                <w:szCs w:val="21"/>
              </w:rPr>
            </w:pPr>
            <w:r>
              <w:rPr>
                <w:rFonts w:hint="eastAsia"/>
                <w:color w:val="auto"/>
              </w:rPr>
              <w:t>1,135,310.40</w:t>
            </w:r>
          </w:p>
        </w:tc>
        <w:tc>
          <w:tcPr>
            <w:tcW w:w="899" w:type="dxa"/>
            <w:tcBorders>
              <w:bottom w:val="single" w:color="auto" w:sz="4" w:space="0"/>
            </w:tcBorders>
            <w:vAlign w:val="center"/>
          </w:tcPr>
          <w:p>
            <w:pPr>
              <w:widowControl w:val="0"/>
              <w:jc w:val="right"/>
              <w:rPr>
                <w:szCs w:val="21"/>
              </w:rPr>
            </w:pPr>
            <w:r>
              <w:rPr>
                <w:rFonts w:hint="eastAsia"/>
                <w:color w:val="auto"/>
              </w:rPr>
              <w:t>1.91</w:t>
            </w:r>
          </w:p>
        </w:tc>
        <w:tc>
          <w:tcPr>
            <w:tcW w:w="1719" w:type="dxa"/>
            <w:tcBorders>
              <w:bottom w:val="single" w:color="auto" w:sz="4" w:space="0"/>
            </w:tcBorders>
            <w:vAlign w:val="center"/>
          </w:tcPr>
          <w:p>
            <w:pPr>
              <w:widowControl w:val="0"/>
              <w:jc w:val="right"/>
              <w:rPr>
                <w:szCs w:val="21"/>
              </w:rPr>
            </w:pPr>
            <w:r>
              <w:rPr>
                <w:rFonts w:hint="eastAsia"/>
                <w:color w:val="auto"/>
              </w:rPr>
              <w:t>1,162,349.72</w:t>
            </w:r>
          </w:p>
        </w:tc>
        <w:tc>
          <w:tcPr>
            <w:tcW w:w="1058" w:type="dxa"/>
            <w:tcBorders>
              <w:bottom w:val="single" w:color="auto" w:sz="4" w:space="0"/>
            </w:tcBorders>
            <w:vAlign w:val="center"/>
          </w:tcPr>
          <w:p>
            <w:pPr>
              <w:widowControl w:val="0"/>
              <w:jc w:val="right"/>
              <w:rPr>
                <w:szCs w:val="21"/>
              </w:rPr>
            </w:pPr>
            <w:r>
              <w:rPr>
                <w:rFonts w:hint="eastAsia"/>
                <w:color w:val="auto"/>
              </w:rPr>
              <w:t>1.86</w:t>
            </w:r>
          </w:p>
        </w:tc>
        <w:tc>
          <w:tcPr>
            <w:tcW w:w="873" w:type="dxa"/>
            <w:tcBorders>
              <w:bottom w:val="single" w:color="auto" w:sz="4" w:space="0"/>
            </w:tcBorders>
            <w:vAlign w:val="center"/>
          </w:tcPr>
          <w:p>
            <w:pPr>
              <w:widowControl w:val="0"/>
              <w:jc w:val="right"/>
              <w:rPr>
                <w:szCs w:val="21"/>
              </w:rPr>
            </w:pPr>
            <w:r>
              <w:rPr>
                <w:rFonts w:hint="eastAsia"/>
                <w:color w:val="auto"/>
              </w:rPr>
              <w:t>-2.33</w:t>
            </w:r>
          </w:p>
        </w:tc>
        <w:tc>
          <w:tcPr>
            <w:tcW w:w="669" w:type="dxa"/>
            <w:tcBorders>
              <w:bottom w:val="single" w:color="auto" w:sz="4" w:space="0"/>
            </w:tcBorders>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continue"/>
            <w:tcBorders>
              <w:bottom w:val="single" w:color="auto" w:sz="4" w:space="0"/>
            </w:tcBorders>
            <w:vAlign w:val="center"/>
          </w:tcPr>
          <w:p>
            <w:pPr>
              <w:widowControl w:val="0"/>
              <w:jc w:val="both"/>
              <w:rPr>
                <w:szCs w:val="21"/>
              </w:rPr>
            </w:pPr>
          </w:p>
        </w:tc>
        <w:tc>
          <w:tcPr>
            <w:tcW w:w="1255" w:type="dxa"/>
            <w:tcBorders>
              <w:bottom w:val="single" w:color="auto" w:sz="4" w:space="0"/>
            </w:tcBorders>
            <w:vAlign w:val="center"/>
          </w:tcPr>
          <w:p>
            <w:pPr>
              <w:widowControl w:val="0"/>
              <w:jc w:val="both"/>
              <w:rPr>
                <w:szCs w:val="21"/>
              </w:rPr>
            </w:pPr>
            <w:r>
              <w:rPr>
                <w:rFonts w:hint="eastAsia"/>
                <w:color w:val="auto"/>
              </w:rPr>
              <w:t>外购产品采购成本</w:t>
            </w:r>
          </w:p>
        </w:tc>
        <w:tc>
          <w:tcPr>
            <w:tcW w:w="1625" w:type="dxa"/>
            <w:tcBorders>
              <w:bottom w:val="single" w:color="auto" w:sz="4" w:space="0"/>
            </w:tcBorders>
            <w:vAlign w:val="center"/>
          </w:tcPr>
          <w:p>
            <w:pPr>
              <w:widowControl w:val="0"/>
              <w:jc w:val="right"/>
              <w:rPr>
                <w:szCs w:val="21"/>
              </w:rPr>
            </w:pPr>
            <w:r>
              <w:rPr>
                <w:rFonts w:hint="eastAsia"/>
                <w:color w:val="auto"/>
              </w:rPr>
              <w:t>73,948.03</w:t>
            </w:r>
          </w:p>
        </w:tc>
        <w:tc>
          <w:tcPr>
            <w:tcW w:w="899" w:type="dxa"/>
            <w:tcBorders>
              <w:bottom w:val="single" w:color="auto" w:sz="4" w:space="0"/>
            </w:tcBorders>
            <w:vAlign w:val="center"/>
          </w:tcPr>
          <w:p>
            <w:pPr>
              <w:widowControl w:val="0"/>
              <w:jc w:val="right"/>
              <w:rPr>
                <w:szCs w:val="21"/>
              </w:rPr>
            </w:pPr>
            <w:r>
              <w:rPr>
                <w:rFonts w:hint="eastAsia"/>
                <w:color w:val="auto"/>
              </w:rPr>
              <w:t>0.13</w:t>
            </w:r>
          </w:p>
        </w:tc>
        <w:tc>
          <w:tcPr>
            <w:tcW w:w="1719" w:type="dxa"/>
            <w:tcBorders>
              <w:bottom w:val="single" w:color="auto" w:sz="4" w:space="0"/>
            </w:tcBorders>
            <w:vAlign w:val="center"/>
          </w:tcPr>
          <w:p>
            <w:pPr>
              <w:widowControl w:val="0"/>
              <w:jc w:val="right"/>
              <w:rPr>
                <w:szCs w:val="21"/>
              </w:rPr>
            </w:pPr>
            <w:r>
              <w:rPr>
                <w:rFonts w:hint="eastAsia"/>
                <w:color w:val="auto"/>
              </w:rPr>
              <w:t>537,713.51</w:t>
            </w:r>
          </w:p>
        </w:tc>
        <w:tc>
          <w:tcPr>
            <w:tcW w:w="1058" w:type="dxa"/>
            <w:tcBorders>
              <w:bottom w:val="single" w:color="auto" w:sz="4" w:space="0"/>
            </w:tcBorders>
            <w:vAlign w:val="center"/>
          </w:tcPr>
          <w:p>
            <w:pPr>
              <w:widowControl w:val="0"/>
              <w:jc w:val="right"/>
              <w:rPr>
                <w:szCs w:val="21"/>
              </w:rPr>
            </w:pPr>
            <w:r>
              <w:rPr>
                <w:rFonts w:hint="eastAsia"/>
                <w:color w:val="auto"/>
              </w:rPr>
              <w:t>0.86</w:t>
            </w:r>
          </w:p>
        </w:tc>
        <w:tc>
          <w:tcPr>
            <w:tcW w:w="873" w:type="dxa"/>
            <w:tcBorders>
              <w:bottom w:val="single" w:color="auto" w:sz="4" w:space="0"/>
            </w:tcBorders>
            <w:vAlign w:val="center"/>
          </w:tcPr>
          <w:p>
            <w:pPr>
              <w:widowControl w:val="0"/>
              <w:jc w:val="right"/>
              <w:rPr>
                <w:szCs w:val="21"/>
              </w:rPr>
            </w:pPr>
            <w:r>
              <w:rPr>
                <w:rFonts w:hint="eastAsia"/>
                <w:color w:val="auto"/>
              </w:rPr>
              <w:t>-86.25</w:t>
            </w:r>
          </w:p>
        </w:tc>
        <w:tc>
          <w:tcPr>
            <w:tcW w:w="669" w:type="dxa"/>
            <w:tcBorders>
              <w:bottom w:val="single" w:color="auto" w:sz="4" w:space="0"/>
            </w:tcBorders>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vMerge w:val="continue"/>
            <w:tcBorders>
              <w:bottom w:val="single" w:color="auto" w:sz="4" w:space="0"/>
            </w:tcBorders>
            <w:vAlign w:val="center"/>
          </w:tcPr>
          <w:p>
            <w:pPr>
              <w:widowControl w:val="0"/>
              <w:jc w:val="both"/>
              <w:rPr>
                <w:szCs w:val="21"/>
              </w:rPr>
            </w:pPr>
          </w:p>
        </w:tc>
        <w:tc>
          <w:tcPr>
            <w:tcW w:w="1255" w:type="dxa"/>
            <w:tcBorders>
              <w:bottom w:val="single" w:color="auto" w:sz="4" w:space="0"/>
            </w:tcBorders>
            <w:vAlign w:val="center"/>
          </w:tcPr>
          <w:p>
            <w:pPr>
              <w:widowControl w:val="0"/>
              <w:jc w:val="both"/>
              <w:rPr>
                <w:szCs w:val="21"/>
              </w:rPr>
            </w:pPr>
            <w:r>
              <w:rPr>
                <w:rFonts w:hint="eastAsia"/>
                <w:color w:val="auto"/>
              </w:rPr>
              <w:t>小计</w:t>
            </w:r>
          </w:p>
        </w:tc>
        <w:tc>
          <w:tcPr>
            <w:tcW w:w="1625" w:type="dxa"/>
            <w:tcBorders>
              <w:bottom w:val="single" w:color="auto" w:sz="4" w:space="0"/>
            </w:tcBorders>
            <w:vAlign w:val="center"/>
          </w:tcPr>
          <w:p>
            <w:pPr>
              <w:widowControl w:val="0"/>
              <w:jc w:val="right"/>
              <w:rPr>
                <w:szCs w:val="21"/>
              </w:rPr>
            </w:pPr>
            <w:r>
              <w:rPr>
                <w:rFonts w:hint="eastAsia"/>
                <w:color w:val="auto"/>
              </w:rPr>
              <w:t>55,372,050.01</w:t>
            </w:r>
          </w:p>
        </w:tc>
        <w:tc>
          <w:tcPr>
            <w:tcW w:w="899" w:type="dxa"/>
            <w:tcBorders>
              <w:bottom w:val="single" w:color="auto" w:sz="4" w:space="0"/>
            </w:tcBorders>
            <w:vAlign w:val="center"/>
          </w:tcPr>
          <w:p>
            <w:pPr>
              <w:widowControl w:val="0"/>
              <w:jc w:val="right"/>
              <w:rPr>
                <w:szCs w:val="21"/>
              </w:rPr>
            </w:pPr>
            <w:r>
              <w:rPr>
                <w:rFonts w:hint="eastAsia"/>
                <w:color w:val="auto"/>
              </w:rPr>
              <w:t>100.00</w:t>
            </w:r>
          </w:p>
        </w:tc>
        <w:tc>
          <w:tcPr>
            <w:tcW w:w="1719" w:type="dxa"/>
            <w:tcBorders>
              <w:bottom w:val="single" w:color="auto" w:sz="4" w:space="0"/>
            </w:tcBorders>
            <w:vAlign w:val="center"/>
          </w:tcPr>
          <w:p>
            <w:pPr>
              <w:widowControl w:val="0"/>
              <w:jc w:val="right"/>
              <w:rPr>
                <w:szCs w:val="21"/>
              </w:rPr>
            </w:pPr>
            <w:r>
              <w:rPr>
                <w:rFonts w:hint="eastAsia"/>
                <w:color w:val="auto"/>
              </w:rPr>
              <w:t>62,403,654.78</w:t>
            </w:r>
          </w:p>
        </w:tc>
        <w:tc>
          <w:tcPr>
            <w:tcW w:w="1058" w:type="dxa"/>
            <w:tcBorders>
              <w:bottom w:val="single" w:color="auto" w:sz="4" w:space="0"/>
            </w:tcBorders>
            <w:vAlign w:val="center"/>
          </w:tcPr>
          <w:p>
            <w:pPr>
              <w:widowControl w:val="0"/>
              <w:jc w:val="right"/>
              <w:rPr>
                <w:szCs w:val="21"/>
              </w:rPr>
            </w:pPr>
            <w:r>
              <w:rPr>
                <w:rFonts w:hint="eastAsia"/>
                <w:color w:val="auto"/>
              </w:rPr>
              <w:t>100.00</w:t>
            </w:r>
          </w:p>
        </w:tc>
        <w:tc>
          <w:tcPr>
            <w:tcW w:w="873" w:type="dxa"/>
            <w:tcBorders>
              <w:bottom w:val="single" w:color="auto" w:sz="4" w:space="0"/>
            </w:tcBorders>
            <w:vAlign w:val="center"/>
          </w:tcPr>
          <w:p>
            <w:pPr>
              <w:widowControl w:val="0"/>
              <w:jc w:val="right"/>
              <w:rPr>
                <w:szCs w:val="21"/>
              </w:rPr>
            </w:pPr>
            <w:r>
              <w:rPr>
                <w:rFonts w:hint="eastAsia"/>
                <w:color w:val="auto"/>
              </w:rPr>
              <w:t>-11.27</w:t>
            </w:r>
          </w:p>
        </w:tc>
        <w:tc>
          <w:tcPr>
            <w:tcW w:w="669" w:type="dxa"/>
            <w:tcBorders>
              <w:bottom w:val="single" w:color="auto" w:sz="4" w:space="0"/>
            </w:tcBorders>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tcBorders>
              <w:bottom w:val="single" w:color="auto" w:sz="4" w:space="0"/>
            </w:tcBorders>
            <w:vAlign w:val="center"/>
          </w:tcPr>
          <w:p>
            <w:pPr>
              <w:widowControl w:val="0"/>
              <w:jc w:val="both"/>
              <w:rPr>
                <w:szCs w:val="21"/>
              </w:rPr>
            </w:pPr>
            <w:r>
              <w:rPr>
                <w:rFonts w:hint="eastAsia"/>
                <w:color w:val="auto"/>
              </w:rPr>
              <w:t>商业贸易</w:t>
            </w:r>
          </w:p>
        </w:tc>
        <w:tc>
          <w:tcPr>
            <w:tcW w:w="1255" w:type="dxa"/>
            <w:tcBorders>
              <w:bottom w:val="single" w:color="auto" w:sz="4" w:space="0"/>
            </w:tcBorders>
            <w:vAlign w:val="center"/>
          </w:tcPr>
          <w:p>
            <w:pPr>
              <w:widowControl w:val="0"/>
              <w:jc w:val="both"/>
              <w:rPr>
                <w:szCs w:val="21"/>
              </w:rPr>
            </w:pPr>
            <w:r>
              <w:rPr>
                <w:rFonts w:hint="eastAsia"/>
                <w:color w:val="auto"/>
              </w:rPr>
              <w:t>商业贸易</w:t>
            </w:r>
          </w:p>
        </w:tc>
        <w:tc>
          <w:tcPr>
            <w:tcW w:w="1625" w:type="dxa"/>
            <w:tcBorders>
              <w:bottom w:val="single" w:color="auto" w:sz="4" w:space="0"/>
            </w:tcBorders>
            <w:vAlign w:val="center"/>
          </w:tcPr>
          <w:p>
            <w:pPr>
              <w:widowControl w:val="0"/>
              <w:jc w:val="right"/>
              <w:rPr>
                <w:szCs w:val="21"/>
              </w:rPr>
            </w:pPr>
            <w:r>
              <w:rPr>
                <w:rFonts w:hint="eastAsia"/>
                <w:color w:val="auto"/>
              </w:rPr>
              <w:t>10,824,642.37</w:t>
            </w:r>
          </w:p>
        </w:tc>
        <w:tc>
          <w:tcPr>
            <w:tcW w:w="899" w:type="dxa"/>
            <w:tcBorders>
              <w:bottom w:val="single" w:color="auto" w:sz="4" w:space="0"/>
            </w:tcBorders>
            <w:vAlign w:val="center"/>
          </w:tcPr>
          <w:p>
            <w:pPr>
              <w:widowControl w:val="0"/>
              <w:jc w:val="right"/>
              <w:rPr>
                <w:szCs w:val="21"/>
              </w:rPr>
            </w:pPr>
            <w:r>
              <w:rPr>
                <w:rFonts w:hint="eastAsia"/>
                <w:color w:val="auto"/>
              </w:rPr>
              <w:t>100.00</w:t>
            </w:r>
          </w:p>
        </w:tc>
        <w:tc>
          <w:tcPr>
            <w:tcW w:w="1719" w:type="dxa"/>
            <w:tcBorders>
              <w:bottom w:val="single" w:color="auto" w:sz="4" w:space="0"/>
            </w:tcBorders>
            <w:vAlign w:val="center"/>
          </w:tcPr>
          <w:p>
            <w:pPr>
              <w:widowControl w:val="0"/>
              <w:jc w:val="right"/>
              <w:rPr>
                <w:szCs w:val="21"/>
              </w:rPr>
            </w:pPr>
            <w:r>
              <w:rPr>
                <w:rFonts w:hint="eastAsia"/>
                <w:color w:val="auto"/>
              </w:rPr>
              <w:t>7,299,163.28</w:t>
            </w:r>
          </w:p>
        </w:tc>
        <w:tc>
          <w:tcPr>
            <w:tcW w:w="1058" w:type="dxa"/>
            <w:tcBorders>
              <w:bottom w:val="single" w:color="auto" w:sz="4" w:space="0"/>
            </w:tcBorders>
            <w:vAlign w:val="center"/>
          </w:tcPr>
          <w:p>
            <w:pPr>
              <w:widowControl w:val="0"/>
              <w:jc w:val="right"/>
              <w:rPr>
                <w:szCs w:val="21"/>
              </w:rPr>
            </w:pPr>
            <w:r>
              <w:rPr>
                <w:rFonts w:hint="eastAsia"/>
                <w:color w:val="auto"/>
              </w:rPr>
              <w:t>100.00</w:t>
            </w:r>
          </w:p>
        </w:tc>
        <w:tc>
          <w:tcPr>
            <w:tcW w:w="873" w:type="dxa"/>
            <w:tcBorders>
              <w:bottom w:val="single" w:color="auto" w:sz="4" w:space="0"/>
            </w:tcBorders>
            <w:vAlign w:val="center"/>
          </w:tcPr>
          <w:p>
            <w:pPr>
              <w:widowControl w:val="0"/>
              <w:jc w:val="right"/>
              <w:rPr>
                <w:szCs w:val="21"/>
              </w:rPr>
            </w:pPr>
            <w:r>
              <w:rPr>
                <w:rFonts w:hint="eastAsia"/>
                <w:color w:val="auto"/>
              </w:rPr>
              <w:t>48.30</w:t>
            </w:r>
          </w:p>
        </w:tc>
        <w:tc>
          <w:tcPr>
            <w:tcW w:w="669" w:type="dxa"/>
            <w:tcBorders>
              <w:bottom w:val="single" w:color="auto" w:sz="4" w:space="0"/>
            </w:tcBorders>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36" w:type="dxa"/>
            <w:tcBorders>
              <w:bottom w:val="single" w:color="auto" w:sz="4" w:space="0"/>
            </w:tcBorders>
            <w:vAlign w:val="center"/>
          </w:tcPr>
          <w:p>
            <w:pPr>
              <w:widowControl w:val="0"/>
              <w:jc w:val="both"/>
              <w:rPr>
                <w:szCs w:val="21"/>
              </w:rPr>
            </w:pPr>
            <w:r>
              <w:rPr>
                <w:rFonts w:hint="eastAsia"/>
                <w:color w:val="auto"/>
              </w:rPr>
              <w:t>合计</w:t>
            </w:r>
          </w:p>
        </w:tc>
        <w:tc>
          <w:tcPr>
            <w:tcW w:w="1255" w:type="dxa"/>
            <w:tcBorders>
              <w:bottom w:val="single" w:color="auto" w:sz="4" w:space="0"/>
            </w:tcBorders>
            <w:vAlign w:val="center"/>
          </w:tcPr>
          <w:p>
            <w:pPr>
              <w:widowControl w:val="0"/>
              <w:jc w:val="both"/>
              <w:rPr>
                <w:szCs w:val="21"/>
              </w:rPr>
            </w:pPr>
            <w:r>
              <w:rPr>
                <w:rFonts w:hint="eastAsia"/>
                <w:color w:val="auto"/>
              </w:rPr>
              <w:t>/</w:t>
            </w:r>
          </w:p>
        </w:tc>
        <w:tc>
          <w:tcPr>
            <w:tcW w:w="1625" w:type="dxa"/>
            <w:tcBorders>
              <w:bottom w:val="single" w:color="auto" w:sz="4" w:space="0"/>
            </w:tcBorders>
            <w:vAlign w:val="center"/>
          </w:tcPr>
          <w:p>
            <w:pPr>
              <w:widowControl w:val="0"/>
              <w:jc w:val="right"/>
              <w:rPr>
                <w:szCs w:val="21"/>
              </w:rPr>
            </w:pPr>
            <w:r>
              <w:rPr>
                <w:rFonts w:hint="eastAsia"/>
                <w:color w:val="auto"/>
              </w:rPr>
              <w:t>877,454,810.78</w:t>
            </w:r>
          </w:p>
        </w:tc>
        <w:tc>
          <w:tcPr>
            <w:tcW w:w="899" w:type="dxa"/>
            <w:tcBorders>
              <w:bottom w:val="single" w:color="auto" w:sz="4" w:space="0"/>
            </w:tcBorders>
            <w:vAlign w:val="center"/>
          </w:tcPr>
          <w:p>
            <w:pPr>
              <w:widowControl w:val="0"/>
              <w:jc w:val="right"/>
              <w:rPr>
                <w:szCs w:val="21"/>
              </w:rPr>
            </w:pPr>
            <w:r>
              <w:rPr>
                <w:rFonts w:hint="eastAsia"/>
                <w:color w:val="auto"/>
              </w:rPr>
              <w:t>100.00</w:t>
            </w:r>
          </w:p>
        </w:tc>
        <w:tc>
          <w:tcPr>
            <w:tcW w:w="1719" w:type="dxa"/>
            <w:tcBorders>
              <w:bottom w:val="single" w:color="auto" w:sz="4" w:space="0"/>
            </w:tcBorders>
            <w:vAlign w:val="center"/>
          </w:tcPr>
          <w:p>
            <w:pPr>
              <w:widowControl w:val="0"/>
              <w:jc w:val="right"/>
              <w:rPr>
                <w:szCs w:val="21"/>
              </w:rPr>
            </w:pPr>
            <w:r>
              <w:rPr>
                <w:rFonts w:hint="eastAsia"/>
                <w:color w:val="auto"/>
              </w:rPr>
              <w:t>870,003,234.65</w:t>
            </w:r>
          </w:p>
        </w:tc>
        <w:tc>
          <w:tcPr>
            <w:tcW w:w="1058" w:type="dxa"/>
            <w:tcBorders>
              <w:bottom w:val="single" w:color="auto" w:sz="4" w:space="0"/>
            </w:tcBorders>
            <w:vAlign w:val="center"/>
          </w:tcPr>
          <w:p>
            <w:pPr>
              <w:widowControl w:val="0"/>
              <w:jc w:val="right"/>
              <w:rPr>
                <w:szCs w:val="21"/>
              </w:rPr>
            </w:pPr>
            <w:r>
              <w:rPr>
                <w:rFonts w:hint="eastAsia"/>
                <w:color w:val="auto"/>
              </w:rPr>
              <w:t>100.00</w:t>
            </w:r>
          </w:p>
        </w:tc>
        <w:tc>
          <w:tcPr>
            <w:tcW w:w="873" w:type="dxa"/>
            <w:tcBorders>
              <w:bottom w:val="single" w:color="auto" w:sz="4" w:space="0"/>
            </w:tcBorders>
            <w:vAlign w:val="center"/>
          </w:tcPr>
          <w:p>
            <w:pPr>
              <w:widowControl w:val="0"/>
              <w:jc w:val="right"/>
              <w:rPr>
                <w:szCs w:val="21"/>
              </w:rPr>
            </w:pPr>
            <w:r>
              <w:rPr>
                <w:rFonts w:hint="eastAsia"/>
                <w:color w:val="auto"/>
              </w:rPr>
              <w:t>0.86</w:t>
            </w:r>
          </w:p>
        </w:tc>
        <w:tc>
          <w:tcPr>
            <w:tcW w:w="669" w:type="dxa"/>
            <w:tcBorders>
              <w:bottom w:val="single" w:color="auto" w:sz="4" w:space="0"/>
            </w:tcBorders>
            <w:vAlign w:val="center"/>
          </w:tcPr>
          <w:p>
            <w:pPr>
              <w:widowControl w:val="0"/>
              <w:jc w:val="both"/>
              <w:rPr>
                <w:szCs w:val="21"/>
              </w:rPr>
            </w:pPr>
          </w:p>
        </w:tc>
      </w:tr>
    </w:tbl>
    <w:p/>
    <w:p>
      <w:pPr>
        <w:spacing w:before="240" w:beforeLines="100" w:line="360" w:lineRule="auto"/>
        <w:rPr>
          <w:szCs w:val="21"/>
        </w:rPr>
      </w:pPr>
      <w:r>
        <w:rPr>
          <w:rFonts w:hint="eastAsia"/>
          <w:szCs w:val="21"/>
        </w:rPr>
        <w:t>本分析其他情况说明</w:t>
      </w:r>
    </w:p>
    <w:sdt>
      <w:sdtPr>
        <w:rPr>
          <w:rFonts w:hint="eastAsia"/>
          <w:szCs w:val="21"/>
        </w:rPr>
        <w:alias w:val="成本分析其他情况"/>
        <w:tag w:val="_GBC_93fdd34ed0d546d3bf448336c6187b3a"/>
        <w:id w:val="5799"/>
        <w:placeholder>
          <w:docPart w:val="GBC22222222222222222222222222222"/>
        </w:placeholder>
      </w:sdtPr>
      <w:sdtEndPr>
        <w:rPr>
          <w:rFonts w:hint="eastAsia"/>
          <w:szCs w:val="21"/>
        </w:rPr>
      </w:sdtEndPr>
      <w:sdtContent>
        <w:p>
          <w:pPr>
            <w:rPr>
              <w:szCs w:val="21"/>
            </w:rPr>
          </w:pPr>
          <w:r>
            <w:rPr>
              <w:rFonts w:hint="eastAsia"/>
              <w:szCs w:val="21"/>
            </w:rPr>
            <w:t>无</w:t>
          </w:r>
        </w:p>
      </w:sdtContent>
    </w:sdt>
    <w:p>
      <w:pPr>
        <w:rPr>
          <w:szCs w:val="21"/>
        </w:rPr>
      </w:pPr>
    </w:p>
    <w:p>
      <w:pPr>
        <w:pStyle w:val="6"/>
        <w:numPr>
          <w:ilvl w:val="0"/>
          <w:numId w:val="10"/>
        </w:numPr>
        <w:tabs>
          <w:tab w:val="left" w:pos="567"/>
        </w:tabs>
        <w:ind w:leftChars="0"/>
        <w:rPr>
          <w:rFonts w:hint="eastAsia" w:ascii="宋体" w:hAnsi="宋体" w:cs="宋体"/>
          <w:kern w:val="0"/>
          <w:szCs w:val="24"/>
        </w:rPr>
      </w:pPr>
      <w:bookmarkStart w:id="53" w:name="_Hlk89876513"/>
      <w:r>
        <w:rPr>
          <w:rFonts w:ascii="宋体" w:hAnsi="宋体" w:cs="宋体"/>
          <w:kern w:val="0"/>
          <w:szCs w:val="24"/>
        </w:rPr>
        <w:t>报告期主要子公司股权变动导致合并范围变化</w:t>
      </w:r>
    </w:p>
    <w:sdt>
      <w:sdtPr>
        <w:alias w:val="是否适用：报告期主要子公司股权变动导致合并范围变化 [双击切换]"/>
        <w:tag w:val="_GBC_f684be8377fd464e8fc7d9a0e6df7b78"/>
        <w:id w:val="5800"/>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报告期主要子公司股权变动导致合并范围变化 "/>
        <w:tag w:val="_GBC_f76ab547bfda48a7bfad4c28f29bb995"/>
        <w:id w:val="5801"/>
        <w:placeholder>
          <w:docPart w:val="GBC22222222222222222222222222222"/>
        </w:placeholder>
      </w:sdtPr>
      <w:sdtEndPr>
        <w:rPr>
          <w:rFonts w:hint="eastAsia"/>
        </w:rPr>
      </w:sdtEndPr>
      <w:sdtContent>
        <w:p>
          <w:r>
            <w:rPr>
              <w:rFonts w:hint="eastAsia"/>
            </w:rPr>
            <w:t>报告期内，公司合并报表范围新增柳州两面针供应链有限公司。</w:t>
          </w:r>
        </w:p>
      </w:sdtContent>
    </w:sdt>
    <w:p/>
    <w:p>
      <w:pPr>
        <w:pStyle w:val="6"/>
        <w:numPr>
          <w:ilvl w:val="0"/>
          <w:numId w:val="10"/>
        </w:numPr>
        <w:tabs>
          <w:tab w:val="left" w:pos="567"/>
        </w:tabs>
        <w:ind w:leftChars="0"/>
        <w:rPr>
          <w:rFonts w:hint="eastAsia" w:ascii="宋体" w:hAnsi="宋体" w:cs="宋体"/>
          <w:kern w:val="0"/>
          <w:szCs w:val="24"/>
        </w:rPr>
      </w:pPr>
      <w:r>
        <w:rPr>
          <w:rFonts w:ascii="宋体" w:hAnsi="宋体" w:cs="宋体"/>
          <w:kern w:val="0"/>
          <w:szCs w:val="24"/>
        </w:rPr>
        <w:t>公司报告期内业务、产品或服务发生重大变化或调整有关情况</w:t>
      </w:r>
    </w:p>
    <w:sdt>
      <w:sdtPr>
        <w:alias w:val="是否适用：公司报告期内业务、产品或服务发生重大变化或调整有关情况  [双击切换]"/>
        <w:tag w:val="_GBC_f5a966f2eb244fd68a4bc2176691f92b"/>
        <w:id w:val="5802"/>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bookmarkEnd w:id="53"/>
    <w:p>
      <w:pPr>
        <w:pStyle w:val="6"/>
        <w:numPr>
          <w:ilvl w:val="0"/>
          <w:numId w:val="10"/>
        </w:numPr>
        <w:tabs>
          <w:tab w:val="left" w:pos="567"/>
        </w:tabs>
        <w:ind w:leftChars="0"/>
        <w:rPr>
          <w:rFonts w:hint="eastAsia" w:ascii="宋体" w:hAnsi="宋体" w:cs="宋体"/>
          <w:kern w:val="0"/>
          <w:szCs w:val="24"/>
        </w:rPr>
      </w:pPr>
      <w:r>
        <w:rPr>
          <w:rFonts w:ascii="宋体" w:hAnsi="宋体" w:cs="宋体"/>
          <w:kern w:val="0"/>
          <w:szCs w:val="24"/>
        </w:rPr>
        <w:t>主要销售客户及主要供应商情况</w:t>
      </w:r>
    </w:p>
    <w:p>
      <w:pPr>
        <w:pStyle w:val="56"/>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szCs w:val="24"/>
        </w:rPr>
      </w:pPr>
      <w:bookmarkStart w:id="54" w:name="_Hlk41745860"/>
      <w:r>
        <w:rPr>
          <w:rFonts w:hint="eastAsia" w:ascii="宋体" w:hAnsi="宋体" w:cs="宋体"/>
          <w:szCs w:val="24"/>
        </w:rPr>
        <w:t>属于同一控制人控制的客户或供应商视为同一客户或供应商合并列示，受同一国有资产管理机构实际控制的除外。</w:t>
      </w:r>
    </w:p>
    <w:p>
      <w:pPr>
        <w:pStyle w:val="56"/>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szCs w:val="24"/>
        </w:rPr>
      </w:pPr>
      <w:r>
        <w:rPr>
          <w:rFonts w:hint="eastAsia" w:ascii="宋体" w:hAnsi="宋体" w:cs="宋体"/>
          <w:szCs w:val="24"/>
        </w:rPr>
        <w:t>下列客户及供应商信息按照同一控制口径合并计算列示的情况说明</w:t>
      </w:r>
    </w:p>
    <w:sdt>
      <w:sdtPr>
        <w:alias w:val="客户及供应商信息按照同一控制口径合并计算列示的情况说明"/>
        <w:tag w:val="_GBC_dd94aac1da8743acb71de21c4b1691df"/>
        <w:id w:val="5803"/>
        <w:placeholder>
          <w:docPart w:val="GBC22222222222222222222222222222"/>
        </w:placeholder>
      </w:sdtPr>
      <w:sdtContent>
        <w:p>
          <w:r>
            <w:t>无</w:t>
          </w:r>
        </w:p>
      </w:sdtContent>
    </w:sdt>
    <w:p/>
    <w:bookmarkEnd w:id="54"/>
    <w:p>
      <w:pPr>
        <w:autoSpaceDE w:val="0"/>
        <w:autoSpaceDN w:val="0"/>
        <w:adjustRightInd w:val="0"/>
        <w:rPr>
          <w:b/>
          <w:szCs w:val="22"/>
          <w:lang w:val="zh-CN"/>
        </w:rPr>
      </w:pPr>
      <w:r>
        <w:rPr>
          <w:rFonts w:hint="eastAsia"/>
          <w:b/>
          <w:szCs w:val="21"/>
        </w:rPr>
        <w:t>A.</w:t>
      </w:r>
      <w:r>
        <w:rPr>
          <w:rFonts w:hint="eastAsia"/>
          <w:b/>
          <w:lang w:val="zh-CN"/>
        </w:rPr>
        <w:t>公司主要销售客户及主要供应商情况</w:t>
      </w:r>
    </w:p>
    <w:sdt>
      <w:sdtPr>
        <w:rPr>
          <w:szCs w:val="21"/>
        </w:rPr>
        <w:alias w:val="是否适用：主要销售客户情况[双击切换]"/>
        <w:tag w:val="_GBC_a2403594b48a40da9560c8bc71e01f56"/>
        <w:id w:val="5804"/>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szCs w:val="21"/>
        </w:rPr>
      </w:pPr>
      <w:r>
        <w:rPr>
          <w:rFonts w:hint="eastAsia"/>
          <w:szCs w:val="21"/>
        </w:rPr>
        <w:t>前五名客户销售额</w:t>
      </w:r>
      <w:sdt>
        <w:sdtPr>
          <w:rPr>
            <w:rFonts w:hint="eastAsia"/>
            <w:szCs w:val="21"/>
          </w:rPr>
          <w:alias w:val="前五名客户销售额"/>
          <w:tag w:val="_GBC_e497000fdfbc4e548555b7f8ddf9780c"/>
          <w:id w:val="5805"/>
          <w:placeholder>
            <w:docPart w:val="GBC22222222222222222222222222222"/>
          </w:placeholder>
        </w:sdtPr>
        <w:sdtEndPr>
          <w:rPr>
            <w:rFonts w:hint="eastAsia"/>
            <w:szCs w:val="21"/>
          </w:rPr>
        </w:sdtEndPr>
        <w:sdtContent>
          <w:r>
            <w:rPr>
              <w:rFonts w:hint="eastAsia"/>
              <w:szCs w:val="21"/>
            </w:rPr>
            <w:t>19,651.34</w:t>
          </w:r>
        </w:sdtContent>
      </w:sdt>
      <w:sdt>
        <w:sdtPr>
          <w:rPr>
            <w:rFonts w:hint="eastAsia"/>
            <w:szCs w:val="21"/>
          </w:rPr>
          <w:alias w:val="单位：前五名客户销售额"/>
          <w:tag w:val="_GBC_4bd6620b209a4bae8dc3404e8b89ea35"/>
          <w:id w:val="580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万元</w:t>
          </w:r>
        </w:sdtContent>
      </w:sdt>
      <w:r>
        <w:rPr>
          <w:szCs w:val="21"/>
        </w:rPr>
        <w:t>，占年度销售总额</w:t>
      </w:r>
      <w:sdt>
        <w:sdtPr>
          <w:rPr>
            <w:szCs w:val="21"/>
          </w:rPr>
          <w:alias w:val="前五名客户销售额占年度销售总额比例"/>
          <w:tag w:val="_GBC_68b3c8b493d04b6c9db16e7e475d7b35"/>
          <w:id w:val="5807"/>
          <w:placeholder>
            <w:docPart w:val="GBC22222222222222222222222222222"/>
          </w:placeholder>
        </w:sdtPr>
        <w:sdtEndPr>
          <w:rPr>
            <w:szCs w:val="21"/>
          </w:rPr>
        </w:sdtEndPr>
        <w:sdtContent>
          <w:r>
            <w:rPr>
              <w:rFonts w:hint="eastAsia"/>
              <w:szCs w:val="21"/>
            </w:rPr>
            <w:t>18.75%</w:t>
          </w:r>
        </w:sdtContent>
      </w:sdt>
      <w:r>
        <w:rPr>
          <w:szCs w:val="21"/>
        </w:rPr>
        <w:t>；其中前五名客户销售额中关联方销售额</w:t>
      </w:r>
      <w:sdt>
        <w:sdtPr>
          <w:rPr>
            <w:szCs w:val="21"/>
          </w:rPr>
          <w:alias w:val="前五名客户销售额中关联方销售额"/>
          <w:tag w:val="_GBC_bfa0971257a44f65996f01cfb0497b07"/>
          <w:id w:val="5808"/>
          <w:placeholder>
            <w:docPart w:val="GBC22222222222222222222222222222"/>
          </w:placeholder>
        </w:sdtPr>
        <w:sdtEndPr>
          <w:rPr>
            <w:szCs w:val="21"/>
          </w:rPr>
        </w:sdtEndPr>
        <w:sdtContent>
          <w:r>
            <w:rPr>
              <w:rFonts w:hint="eastAsia"/>
              <w:szCs w:val="21"/>
            </w:rPr>
            <w:t>0</w:t>
          </w:r>
        </w:sdtContent>
      </w:sdt>
      <w:sdt>
        <w:sdtPr>
          <w:rPr>
            <w:szCs w:val="21"/>
          </w:rPr>
          <w:alias w:val="单位：前五名客户销售额中关联方销售额"/>
          <w:tag w:val="_GBC_f3c03afc93a5429f9fa45fc25f9018ab"/>
          <w:id w:val="580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szCs w:val="21"/>
          </w:rPr>
        </w:sdtEndPr>
        <w:sdtContent>
          <w:r>
            <w:rPr>
              <w:szCs w:val="21"/>
            </w:rPr>
            <w:t>元</w:t>
          </w:r>
        </w:sdtContent>
      </w:sdt>
      <w:r>
        <w:rPr>
          <w:szCs w:val="21"/>
        </w:rPr>
        <w:t>，占年度销售总额</w:t>
      </w:r>
      <w:sdt>
        <w:sdtPr>
          <w:rPr>
            <w:szCs w:val="21"/>
          </w:rPr>
          <w:alias w:val="前五名客户销售额中关联方销售额占年度销售总额比例"/>
          <w:tag w:val="_GBC_a84a9f2fd5cd467fa7226eab846a8fd4"/>
          <w:id w:val="5810"/>
          <w:placeholder>
            <w:docPart w:val="GBC22222222222222222222222222222"/>
          </w:placeholder>
        </w:sdtPr>
        <w:sdtEndPr>
          <w:rPr>
            <w:szCs w:val="21"/>
          </w:rPr>
        </w:sdtEndPr>
        <w:sdtContent>
          <w:r>
            <w:rPr>
              <w:rFonts w:hint="eastAsia"/>
              <w:szCs w:val="21"/>
            </w:rPr>
            <w:t>0</w:t>
          </w:r>
        </w:sdtContent>
      </w:sdt>
      <w:r>
        <w:rPr>
          <w:szCs w:val="21"/>
        </w:rPr>
        <w:t>。</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pPr>
      <w:r>
        <w:rPr>
          <w:rFonts w:hint="eastAsia"/>
          <w:szCs w:val="21"/>
        </w:rPr>
        <w:t>前五名供应商采购额</w:t>
      </w:r>
      <w:sdt>
        <w:sdtPr>
          <w:rPr>
            <w:rFonts w:hint="eastAsia"/>
            <w:szCs w:val="21"/>
          </w:rPr>
          <w:alias w:val="前五名供应商采购额"/>
          <w:tag w:val="_GBC_4552254972a04ec6983b359a0f18d4bf"/>
          <w:id w:val="5811"/>
          <w:placeholder>
            <w:docPart w:val="GBC22222222222222222222222222222"/>
          </w:placeholder>
        </w:sdtPr>
        <w:sdtEndPr>
          <w:rPr>
            <w:rFonts w:hint="eastAsia"/>
            <w:szCs w:val="21"/>
          </w:rPr>
        </w:sdtEndPr>
        <w:sdtContent>
          <w:r>
            <w:rPr>
              <w:rFonts w:hint="eastAsia"/>
              <w:szCs w:val="21"/>
            </w:rPr>
            <w:t>10,835.44</w:t>
          </w:r>
        </w:sdtContent>
      </w:sdt>
      <w:sdt>
        <w:sdtPr>
          <w:rPr>
            <w:rFonts w:hint="eastAsia"/>
            <w:szCs w:val="21"/>
          </w:rPr>
          <w:alias w:val="单位：前五名供应商采购额"/>
          <w:tag w:val="_GBC_418fcbdb1c1a4643afb7cce014bdeca2"/>
          <w:id w:val="581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万元</w:t>
          </w:r>
        </w:sdtContent>
      </w:sdt>
      <w:r>
        <w:rPr>
          <w:szCs w:val="21"/>
        </w:rPr>
        <w:t>，占年度采购总额</w:t>
      </w:r>
      <w:sdt>
        <w:sdtPr>
          <w:rPr>
            <w:szCs w:val="21"/>
          </w:rPr>
          <w:alias w:val="前五名供应商采购额占年度采购总额比例"/>
          <w:tag w:val="_GBC_f32c49f691154cc4b6ba587f4a582958"/>
          <w:id w:val="5813"/>
          <w:placeholder>
            <w:docPart w:val="GBC22222222222222222222222222222"/>
          </w:placeholder>
        </w:sdtPr>
        <w:sdtEndPr>
          <w:rPr>
            <w:szCs w:val="21"/>
          </w:rPr>
        </w:sdtEndPr>
        <w:sdtContent>
          <w:r>
            <w:rPr>
              <w:rFonts w:hint="eastAsia"/>
              <w:szCs w:val="21"/>
            </w:rPr>
            <w:t>13.36%</w:t>
          </w:r>
        </w:sdtContent>
      </w:sdt>
      <w:r>
        <w:rPr>
          <w:szCs w:val="21"/>
        </w:rPr>
        <w:t>；其中前五名供应商采购额中关联方采购额</w:t>
      </w:r>
      <w:sdt>
        <w:sdtPr>
          <w:rPr>
            <w:szCs w:val="21"/>
          </w:rPr>
          <w:alias w:val="前五名供应商采购额中关联方采购额"/>
          <w:tag w:val="_GBC_b4791060802442e186017fdd5f31805a"/>
          <w:id w:val="5814"/>
          <w:placeholder>
            <w:docPart w:val="GBC22222222222222222222222222222"/>
          </w:placeholder>
        </w:sdtPr>
        <w:sdtEndPr>
          <w:rPr>
            <w:szCs w:val="21"/>
          </w:rPr>
        </w:sdtEndPr>
        <w:sdtContent>
          <w:r>
            <w:rPr>
              <w:rFonts w:hint="eastAsia"/>
              <w:szCs w:val="21"/>
            </w:rPr>
            <w:t>0</w:t>
          </w:r>
        </w:sdtContent>
      </w:sdt>
      <w:sdt>
        <w:sdtPr>
          <w:rPr>
            <w:szCs w:val="21"/>
          </w:rPr>
          <w:alias w:val="单位：前五名供应商采购额中关联方采购额"/>
          <w:tag w:val="_GBC_bac6c3f63a9a4b0db685f5ee8e883818"/>
          <w:id w:val="581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szCs w:val="21"/>
          </w:rPr>
        </w:sdtEndPr>
        <w:sdtContent>
          <w:r>
            <w:rPr>
              <w:szCs w:val="21"/>
            </w:rPr>
            <w:t>元</w:t>
          </w:r>
        </w:sdtContent>
      </w:sdt>
      <w:r>
        <w:rPr>
          <w:szCs w:val="21"/>
        </w:rPr>
        <w:t>，占年度采购总额</w:t>
      </w:r>
      <w:sdt>
        <w:sdtPr>
          <w:rPr>
            <w:szCs w:val="21"/>
          </w:rPr>
          <w:alias w:val="前五名供应商采购额中关联方采购额占年度采购总额比例"/>
          <w:tag w:val="_GBC_41b2f0a67a5743e1a4ccf8f427eec0a3"/>
          <w:id w:val="5816"/>
          <w:placeholder>
            <w:docPart w:val="GBC22222222222222222222222222222"/>
          </w:placeholder>
        </w:sdtPr>
        <w:sdtEndPr>
          <w:rPr>
            <w:szCs w:val="21"/>
          </w:rPr>
        </w:sdtEndPr>
        <w:sdtContent>
          <w:r>
            <w:rPr>
              <w:rFonts w:hint="eastAsia"/>
              <w:szCs w:val="21"/>
            </w:rPr>
            <w:t>0</w:t>
          </w:r>
        </w:sdtContent>
      </w:sdt>
      <w:r>
        <w:rPr>
          <w:rFonts w:hint="eastAsia"/>
        </w:rPr>
        <w:t>。</w:t>
      </w:r>
    </w:p>
    <w:p>
      <w:pPr>
        <w:rPr>
          <w:szCs w:val="21"/>
        </w:rPr>
      </w:pPr>
    </w:p>
    <w:p>
      <w:pPr>
        <w:rPr>
          <w:b/>
          <w:bCs/>
        </w:rPr>
      </w:pPr>
      <w:bookmarkStart w:id="55" w:name="_Hlk190092068"/>
      <w:r>
        <w:rPr>
          <w:rFonts w:hint="eastAsia"/>
          <w:b/>
          <w:bCs/>
        </w:rPr>
        <w:t>B.报告期内向单个客户的销售比例超过总额的</w:t>
      </w:r>
      <w:r>
        <w:rPr>
          <w:b/>
          <w:bCs/>
        </w:rPr>
        <w:t>50%、前</w:t>
      </w:r>
      <w:r>
        <w:rPr>
          <w:rFonts w:hint="eastAsia"/>
          <w:b/>
          <w:bCs/>
        </w:rPr>
        <w:t>5</w:t>
      </w:r>
      <w:r>
        <w:rPr>
          <w:b/>
          <w:bCs/>
        </w:rPr>
        <w:t>名客户中存在新增客户的或严重依赖于少数客户的情形</w:t>
      </w:r>
    </w:p>
    <w:sdt>
      <w:sdtPr>
        <w:alias w:val="是否适用：前5名销售客户中存在新增客户的或严重依赖于少数客户的情形表[双击切换]"/>
        <w:tag w:val="_GBC_9335bc17e9fb4b00a212f4c3a2cf1884"/>
        <w:id w:val="5817"/>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bookmarkEnd w:id="55"/>
    <w:p>
      <w:pPr>
        <w:rPr>
          <w:b/>
          <w:bCs/>
        </w:rPr>
      </w:pPr>
      <w:r>
        <w:rPr>
          <w:b/>
          <w:bCs/>
        </w:rPr>
        <w:t>报告期内向单个供应商的采购比例超过总额的50%、前5名供应商中存在新增供应商的或严重依赖于少数供应商的情形</w:t>
      </w:r>
    </w:p>
    <w:sdt>
      <w:sdtPr>
        <w:alias w:val="是否适用：前5名供应商中存在新增供应商的或严重依赖于少数供应商的情形表[双击切换]"/>
        <w:tag w:val="_GBC_1e4a3af63f0f41888dc455d8c1a979a8"/>
        <w:id w:val="5818"/>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bCs/>
          <w:szCs w:val="21"/>
        </w:rPr>
      </w:pPr>
    </w:p>
    <w:p/>
    <w:p>
      <w:pPr>
        <w:rPr>
          <w:b/>
          <w:bCs/>
          <w:szCs w:val="21"/>
        </w:rPr>
      </w:pPr>
      <w:r>
        <w:rPr>
          <w:rFonts w:hint="eastAsia"/>
          <w:b/>
          <w:bCs/>
          <w:szCs w:val="21"/>
        </w:rPr>
        <w:t>C.</w:t>
      </w:r>
      <w:r>
        <w:rPr>
          <w:rFonts w:hint="eastAsia"/>
          <w:b/>
          <w:bCs/>
        </w:rPr>
        <w:t xml:space="preserve"> 报告期内公司股票被实施退市风险警示或其他风险警示</w:t>
      </w:r>
    </w:p>
    <w:p>
      <w:pPr>
        <w:autoSpaceDE w:val="0"/>
        <w:autoSpaceDN w:val="0"/>
        <w:adjustRightInd w:val="0"/>
        <w:spacing w:line="276" w:lineRule="auto"/>
        <w:rPr>
          <w:b/>
          <w:lang w:val="zh-CN"/>
        </w:rPr>
      </w:pPr>
      <w:bookmarkStart w:id="56" w:name="_Hlk189836187"/>
      <w:r>
        <w:rPr>
          <w:rFonts w:hint="eastAsia"/>
          <w:bCs/>
          <w:lang w:val="zh-CN"/>
        </w:rPr>
        <w:t>前五名销售客户</w:t>
      </w:r>
    </w:p>
    <w:sdt>
      <w:sdtPr>
        <w:rPr>
          <w:rFonts w:hint="eastAsia"/>
          <w:bCs/>
          <w:lang w:val="zh-CN"/>
        </w:rPr>
        <w:alias w:val="是否适用：公司前五名主要销售客户情况[双击切换]"/>
        <w:tag w:val="_GBC_f8b3ab4836d84d3db48e52713048016f"/>
        <w:id w:val="5819"/>
        <w:placeholder>
          <w:docPart w:val="GBC22222222222222222222222222222"/>
        </w:placeholder>
      </w:sdtPr>
      <w:sdtEndPr>
        <w:rPr>
          <w:rFonts w:hint="eastAsia"/>
          <w:bCs/>
          <w:lang w:val="zh-CN"/>
        </w:rPr>
      </w:sdtEndPr>
      <w:sdtContent>
        <w:p>
          <w:pPr>
            <w:autoSpaceDE w:val="0"/>
            <w:autoSpaceDN w:val="0"/>
            <w:adjustRightInd w:val="0"/>
            <w:spacing w:line="276" w:lineRule="auto"/>
            <w:rPr>
              <w:bCs/>
              <w:lang w:val="zh-CN"/>
            </w:rPr>
          </w:pPr>
          <w:r>
            <w:rPr>
              <w:rFonts w:ascii="宋体" w:hAnsi="宋体"/>
              <w:bCs/>
              <w:lang w:val="zh-CN"/>
            </w:rPr>
            <w:fldChar w:fldCharType="begin"/>
          </w:r>
          <w:r>
            <w:rPr>
              <w:rFonts w:ascii="宋体" w:hAnsi="宋体"/>
              <w:bCs/>
              <w:lang w:val="zh-CN"/>
            </w:rPr>
            <w:instrText xml:space="preserve"> </w:instrText>
          </w:r>
          <w:r>
            <w:rPr>
              <w:rFonts w:hint="eastAsia" w:ascii="宋体" w:hAnsi="宋体"/>
              <w:bCs/>
              <w:lang w:val="zh-CN"/>
            </w:rPr>
            <w:instrText xml:space="preserve">MACROBUTTON  SnrToggleCheckbox □适用</w:instrText>
          </w:r>
          <w:r>
            <w:rPr>
              <w:rFonts w:ascii="宋体" w:hAnsi="宋体"/>
              <w:bCs/>
              <w:lang w:val="zh-CN"/>
            </w:rPr>
            <w:fldChar w:fldCharType="end"/>
          </w:r>
          <w:r>
            <w:rPr>
              <w:rFonts w:ascii="宋体" w:hAnsi="宋体"/>
              <w:bCs/>
              <w:lang w:val="zh-CN"/>
            </w:rPr>
            <w:fldChar w:fldCharType="begin"/>
          </w:r>
          <w:r>
            <w:rPr>
              <w:rFonts w:ascii="宋体" w:hAnsi="宋体"/>
              <w:bCs/>
              <w:lang w:val="zh-CN"/>
            </w:rPr>
            <w:instrText xml:space="preserve"> MACROBUTTON  SnrToggleCheckbox √不适用 </w:instrText>
          </w:r>
          <w:r>
            <w:rPr>
              <w:rFonts w:ascii="宋体" w:hAnsi="宋体"/>
              <w:bCs/>
              <w:lang w:val="zh-CN"/>
            </w:rPr>
            <w:fldChar w:fldCharType="end"/>
          </w:r>
        </w:p>
      </w:sdtContent>
    </w:sdt>
    <w:p>
      <w:pPr>
        <w:rPr>
          <w:szCs w:val="21"/>
        </w:rPr>
      </w:pPr>
    </w:p>
    <w:bookmarkEnd w:id="56"/>
    <w:p>
      <w:bookmarkStart w:id="57" w:name="_Hlk25832335"/>
      <w:bookmarkStart w:id="58" w:name="_Hlk189836300"/>
      <w:r>
        <w:rPr>
          <w:rFonts w:hint="eastAsia"/>
        </w:rPr>
        <w:t>前五名供应商</w:t>
      </w:r>
    </w:p>
    <w:sdt>
      <w:sdtPr>
        <w:rPr>
          <w:rFonts w:hint="eastAsia"/>
          <w:szCs w:val="21"/>
        </w:rPr>
        <w:alias w:val="是否适用：公司前五名主要供应商情况[双击切换]"/>
        <w:tag w:val="_GBC_d692c103c2cd4a4abe724b21a91c3790"/>
        <w:id w:val="5820"/>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bookmarkEnd w:id="57"/>
    <w:bookmarkEnd w:id="58"/>
    <w:p>
      <w:pPr>
        <w:rPr>
          <w:b/>
          <w:bCs/>
          <w:szCs w:val="21"/>
        </w:rPr>
      </w:pPr>
      <w:bookmarkStart w:id="59" w:name="_Hlk217463331"/>
      <w:r>
        <w:rPr>
          <w:rFonts w:hint="eastAsia"/>
          <w:b/>
          <w:bCs/>
          <w:szCs w:val="21"/>
        </w:rPr>
        <w:t>D. 报告期内公司存在贸易业务收入</w:t>
      </w:r>
    </w:p>
    <w:sdt>
      <w:sdtPr>
        <w:rPr>
          <w:rFonts w:hint="eastAsia"/>
        </w:rPr>
        <w:alias w:val="报告期内公司是否存在贸易业务收入[双击切换]"/>
        <w:tag w:val="_GBC_3ae6eb2d9c104edd9c836e1bf671669f"/>
        <w:id w:val="5821"/>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wordWrap w:val="0"/>
        <w:ind w:right="210"/>
        <w:jc w:val="right"/>
      </w:pPr>
      <w:r>
        <w:rPr>
          <w:rFonts w:hint="eastAsia"/>
        </w:rPr>
        <w:t>单位：</w:t>
      </w:r>
      <w:sdt>
        <w:sdtPr>
          <w:rPr>
            <w:rFonts w:hint="eastAsia"/>
          </w:rPr>
          <w:alias w:val="单位：报告期内公司存在贸易业务收入"/>
          <w:tag w:val="_GBC_8399b16ff3a64a0c851a96c6db3917fc"/>
          <w:id w:val="582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报告期内公司存在贸易业务收入"/>
          <w:tag w:val="_GBC_3a2f8df4d41349669c80c60ee63b1fd7"/>
          <w:id w:val="582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r>
        <w:t xml:space="preserve"> </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2"/>
        <w:gridCol w:w="2262"/>
        <w:gridCol w:w="2262"/>
        <w:gridCol w:w="2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sdt>
            <w:sdtPr>
              <w:tag w:val="_PLD_2dab337ea0e24924b6a493547fbf30ce"/>
              <w:id w:val="5824"/>
            </w:sdtPr>
            <w:sdtContent>
              <w:p>
                <w:pPr>
                  <w:jc w:val="center"/>
                </w:pPr>
                <w:r>
                  <w:rPr>
                    <w:rFonts w:hint="eastAsia"/>
                  </w:rPr>
                  <w:t>贸易业务开展情况</w:t>
                </w:r>
              </w:p>
            </w:sdtContent>
          </w:sdt>
        </w:tc>
        <w:tc>
          <w:tcPr>
            <w:tcW w:w="1250" w:type="pct"/>
            <w:vAlign w:val="center"/>
          </w:tcPr>
          <w:sdt>
            <w:sdtPr>
              <w:tag w:val="_PLD_d9e442e4b06c40aeb11dfb13b703ef08"/>
              <w:id w:val="5825"/>
            </w:sdtPr>
            <w:sdtContent>
              <w:p>
                <w:pPr>
                  <w:jc w:val="center"/>
                </w:pPr>
                <w:r>
                  <w:rPr>
                    <w:rFonts w:hint="eastAsia"/>
                  </w:rPr>
                  <w:t>本期营业收入</w:t>
                </w:r>
              </w:p>
            </w:sdtContent>
          </w:sdt>
        </w:tc>
        <w:tc>
          <w:tcPr>
            <w:tcW w:w="1250" w:type="pct"/>
            <w:vAlign w:val="center"/>
          </w:tcPr>
          <w:sdt>
            <w:sdtPr>
              <w:tag w:val="_PLD_accdefafc03d4db5a863164684606991"/>
              <w:id w:val="5826"/>
            </w:sdtPr>
            <w:sdtContent>
              <w:p>
                <w:pPr>
                  <w:jc w:val="center"/>
                </w:pPr>
                <w:r>
                  <w:rPr>
                    <w:rFonts w:hint="eastAsia"/>
                  </w:rPr>
                  <w:t>上期营业收入</w:t>
                </w:r>
              </w:p>
            </w:sdtContent>
          </w:sdt>
        </w:tc>
        <w:tc>
          <w:tcPr>
            <w:tcW w:w="1250" w:type="pct"/>
            <w:vAlign w:val="center"/>
          </w:tcPr>
          <w:sdt>
            <w:sdtPr>
              <w:tag w:val="_PLD_0dab91b865db4b598830a70dc6b556eb"/>
              <w:id w:val="5827"/>
            </w:sdtPr>
            <w:sdtEndPr>
              <w:rPr>
                <w:rFonts w:hint="default"/>
              </w:rPr>
            </w:sdtEndPr>
            <w:sdtContent>
              <w:p>
                <w:pPr>
                  <w:jc w:val="center"/>
                </w:pPr>
                <w:r>
                  <w:rPr>
                    <w:rFonts w:hint="eastAsia"/>
                  </w:rPr>
                  <w:t>本期营业收入比上年同期增减（</w:t>
                </w:r>
                <w:r>
                  <w:t>%）</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pPr>
              <w:jc w:val="left"/>
            </w:pPr>
            <w:r>
              <w:rPr>
                <w:rStyle w:val="71"/>
                <w:rFonts w:hint="eastAsia"/>
                <w:color w:val="auto"/>
              </w:rPr>
              <w:t>商业贸易</w:t>
            </w:r>
          </w:p>
        </w:tc>
        <w:tc>
          <w:tcPr>
            <w:tcW w:w="1250" w:type="pct"/>
          </w:tcPr>
          <w:p>
            <w:pPr>
              <w:jc w:val="right"/>
            </w:pPr>
            <w:r>
              <w:rPr>
                <w:rStyle w:val="71"/>
                <w:rFonts w:hint="eastAsia"/>
                <w:color w:val="auto"/>
              </w:rPr>
              <w:t>12,718,788.08</w:t>
            </w:r>
          </w:p>
        </w:tc>
        <w:tc>
          <w:tcPr>
            <w:tcW w:w="1250" w:type="pct"/>
          </w:tcPr>
          <w:p>
            <w:pPr>
              <w:jc w:val="right"/>
            </w:pPr>
            <w:r>
              <w:rPr>
                <w:rStyle w:val="71"/>
                <w:rFonts w:hint="eastAsia"/>
                <w:color w:val="auto"/>
              </w:rPr>
              <w:t>7,846,765.33</w:t>
            </w:r>
          </w:p>
        </w:tc>
        <w:tc>
          <w:tcPr>
            <w:tcW w:w="1250" w:type="pct"/>
          </w:tcPr>
          <w:p>
            <w:pPr>
              <w:jc w:val="right"/>
            </w:pPr>
            <w:r>
              <w:rPr>
                <w:rStyle w:val="71"/>
                <w:rFonts w:hint="eastAsia"/>
                <w:color w:val="auto"/>
              </w:rPr>
              <w:t>62.09</w:t>
            </w:r>
          </w:p>
        </w:tc>
      </w:tr>
    </w:tbl>
    <w:p>
      <w:pPr>
        <w:rPr>
          <w:b/>
          <w:bCs/>
          <w:szCs w:val="21"/>
        </w:rPr>
      </w:pPr>
    </w:p>
    <w:bookmarkEnd w:id="59"/>
    <w:p>
      <w:pPr>
        <w:rPr>
          <w:szCs w:val="21"/>
        </w:rPr>
      </w:pPr>
      <w:bookmarkStart w:id="60" w:name="_Hlk188285406"/>
      <w:r>
        <w:rPr>
          <w:rFonts w:hint="eastAsia"/>
          <w:szCs w:val="21"/>
        </w:rPr>
        <w:t>贸易业务占营业收入比例超过10%前五名销售客户</w:t>
      </w:r>
    </w:p>
    <w:sdt>
      <w:sdtPr>
        <w:rPr>
          <w:rFonts w:hint="eastAsia"/>
        </w:rPr>
        <w:alias w:val="是否适用：报告期内公司贸易业务收入占营业收入比例超过10%的贸易业务前5名销售客户[双击切换]"/>
        <w:tag w:val="_GBC_874060c7be284e34b677814c97469999"/>
        <w:id w:val="5828"/>
        <w:placeholder>
          <w:docPart w:val="GBC22222222222222222222222222222"/>
        </w:placeholder>
      </w:sdtPr>
      <w:sdtEndPr>
        <w:rPr>
          <w:rFonts w:hint="eastAsia"/>
        </w:rPr>
      </w:sdtEndPr>
      <w:sdtContent>
        <w:p>
          <w:r>
            <w:rPr>
              <w:rFonts w:hint="eastAsia" w:ascii="宋体" w:hAnsi="宋体"/>
            </w:rPr>
            <w:fldChar w:fldCharType="begin"/>
          </w:r>
          <w:r>
            <w:rPr>
              <w:rFonts w:hint="eastAsia" w:ascii="宋体" w:hAnsi="宋体"/>
            </w:rPr>
            <w:instrText xml:space="preserve"> MACROBUTTON  SnrToggleCheckbox □适用 </w:instrText>
          </w:r>
          <w:r>
            <w:rPr>
              <w:rFonts w:hint="eastAsia" w:ascii="宋体" w:hAnsi="宋体"/>
            </w:rPr>
            <w:fldChar w:fldCharType="end"/>
          </w:r>
          <w:r>
            <w:rPr>
              <w:rFonts w:hint="eastAsia" w:ascii="宋体" w:hAnsi="宋体"/>
            </w:rPr>
            <w:fldChar w:fldCharType="begin"/>
          </w:r>
          <w:r>
            <w:rPr>
              <w:rFonts w:hint="eastAsia" w:ascii="宋体" w:hAnsi="宋体"/>
            </w:rPr>
            <w:instrText xml:space="preserve"> MACROBUTTON  SnrToggleCheckbox √不适用 </w:instrText>
          </w:r>
          <w:r>
            <w:rPr>
              <w:rFonts w:hint="eastAsia" w:ascii="宋体" w:hAnsi="宋体"/>
            </w:rPr>
            <w:fldChar w:fldCharType="end"/>
          </w:r>
        </w:p>
      </w:sdtContent>
    </w:sdt>
    <w:p>
      <w:pPr>
        <w:rPr>
          <w:szCs w:val="21"/>
        </w:rPr>
      </w:pPr>
    </w:p>
    <w:bookmarkEnd w:id="60"/>
    <w:p>
      <w:pPr>
        <w:rPr>
          <w:szCs w:val="21"/>
        </w:rPr>
      </w:pPr>
      <w:bookmarkStart w:id="61" w:name="_Hlk188285949"/>
      <w:r>
        <w:rPr>
          <w:rFonts w:hint="eastAsia"/>
          <w:szCs w:val="21"/>
        </w:rPr>
        <w:t>贸易业务收入占营业收入比例超过10%前五名</w:t>
      </w:r>
      <w:r>
        <w:t>供应商</w:t>
      </w:r>
    </w:p>
    <w:sdt>
      <w:sdtPr>
        <w:rPr>
          <w:rFonts w:hint="eastAsia"/>
        </w:rPr>
        <w:alias w:val="是否适用：报告期内公司贸易业务收入占营业收入比例超过10%的贸易业务前5名供应商[双击切换]"/>
        <w:tag w:val="_GBC_3d816dcc13274eeeafda04c5590e4ca9"/>
        <w:id w:val="5829"/>
        <w:placeholder>
          <w:docPart w:val="GBC22222222222222222222222222222"/>
        </w:placeholder>
      </w:sdtPr>
      <w:sdtEndPr>
        <w:rPr>
          <w:rFonts w:hint="eastAsia"/>
        </w:rPr>
      </w:sdtEndPr>
      <w:sdtContent>
        <w:p>
          <w:r>
            <w:rPr>
              <w:rFonts w:hint="eastAsia" w:ascii="宋体" w:hAnsi="宋体"/>
            </w:rPr>
            <w:fldChar w:fldCharType="begin"/>
          </w:r>
          <w:r>
            <w:rPr>
              <w:rFonts w:hint="eastAsia" w:ascii="宋体" w:hAnsi="宋体"/>
            </w:rPr>
            <w:instrText xml:space="preserve"> MACROBUTTON  SnrToggleCheckbox □适用 </w:instrText>
          </w:r>
          <w:r>
            <w:rPr>
              <w:rFonts w:hint="eastAsia" w:ascii="宋体" w:hAnsi="宋体"/>
            </w:rPr>
            <w:fldChar w:fldCharType="end"/>
          </w:r>
          <w:r>
            <w:rPr>
              <w:rFonts w:hint="eastAsia" w:ascii="宋体" w:hAnsi="宋体"/>
            </w:rPr>
            <w:fldChar w:fldCharType="begin"/>
          </w:r>
          <w:r>
            <w:rPr>
              <w:rFonts w:hint="eastAsia" w:ascii="宋体" w:hAnsi="宋体"/>
            </w:rPr>
            <w:instrText xml:space="preserve"> MACROBUTTON  SnrToggleCheckbox √不适用 </w:instrText>
          </w:r>
          <w:r>
            <w:rPr>
              <w:rFonts w:hint="eastAsia" w:ascii="宋体" w:hAnsi="宋体"/>
            </w:rPr>
            <w:fldChar w:fldCharType="end"/>
          </w:r>
        </w:p>
      </w:sdtContent>
    </w:sdt>
    <w:p>
      <w:pPr>
        <w:rPr>
          <w:szCs w:val="21"/>
        </w:rPr>
      </w:pPr>
    </w:p>
    <w:bookmarkEnd w:id="61"/>
    <w:p>
      <w:pPr>
        <w:rPr>
          <w:szCs w:val="21"/>
        </w:rPr>
      </w:pPr>
      <w:bookmarkStart w:id="62" w:name="_Hlk184741846"/>
      <w:r>
        <w:rPr>
          <w:rFonts w:hint="eastAsia"/>
          <w:szCs w:val="21"/>
        </w:rPr>
        <w:t>其他说明：</w:t>
      </w:r>
    </w:p>
    <w:sdt>
      <w:sdtPr>
        <w:rPr>
          <w:szCs w:val="21"/>
        </w:rPr>
        <w:alias w:val="主要销售客户及主要供应商情况其他说明"/>
        <w:tag w:val="_GBC_671f841429ed4c5aaa013b86ad58b88f"/>
        <w:id w:val="5830"/>
        <w:placeholder>
          <w:docPart w:val="GBC22222222222222222222222222222"/>
        </w:placeholder>
      </w:sdtPr>
      <w:sdtEndPr>
        <w:rPr>
          <w:szCs w:val="21"/>
        </w:rPr>
      </w:sdtEndPr>
      <w:sdtContent>
        <w:p>
          <w:pPr>
            <w:rPr>
              <w:szCs w:val="21"/>
            </w:rPr>
          </w:pPr>
          <w:r>
            <w:rPr>
              <w:rFonts w:hint="eastAsia"/>
              <w:szCs w:val="21"/>
            </w:rPr>
            <w:t>无</w:t>
          </w:r>
        </w:p>
      </w:sdtContent>
    </w:sdt>
    <w:p>
      <w:pPr>
        <w:rPr>
          <w:szCs w:val="21"/>
        </w:rPr>
      </w:pPr>
    </w:p>
    <w:bookmarkEnd w:id="62"/>
    <w:sdt>
      <w:sdtPr>
        <w:tag w:val="_PLD_f9ba0c51ca4341ccbcf362a796b4623c"/>
        <w:id w:val="5831"/>
      </w:sdtPr>
      <w:sdtEndPr>
        <w:rPr>
          <w:rFonts w:hint="eastAsia" w:cs="Times New Roman" w:asciiTheme="minorEastAsia" w:hAnsiTheme="minorEastAsia" w:eastAsiaTheme="minorEastAsia"/>
          <w:b/>
          <w:bCs/>
          <w:kern w:val="2"/>
          <w:szCs w:val="28"/>
        </w:rPr>
      </w:sdtEndPr>
      <w:sdtContent>
        <w:p>
          <w:pPr>
            <w:pStyle w:val="5"/>
            <w:numPr>
              <w:ilvl w:val="0"/>
              <w:numId w:val="9"/>
            </w:numPr>
            <w:rPr>
              <w:rFonts w:hint="eastAsia"/>
            </w:rPr>
          </w:pPr>
          <w:r>
            <w:rPr>
              <w:rFonts w:hint="eastAsia"/>
            </w:rPr>
            <w:t>费用</w:t>
          </w:r>
        </w:p>
      </w:sdtContent>
    </w:sdt>
    <w:sdt>
      <w:sdtPr>
        <w:alias w:val="是否适用：费用[双击切换]"/>
        <w:tag w:val="_GBC_fa9cd5e43a8f426c8b793a737190d8db"/>
        <w:id w:val="5832"/>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szCs w:val="21"/>
        </w:rPr>
        <w:alias w:val="费用情况说明"/>
        <w:tag w:val="_GBC_02a46af1e8d349d8b753768e17da35a1"/>
        <w:id w:val="5833"/>
        <w:placeholder>
          <w:docPart w:val="GBC22222222222222222222222222222"/>
        </w:placeholder>
      </w:sdtPr>
      <w:sdtEndPr>
        <w:rPr>
          <w:rFonts w:hint="eastAsia"/>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szCs w:val="21"/>
            </w:rPr>
          </w:pPr>
          <w:r>
            <w:rPr>
              <w:rFonts w:hint="eastAsia" w:ascii="宋体" w:eastAsia="宋体"/>
              <w:sz w:val="21"/>
              <w:szCs w:val="21"/>
            </w:rPr>
            <w:t>本报告期公司费用无重大变化，详见本节“五、报告期内主要经营情况”之“（一）主营业务分析”之“</w:t>
          </w:r>
          <w:r>
            <w:rPr>
              <w:rFonts w:hint="default" w:ascii="Times New Roman" w:hAnsi="Times New Roman" w:eastAsia="宋体" w:cs="Times New Roman"/>
              <w:sz w:val="21"/>
              <w:szCs w:val="21"/>
            </w:rPr>
            <w:t>1</w:t>
          </w:r>
          <w:r>
            <w:rPr>
              <w:rFonts w:hint="eastAsia" w:ascii="宋体" w:eastAsia="宋体"/>
              <w:sz w:val="21"/>
              <w:szCs w:val="21"/>
            </w:rPr>
            <w:t>.利润表及现金流量表相关科目变动分析表”。</w:t>
          </w:r>
        </w:p>
      </w:sdtContent>
    </w:sdt>
    <w:p>
      <w:pPr>
        <w:pStyle w:val="5"/>
        <w:numPr>
          <w:ilvl w:val="0"/>
          <w:numId w:val="9"/>
        </w:numPr>
        <w:rPr>
          <w:rStyle w:val="49"/>
          <w:rFonts w:hint="eastAsia"/>
          <w:b/>
          <w:bCs/>
        </w:rPr>
      </w:pPr>
      <w:r>
        <w:rPr>
          <w:rFonts w:hint="eastAsia"/>
        </w:rPr>
        <w:t>研发投入</w:t>
      </w:r>
    </w:p>
    <w:p>
      <w:pPr>
        <w:pStyle w:val="56"/>
        <w:numPr>
          <w:ilvl w:val="0"/>
          <w:numId w:val="11"/>
        </w:numPr>
        <w:spacing w:before="60" w:after="60"/>
        <w:ind w:firstLineChars="0"/>
        <w:rPr>
          <w:rStyle w:val="49"/>
          <w:szCs w:val="21"/>
        </w:rPr>
      </w:pPr>
      <w:r>
        <w:rPr>
          <w:rStyle w:val="49"/>
          <w:szCs w:val="21"/>
        </w:rPr>
        <w:t>研发</w:t>
      </w:r>
      <w:r>
        <w:rPr>
          <w:rStyle w:val="49"/>
          <w:rFonts w:hint="eastAsia"/>
          <w:szCs w:val="21"/>
        </w:rPr>
        <w:t>投入</w:t>
      </w:r>
      <w:r>
        <w:rPr>
          <w:rStyle w:val="49"/>
          <w:szCs w:val="21"/>
        </w:rPr>
        <w:t>情况表</w:t>
      </w:r>
    </w:p>
    <w:sdt>
      <w:sdtPr>
        <w:rPr>
          <w:rStyle w:val="49"/>
          <w:rFonts w:hint="eastAsia"/>
          <w:b w:val="0"/>
          <w:szCs w:val="21"/>
        </w:rPr>
        <w:alias w:val="是否适用：研发投入情况表[双击切换]"/>
        <w:tag w:val="_GBC_b745f9cad6de412690fcb0f363f3eadb"/>
        <w:id w:val="5834"/>
        <w:placeholder>
          <w:docPart w:val="GBC22222222222222222222222222222"/>
        </w:placeholder>
      </w:sdtPr>
      <w:sdtEndPr>
        <w:rPr>
          <w:rStyle w:val="49"/>
          <w:rFonts w:hint="eastAsia"/>
          <w:b w:val="0"/>
          <w:szCs w:val="21"/>
        </w:rPr>
      </w:sdtEndPr>
      <w:sdtContent>
        <w:p>
          <w:pPr>
            <w:rPr>
              <w:rStyle w:val="49"/>
              <w:b w:val="0"/>
              <w:szCs w:val="21"/>
            </w:rPr>
          </w:pPr>
          <w:r>
            <w:rPr>
              <w:rStyle w:val="49"/>
              <w:rFonts w:ascii="宋体" w:hAnsi="宋体"/>
              <w:b w:val="0"/>
              <w:szCs w:val="21"/>
            </w:rPr>
            <w:fldChar w:fldCharType="begin"/>
          </w:r>
          <w:r>
            <w:rPr>
              <w:rStyle w:val="49"/>
              <w:rFonts w:ascii="宋体" w:hAnsi="宋体"/>
              <w:b w:val="0"/>
              <w:szCs w:val="21"/>
            </w:rPr>
            <w:instrText xml:space="preserve"> </w:instrText>
          </w:r>
          <w:r>
            <w:rPr>
              <w:rStyle w:val="49"/>
              <w:rFonts w:hint="eastAsia" w:ascii="宋体" w:hAnsi="宋体"/>
              <w:b w:val="0"/>
              <w:szCs w:val="21"/>
            </w:rPr>
            <w:instrText xml:space="preserve">MACROBUTTON  SnrToggleCheckbox √适用 </w:instrText>
          </w:r>
          <w:r>
            <w:rPr>
              <w:rStyle w:val="49"/>
              <w:rFonts w:ascii="宋体" w:hAnsi="宋体"/>
              <w:b w:val="0"/>
              <w:szCs w:val="21"/>
            </w:rPr>
            <w:fldChar w:fldCharType="end"/>
          </w:r>
          <w:r>
            <w:rPr>
              <w:rStyle w:val="49"/>
              <w:rFonts w:ascii="宋体" w:hAnsi="宋体"/>
              <w:b w:val="0"/>
              <w:szCs w:val="21"/>
            </w:rPr>
            <w:fldChar w:fldCharType="begin"/>
          </w:r>
          <w:r>
            <w:rPr>
              <w:rStyle w:val="49"/>
              <w:rFonts w:ascii="宋体" w:hAnsi="宋体"/>
              <w:b w:val="0"/>
              <w:szCs w:val="21"/>
            </w:rPr>
            <w:instrText xml:space="preserve"> MACROBUTTON  SnrToggleCheckbox □不适用 </w:instrText>
          </w:r>
          <w:r>
            <w:rPr>
              <w:rStyle w:val="49"/>
              <w:rFonts w:ascii="宋体" w:hAnsi="宋体"/>
              <w:b w:val="0"/>
              <w:szCs w:val="21"/>
            </w:rPr>
            <w:fldChar w:fldCharType="end"/>
          </w:r>
        </w:p>
      </w:sdtContent>
    </w:sdt>
    <w:p>
      <w:pPr>
        <w:wordWrap w:val="0"/>
        <w:jc w:val="right"/>
        <w:rPr>
          <w:rStyle w:val="49"/>
          <w:b w:val="0"/>
          <w:szCs w:val="21"/>
        </w:rPr>
      </w:pPr>
      <w:r>
        <w:rPr>
          <w:rFonts w:hint="eastAsia"/>
          <w:szCs w:val="21"/>
        </w:rPr>
        <w:t>单位：</w:t>
      </w:r>
      <w:sdt>
        <w:sdtPr>
          <w:rPr>
            <w:rFonts w:hint="eastAsia"/>
            <w:szCs w:val="21"/>
          </w:rPr>
          <w:alias w:val="单位：研发投入"/>
          <w:tag w:val="_GBC_74cd81424a3c41dd9b3b9f335eae8c21"/>
          <w:id w:val="583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研发投入"/>
          <w:tag w:val="_GBC_14c25dd039ff47d0b183ae532ee32cd2"/>
          <w:id w:val="583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5"/>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3795" w:type="dxa"/>
            <w:vAlign w:val="center"/>
          </w:tcPr>
          <w:sdt>
            <w:sdtPr>
              <w:tag w:val="_PLD_34e4faf6ae244cfbac1fd41757cfe96b"/>
              <w:id w:val="5837"/>
            </w:sdtPr>
            <w:sdtContent>
              <w:p>
                <w:pPr>
                  <w:widowControl w:val="0"/>
                  <w:jc w:val="both"/>
                  <w:rPr>
                    <w:rStyle w:val="49"/>
                    <w:b w:val="0"/>
                    <w:bCs w:val="0"/>
                    <w:szCs w:val="21"/>
                  </w:rPr>
                </w:pPr>
                <w:r>
                  <w:rPr>
                    <w:szCs w:val="21"/>
                  </w:rPr>
                  <w:t>本期费用化研发</w:t>
                </w:r>
                <w:r>
                  <w:rPr>
                    <w:rFonts w:hint="eastAsia"/>
                    <w:szCs w:val="21"/>
                  </w:rPr>
                  <w:t>投入</w:t>
                </w:r>
              </w:p>
            </w:sdtContent>
          </w:sdt>
        </w:tc>
        <w:tc>
          <w:tcPr>
            <w:tcW w:w="5253" w:type="dxa"/>
            <w:vAlign w:val="center"/>
          </w:tcPr>
          <w:sdt>
            <w:sdtPr>
              <w:rPr>
                <w:rFonts w:hint="eastAsia"/>
                <w:b w:val="0"/>
                <w:szCs w:val="21"/>
              </w:rPr>
              <w:alias w:val="费用化研发投入"/>
              <w:tag w:val="_GBC_4fb175bc5990483bb41db359eecfdbdb"/>
              <w:id w:val="5838"/>
            </w:sdtPr>
            <w:sdtEndPr>
              <w:rPr>
                <w:rFonts w:hint="eastAsia"/>
                <w:b w:val="0"/>
                <w:szCs w:val="21"/>
              </w:rPr>
            </w:sdtEndPr>
            <w:sdtContent>
              <w:p>
                <w:pPr>
                  <w:widowControl w:val="0"/>
                  <w:jc w:val="right"/>
                  <w:rPr>
                    <w:b w:val="0"/>
                    <w:szCs w:val="21"/>
                  </w:rPr>
                </w:pPr>
                <w:r>
                  <w:rPr>
                    <w:rFonts w:hint="eastAsia"/>
                    <w:b w:val="0"/>
                    <w:szCs w:val="21"/>
                  </w:rPr>
                  <w:t>19,099,016.14</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3795" w:type="dxa"/>
            <w:vAlign w:val="center"/>
          </w:tcPr>
          <w:p>
            <w:pPr>
              <w:widowControl w:val="0"/>
              <w:jc w:val="both"/>
              <w:rPr>
                <w:rStyle w:val="49"/>
                <w:szCs w:val="21"/>
              </w:rPr>
            </w:pPr>
            <w:r>
              <w:rPr>
                <w:szCs w:val="21"/>
              </w:rPr>
              <w:t>研发</w:t>
            </w:r>
            <w:r>
              <w:rPr>
                <w:rFonts w:hint="eastAsia"/>
                <w:szCs w:val="21"/>
              </w:rPr>
              <w:t>投入</w:t>
            </w:r>
            <w:r>
              <w:rPr>
                <w:szCs w:val="21"/>
              </w:rPr>
              <w:t>合计</w:t>
            </w:r>
          </w:p>
        </w:tc>
        <w:tc>
          <w:tcPr>
            <w:tcW w:w="5253" w:type="dxa"/>
            <w:vAlign w:val="center"/>
          </w:tcPr>
          <w:p>
            <w:pPr>
              <w:widowControl w:val="0"/>
              <w:jc w:val="right"/>
              <w:rPr>
                <w:rFonts w:hint="eastAsia"/>
                <w:b w:val="0"/>
                <w:szCs w:val="21"/>
              </w:rPr>
            </w:pPr>
            <w:r>
              <w:rPr>
                <w:rFonts w:hint="eastAsia"/>
                <w:color w:val="auto"/>
              </w:rPr>
              <w:t>19,099,016.14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3795" w:type="dxa"/>
            <w:vAlign w:val="center"/>
          </w:tcPr>
          <w:p>
            <w:pPr>
              <w:widowControl w:val="0"/>
              <w:jc w:val="both"/>
              <w:rPr>
                <w:rStyle w:val="49"/>
                <w:szCs w:val="21"/>
              </w:rPr>
            </w:pPr>
            <w:r>
              <w:rPr>
                <w:szCs w:val="21"/>
              </w:rPr>
              <w:t>研发</w:t>
            </w:r>
            <w:r>
              <w:rPr>
                <w:rFonts w:hint="eastAsia"/>
                <w:szCs w:val="21"/>
              </w:rPr>
              <w:t>投入</w:t>
            </w:r>
            <w:r>
              <w:rPr>
                <w:szCs w:val="21"/>
              </w:rPr>
              <w:t>总额占营业收入比例（%）</w:t>
            </w:r>
          </w:p>
        </w:tc>
        <w:tc>
          <w:tcPr>
            <w:tcW w:w="5253" w:type="dxa"/>
            <w:vAlign w:val="center"/>
          </w:tcPr>
          <w:p>
            <w:pPr>
              <w:widowControl w:val="0"/>
              <w:jc w:val="right"/>
              <w:rPr>
                <w:rFonts w:hint="eastAsia"/>
                <w:b w:val="0"/>
                <w:szCs w:val="21"/>
              </w:rPr>
            </w:pPr>
            <w:r>
              <w:rPr>
                <w:rFonts w:hint="eastAsia"/>
                <w:color w:val="auto"/>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3795" w:type="dxa"/>
            <w:vAlign w:val="center"/>
          </w:tcPr>
          <w:p>
            <w:pPr>
              <w:widowControl w:val="0"/>
              <w:jc w:val="both"/>
              <w:rPr>
                <w:szCs w:val="21"/>
              </w:rPr>
            </w:pPr>
            <w:r>
              <w:rPr>
                <w:rFonts w:hint="eastAsia"/>
                <w:szCs w:val="21"/>
              </w:rPr>
              <w:t>研发投入资本化的比重</w:t>
            </w:r>
            <w:r>
              <w:rPr>
                <w:szCs w:val="21"/>
              </w:rPr>
              <w:t>（%）</w:t>
            </w:r>
          </w:p>
        </w:tc>
        <w:tc>
          <w:tcPr>
            <w:tcW w:w="5253" w:type="dxa"/>
            <w:vAlign w:val="center"/>
          </w:tcPr>
          <w:p>
            <w:pPr>
              <w:widowControl w:val="0"/>
              <w:jc w:val="right"/>
              <w:rPr>
                <w:rFonts w:hint="eastAsia"/>
                <w:bCs/>
                <w:szCs w:val="21"/>
              </w:rPr>
            </w:pPr>
          </w:p>
        </w:tc>
      </w:tr>
    </w:tbl>
    <w:p/>
    <w:p>
      <w:pPr>
        <w:pStyle w:val="56"/>
        <w:numPr>
          <w:ilvl w:val="0"/>
          <w:numId w:val="11"/>
        </w:numPr>
        <w:spacing w:before="60" w:after="60"/>
        <w:ind w:firstLineChars="0"/>
        <w:rPr>
          <w:rStyle w:val="49"/>
          <w:szCs w:val="21"/>
        </w:rPr>
      </w:pPr>
      <w:bookmarkStart w:id="63" w:name="_Hlk89876622"/>
      <w:r>
        <w:rPr>
          <w:rStyle w:val="49"/>
          <w:rFonts w:hint="eastAsia"/>
          <w:szCs w:val="21"/>
        </w:rPr>
        <w:t>研发人员情况表</w:t>
      </w:r>
    </w:p>
    <w:sdt>
      <w:sdtPr>
        <w:rPr>
          <w:rFonts w:hint="eastAsia"/>
        </w:rPr>
        <w:alias w:val="是否适用：研发人员情况[双击切换]"/>
        <w:tag w:val="_GBC_ef3f376f125b4e219be789ed3078c140"/>
        <w:id w:val="5839"/>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tbl>
      <w:tblPr>
        <w:tblStyle w:val="38"/>
        <w:tblW w:w="0" w:type="auto"/>
        <w:jc w:val="center"/>
        <w:tblLayout w:type="fixed"/>
        <w:tblCellMar>
          <w:top w:w="0" w:type="dxa"/>
          <w:left w:w="108" w:type="dxa"/>
          <w:bottom w:w="0" w:type="dxa"/>
          <w:right w:w="108" w:type="dxa"/>
        </w:tblCellMar>
      </w:tblPr>
      <w:tblGrid>
        <w:gridCol w:w="5744"/>
        <w:gridCol w:w="3304"/>
      </w:tblGrid>
      <w:tr>
        <w:tblPrEx>
          <w:tblCellMar>
            <w:top w:w="0" w:type="dxa"/>
            <w:left w:w="108" w:type="dxa"/>
            <w:bottom w:w="0" w:type="dxa"/>
            <w:right w:w="108" w:type="dxa"/>
          </w:tblCellMar>
        </w:tblPrEx>
        <w:trPr>
          <w:trHeight w:val="270" w:hRule="atLeast"/>
          <w:jc w:val="center"/>
        </w:trPr>
        <w:tc>
          <w:tcPr>
            <w:tcW w:w="5744" w:type="dxa"/>
            <w:tcBorders>
              <w:top w:val="single" w:color="auto" w:sz="4" w:space="0"/>
              <w:left w:val="single" w:color="auto" w:sz="4" w:space="0"/>
              <w:bottom w:val="single" w:color="auto" w:sz="4" w:space="0"/>
              <w:right w:val="single" w:color="auto" w:sz="4" w:space="0"/>
            </w:tcBorders>
            <w:vAlign w:val="center"/>
          </w:tcPr>
          <w:sdt>
            <w:sdtPr>
              <w:tag w:val="_PLD_13cec8f1a3504661b1b570efe7519fa3"/>
              <w:id w:val="5840"/>
            </w:sdtPr>
            <w:sdtContent>
              <w:p>
                <w:pPr>
                  <w:rPr>
                    <w:szCs w:val="21"/>
                  </w:rPr>
                </w:pPr>
                <w:r>
                  <w:rPr>
                    <w:rFonts w:hint="eastAsia"/>
                    <w:szCs w:val="21"/>
                  </w:rPr>
                  <w:t>公司研发人员的数量</w:t>
                </w:r>
              </w:p>
            </w:sdtContent>
          </w:sdt>
        </w:tc>
        <w:tc>
          <w:tcPr>
            <w:tcW w:w="3304" w:type="dxa"/>
            <w:tcBorders>
              <w:top w:val="single" w:color="auto" w:sz="4" w:space="0"/>
              <w:left w:val="nil"/>
              <w:bottom w:val="single" w:color="auto" w:sz="4" w:space="0"/>
              <w:right w:val="single" w:color="auto" w:sz="4" w:space="0"/>
            </w:tcBorders>
            <w:vAlign w:val="center"/>
          </w:tcPr>
          <w:sdt>
            <w:sdtPr>
              <w:rPr>
                <w:rFonts w:hint="eastAsia"/>
              </w:rPr>
              <w:alias w:val="公司研发人员的数量"/>
              <w:tag w:val="_GBC_a84a5cadb95b4b7595981b8f24d727c8"/>
              <w:id w:val="5841"/>
            </w:sdtPr>
            <w:sdtEndPr>
              <w:rPr>
                <w:rFonts w:hint="eastAsia"/>
              </w:rPr>
            </w:sdtEndPr>
            <w:sdtContent>
              <w:p>
                <w:pPr>
                  <w:jc w:val="right"/>
                </w:pPr>
                <w:r>
                  <w:rPr>
                    <w:rFonts w:hint="eastAsia"/>
                  </w:rPr>
                  <w:t>133</w:t>
                </w:r>
              </w:p>
            </w:sdtContent>
          </w:sdt>
        </w:tc>
      </w:tr>
      <w:tr>
        <w:tblPrEx>
          <w:tblCellMar>
            <w:top w:w="0" w:type="dxa"/>
            <w:left w:w="108" w:type="dxa"/>
            <w:bottom w:w="0" w:type="dxa"/>
            <w:right w:w="108" w:type="dxa"/>
          </w:tblCellMar>
        </w:tblPrEx>
        <w:trPr>
          <w:trHeight w:val="270" w:hRule="atLeast"/>
          <w:jc w:val="center"/>
        </w:trPr>
        <w:tc>
          <w:tcPr>
            <w:tcW w:w="5744" w:type="dxa"/>
            <w:tcBorders>
              <w:top w:val="nil"/>
              <w:left w:val="single" w:color="auto" w:sz="4" w:space="0"/>
              <w:bottom w:val="single" w:color="auto" w:sz="4" w:space="0"/>
              <w:right w:val="single" w:color="auto" w:sz="4" w:space="0"/>
            </w:tcBorders>
            <w:vAlign w:val="center"/>
          </w:tcPr>
          <w:p>
            <w:pPr>
              <w:rPr>
                <w:szCs w:val="21"/>
              </w:rPr>
            </w:pPr>
            <w:r>
              <w:rPr>
                <w:rFonts w:hint="eastAsia"/>
                <w:szCs w:val="21"/>
              </w:rPr>
              <w:t>研发人员数量占公司总人数的比例（%）</w:t>
            </w:r>
          </w:p>
        </w:tc>
        <w:tc>
          <w:tcPr>
            <w:tcW w:w="3304" w:type="dxa"/>
            <w:tcBorders>
              <w:top w:val="nil"/>
              <w:left w:val="nil"/>
              <w:bottom w:val="single" w:color="auto" w:sz="4" w:space="0"/>
              <w:right w:val="single" w:color="auto" w:sz="4" w:space="0"/>
            </w:tcBorders>
            <w:vAlign w:val="center"/>
          </w:tcPr>
          <w:p>
            <w:pPr>
              <w:jc w:val="right"/>
            </w:pPr>
            <w:r>
              <w:rPr>
                <w:rFonts w:hint="eastAsia"/>
                <w:color w:val="auto"/>
              </w:rPr>
              <w:t>8.06</w:t>
            </w:r>
          </w:p>
        </w:tc>
      </w:tr>
      <w:tr>
        <w:tblPrEx>
          <w:tblCellMar>
            <w:top w:w="0" w:type="dxa"/>
            <w:left w:w="108" w:type="dxa"/>
            <w:bottom w:w="0" w:type="dxa"/>
            <w:right w:w="108" w:type="dxa"/>
          </w:tblCellMar>
        </w:tblPrEx>
        <w:trPr>
          <w:trHeight w:val="270" w:hRule="atLeast"/>
          <w:jc w:val="center"/>
        </w:trPr>
        <w:tc>
          <w:tcPr>
            <w:tcW w:w="9049" w:type="dxa"/>
            <w:gridSpan w:val="2"/>
            <w:tcBorders>
              <w:top w:val="single" w:color="auto" w:sz="4" w:space="0"/>
              <w:left w:val="single" w:color="auto" w:sz="4" w:space="0"/>
              <w:bottom w:val="single" w:color="auto" w:sz="4" w:space="0"/>
              <w:right w:val="single" w:color="auto" w:sz="4" w:space="0"/>
            </w:tcBorders>
            <w:vAlign w:val="center"/>
          </w:tcPr>
          <w:sdt>
            <w:sdtPr>
              <w:tag w:val="_PLD_b048dc379aae455a86f744476f1bb4a1"/>
              <w:id w:val="5842"/>
            </w:sdtPr>
            <w:sdtContent>
              <w:p>
                <w:pPr>
                  <w:jc w:val="center"/>
                  <w:rPr>
                    <w:szCs w:val="21"/>
                  </w:rPr>
                </w:pPr>
                <w:r>
                  <w:rPr>
                    <w:rFonts w:hint="eastAsia"/>
                    <w:szCs w:val="21"/>
                  </w:rPr>
                  <w:t>研发人员学历结构</w:t>
                </w:r>
              </w:p>
            </w:sdtContent>
          </w:sdt>
        </w:tc>
      </w:tr>
      <w:tr>
        <w:tblPrEx>
          <w:tblCellMar>
            <w:top w:w="0" w:type="dxa"/>
            <w:left w:w="108" w:type="dxa"/>
            <w:bottom w:w="0" w:type="dxa"/>
            <w:right w:w="108" w:type="dxa"/>
          </w:tblCellMar>
        </w:tblPrEx>
        <w:trPr>
          <w:trHeight w:val="270" w:hRule="atLeast"/>
          <w:jc w:val="center"/>
        </w:trPr>
        <w:tc>
          <w:tcPr>
            <w:tcW w:w="5744" w:type="dxa"/>
            <w:tcBorders>
              <w:top w:val="nil"/>
              <w:left w:val="single" w:color="auto" w:sz="4" w:space="0"/>
              <w:bottom w:val="single" w:color="auto" w:sz="4" w:space="0"/>
              <w:right w:val="single" w:color="auto" w:sz="4" w:space="0"/>
            </w:tcBorders>
            <w:vAlign w:val="center"/>
          </w:tcPr>
          <w:sdt>
            <w:sdtPr>
              <w:tag w:val="_PLD_f770501e43654648a563d2a86970204f"/>
              <w:id w:val="5843"/>
            </w:sdtPr>
            <w:sdtContent>
              <w:p>
                <w:pPr>
                  <w:rPr>
                    <w:szCs w:val="21"/>
                  </w:rPr>
                </w:pPr>
                <w:r>
                  <w:rPr>
                    <w:rFonts w:hint="eastAsia"/>
                    <w:szCs w:val="21"/>
                  </w:rPr>
                  <w:t>学历结构类别</w:t>
                </w:r>
              </w:p>
            </w:sdtContent>
          </w:sdt>
        </w:tc>
        <w:tc>
          <w:tcPr>
            <w:tcW w:w="3304" w:type="dxa"/>
            <w:tcBorders>
              <w:top w:val="nil"/>
              <w:left w:val="nil"/>
              <w:bottom w:val="single" w:color="auto" w:sz="4" w:space="0"/>
              <w:right w:val="single" w:color="auto" w:sz="4" w:space="0"/>
            </w:tcBorders>
            <w:noWrap/>
            <w:vAlign w:val="center"/>
          </w:tcPr>
          <w:p>
            <w:pPr>
              <w:jc w:val="center"/>
              <w:rPr>
                <w:szCs w:val="21"/>
              </w:rPr>
            </w:pPr>
            <w:r>
              <w:rPr>
                <w:rFonts w:hint="eastAsia"/>
                <w:szCs w:val="21"/>
              </w:rPr>
              <w:t>学历结构人数</w:t>
            </w:r>
          </w:p>
        </w:tc>
      </w:tr>
      <w:tr>
        <w:tblPrEx>
          <w:tblCellMar>
            <w:top w:w="0" w:type="dxa"/>
            <w:left w:w="108" w:type="dxa"/>
            <w:bottom w:w="0" w:type="dxa"/>
            <w:right w:w="108" w:type="dxa"/>
          </w:tblCellMar>
        </w:tblPrEx>
        <w:trPr>
          <w:trHeight w:val="270" w:hRule="atLeast"/>
          <w:jc w:val="center"/>
        </w:trPr>
        <w:tc>
          <w:tcPr>
            <w:tcW w:w="5744" w:type="dxa"/>
            <w:tcBorders>
              <w:top w:val="nil"/>
              <w:left w:val="single" w:color="auto" w:sz="4" w:space="0"/>
              <w:bottom w:val="single" w:color="auto" w:sz="4" w:space="0"/>
              <w:right w:val="single" w:color="auto" w:sz="4" w:space="0"/>
            </w:tcBorders>
            <w:vAlign w:val="center"/>
          </w:tcPr>
          <w:p>
            <w:pPr>
              <w:rPr>
                <w:szCs w:val="21"/>
              </w:rPr>
            </w:pPr>
            <w:r>
              <w:rPr>
                <w:rFonts w:hint="eastAsia"/>
                <w:szCs w:val="21"/>
              </w:rPr>
              <w:t>博士研究生</w:t>
            </w:r>
          </w:p>
        </w:tc>
        <w:tc>
          <w:tcPr>
            <w:tcW w:w="3304" w:type="dxa"/>
            <w:tcBorders>
              <w:top w:val="nil"/>
              <w:left w:val="nil"/>
              <w:bottom w:val="single" w:color="auto" w:sz="4" w:space="0"/>
              <w:right w:val="single" w:color="auto" w:sz="4" w:space="0"/>
            </w:tcBorders>
            <w:noWrap/>
            <w:vAlign w:val="center"/>
          </w:tcPr>
          <w:p>
            <w:pPr>
              <w:jc w:val="right"/>
            </w:pPr>
            <w:r>
              <w:rPr>
                <w:rFonts w:hint="eastAsia"/>
                <w:color w:val="auto"/>
              </w:rPr>
              <w:t>0</w:t>
            </w:r>
          </w:p>
        </w:tc>
      </w:tr>
      <w:tr>
        <w:tblPrEx>
          <w:tblCellMar>
            <w:top w:w="0" w:type="dxa"/>
            <w:left w:w="108" w:type="dxa"/>
            <w:bottom w:w="0" w:type="dxa"/>
            <w:right w:w="108" w:type="dxa"/>
          </w:tblCellMar>
        </w:tblPrEx>
        <w:trPr>
          <w:trHeight w:val="270" w:hRule="atLeast"/>
          <w:jc w:val="center"/>
        </w:trPr>
        <w:tc>
          <w:tcPr>
            <w:tcW w:w="5744" w:type="dxa"/>
            <w:tcBorders>
              <w:top w:val="nil"/>
              <w:left w:val="single" w:color="auto" w:sz="4" w:space="0"/>
              <w:bottom w:val="single" w:color="auto" w:sz="4" w:space="0"/>
              <w:right w:val="single" w:color="auto" w:sz="4" w:space="0"/>
            </w:tcBorders>
            <w:vAlign w:val="center"/>
          </w:tcPr>
          <w:p>
            <w:pPr>
              <w:rPr>
                <w:szCs w:val="21"/>
              </w:rPr>
            </w:pPr>
            <w:r>
              <w:rPr>
                <w:rFonts w:hint="eastAsia"/>
                <w:szCs w:val="21"/>
              </w:rPr>
              <w:t>硕士研究生</w:t>
            </w:r>
          </w:p>
        </w:tc>
        <w:tc>
          <w:tcPr>
            <w:tcW w:w="3304" w:type="dxa"/>
            <w:tcBorders>
              <w:top w:val="nil"/>
              <w:left w:val="nil"/>
              <w:bottom w:val="single" w:color="auto" w:sz="4" w:space="0"/>
              <w:right w:val="single" w:color="auto" w:sz="4" w:space="0"/>
            </w:tcBorders>
            <w:noWrap/>
            <w:vAlign w:val="center"/>
          </w:tcPr>
          <w:p>
            <w:pPr>
              <w:jc w:val="right"/>
            </w:pPr>
            <w:r>
              <w:rPr>
                <w:rFonts w:hint="eastAsia"/>
                <w:color w:val="auto"/>
              </w:rPr>
              <w:t>20</w:t>
            </w:r>
          </w:p>
        </w:tc>
      </w:tr>
      <w:tr>
        <w:tblPrEx>
          <w:tblCellMar>
            <w:top w:w="0" w:type="dxa"/>
            <w:left w:w="108" w:type="dxa"/>
            <w:bottom w:w="0" w:type="dxa"/>
            <w:right w:w="108" w:type="dxa"/>
          </w:tblCellMar>
        </w:tblPrEx>
        <w:trPr>
          <w:trHeight w:val="270" w:hRule="atLeast"/>
          <w:jc w:val="center"/>
        </w:trPr>
        <w:tc>
          <w:tcPr>
            <w:tcW w:w="5744" w:type="dxa"/>
            <w:tcBorders>
              <w:top w:val="nil"/>
              <w:left w:val="single" w:color="auto" w:sz="4" w:space="0"/>
              <w:bottom w:val="single" w:color="auto" w:sz="4" w:space="0"/>
              <w:right w:val="single" w:color="auto" w:sz="4" w:space="0"/>
            </w:tcBorders>
            <w:vAlign w:val="center"/>
          </w:tcPr>
          <w:p>
            <w:pPr>
              <w:rPr>
                <w:szCs w:val="21"/>
              </w:rPr>
            </w:pPr>
            <w:r>
              <w:rPr>
                <w:rFonts w:hint="eastAsia"/>
                <w:szCs w:val="21"/>
              </w:rPr>
              <w:t>本科</w:t>
            </w:r>
          </w:p>
        </w:tc>
        <w:tc>
          <w:tcPr>
            <w:tcW w:w="3304" w:type="dxa"/>
            <w:tcBorders>
              <w:top w:val="nil"/>
              <w:left w:val="nil"/>
              <w:bottom w:val="single" w:color="auto" w:sz="4" w:space="0"/>
              <w:right w:val="single" w:color="auto" w:sz="4" w:space="0"/>
            </w:tcBorders>
            <w:noWrap/>
            <w:vAlign w:val="center"/>
          </w:tcPr>
          <w:p>
            <w:pPr>
              <w:jc w:val="right"/>
            </w:pPr>
            <w:r>
              <w:rPr>
                <w:rFonts w:hint="eastAsia"/>
                <w:color w:val="auto"/>
              </w:rPr>
              <w:t>70</w:t>
            </w:r>
          </w:p>
        </w:tc>
      </w:tr>
      <w:tr>
        <w:tblPrEx>
          <w:tblCellMar>
            <w:top w:w="0" w:type="dxa"/>
            <w:left w:w="108" w:type="dxa"/>
            <w:bottom w:w="0" w:type="dxa"/>
            <w:right w:w="108" w:type="dxa"/>
          </w:tblCellMar>
        </w:tblPrEx>
        <w:trPr>
          <w:trHeight w:val="270" w:hRule="atLeast"/>
          <w:jc w:val="center"/>
        </w:trPr>
        <w:tc>
          <w:tcPr>
            <w:tcW w:w="5744" w:type="dxa"/>
            <w:tcBorders>
              <w:top w:val="nil"/>
              <w:left w:val="single" w:color="auto" w:sz="4" w:space="0"/>
              <w:bottom w:val="single" w:color="auto" w:sz="4" w:space="0"/>
              <w:right w:val="single" w:color="auto" w:sz="4" w:space="0"/>
            </w:tcBorders>
            <w:vAlign w:val="center"/>
          </w:tcPr>
          <w:p>
            <w:pPr>
              <w:rPr>
                <w:szCs w:val="21"/>
              </w:rPr>
            </w:pPr>
            <w:r>
              <w:rPr>
                <w:rFonts w:hint="eastAsia"/>
                <w:szCs w:val="21"/>
              </w:rPr>
              <w:t>专科</w:t>
            </w:r>
          </w:p>
        </w:tc>
        <w:tc>
          <w:tcPr>
            <w:tcW w:w="3304" w:type="dxa"/>
            <w:tcBorders>
              <w:top w:val="nil"/>
              <w:left w:val="nil"/>
              <w:bottom w:val="single" w:color="auto" w:sz="4" w:space="0"/>
              <w:right w:val="single" w:color="auto" w:sz="4" w:space="0"/>
            </w:tcBorders>
            <w:noWrap/>
            <w:vAlign w:val="center"/>
          </w:tcPr>
          <w:p>
            <w:pPr>
              <w:jc w:val="right"/>
            </w:pPr>
            <w:r>
              <w:rPr>
                <w:rFonts w:hint="eastAsia"/>
                <w:color w:val="auto"/>
              </w:rPr>
              <w:t>28</w:t>
            </w:r>
          </w:p>
        </w:tc>
      </w:tr>
      <w:tr>
        <w:tblPrEx>
          <w:tblCellMar>
            <w:top w:w="0" w:type="dxa"/>
            <w:left w:w="108" w:type="dxa"/>
            <w:bottom w:w="0" w:type="dxa"/>
            <w:right w:w="108" w:type="dxa"/>
          </w:tblCellMar>
        </w:tblPrEx>
        <w:trPr>
          <w:trHeight w:val="270" w:hRule="atLeast"/>
          <w:jc w:val="center"/>
        </w:trPr>
        <w:tc>
          <w:tcPr>
            <w:tcW w:w="5744" w:type="dxa"/>
            <w:tcBorders>
              <w:top w:val="nil"/>
              <w:left w:val="single" w:color="auto" w:sz="4" w:space="0"/>
              <w:bottom w:val="single" w:color="auto" w:sz="4" w:space="0"/>
              <w:right w:val="single" w:color="auto" w:sz="4" w:space="0"/>
            </w:tcBorders>
            <w:vAlign w:val="center"/>
          </w:tcPr>
          <w:p>
            <w:pPr>
              <w:rPr>
                <w:szCs w:val="21"/>
              </w:rPr>
            </w:pPr>
            <w:r>
              <w:rPr>
                <w:rFonts w:hint="eastAsia"/>
                <w:szCs w:val="21"/>
              </w:rPr>
              <w:t>高中及以下</w:t>
            </w:r>
          </w:p>
        </w:tc>
        <w:tc>
          <w:tcPr>
            <w:tcW w:w="3304" w:type="dxa"/>
            <w:tcBorders>
              <w:top w:val="nil"/>
              <w:left w:val="nil"/>
              <w:bottom w:val="single" w:color="auto" w:sz="4" w:space="0"/>
              <w:right w:val="single" w:color="auto" w:sz="4" w:space="0"/>
            </w:tcBorders>
            <w:noWrap/>
            <w:vAlign w:val="center"/>
          </w:tcPr>
          <w:p>
            <w:pPr>
              <w:jc w:val="right"/>
            </w:pPr>
            <w:r>
              <w:rPr>
                <w:rFonts w:hint="eastAsia"/>
                <w:color w:val="auto"/>
              </w:rPr>
              <w:t>15</w:t>
            </w:r>
          </w:p>
        </w:tc>
      </w:tr>
      <w:tr>
        <w:tblPrEx>
          <w:tblCellMar>
            <w:top w:w="0" w:type="dxa"/>
            <w:left w:w="108" w:type="dxa"/>
            <w:bottom w:w="0" w:type="dxa"/>
            <w:right w:w="108" w:type="dxa"/>
          </w:tblCellMar>
        </w:tblPrEx>
        <w:trPr>
          <w:trHeight w:val="270" w:hRule="atLeast"/>
          <w:jc w:val="center"/>
        </w:trPr>
        <w:tc>
          <w:tcPr>
            <w:tcW w:w="9049" w:type="dxa"/>
            <w:gridSpan w:val="2"/>
            <w:tcBorders>
              <w:top w:val="nil"/>
              <w:left w:val="single" w:color="auto" w:sz="4" w:space="0"/>
              <w:bottom w:val="single" w:color="auto" w:sz="4" w:space="0"/>
              <w:right w:val="single" w:color="auto" w:sz="4" w:space="0"/>
            </w:tcBorders>
            <w:vAlign w:val="center"/>
          </w:tcPr>
          <w:sdt>
            <w:sdtPr>
              <w:tag w:val="_PLD_10352dc928264c50aa8776e0ae8ec569"/>
              <w:id w:val="5844"/>
            </w:sdtPr>
            <w:sdtContent>
              <w:p>
                <w:pPr>
                  <w:jc w:val="center"/>
                  <w:rPr>
                    <w:szCs w:val="21"/>
                  </w:rPr>
                </w:pPr>
                <w:r>
                  <w:rPr>
                    <w:rFonts w:hint="eastAsia"/>
                    <w:szCs w:val="21"/>
                  </w:rPr>
                  <w:t>研发人员年龄结构</w:t>
                </w:r>
              </w:p>
            </w:sdtContent>
          </w:sdt>
        </w:tc>
      </w:tr>
      <w:tr>
        <w:tblPrEx>
          <w:tblCellMar>
            <w:top w:w="0" w:type="dxa"/>
            <w:left w:w="108" w:type="dxa"/>
            <w:bottom w:w="0" w:type="dxa"/>
            <w:right w:w="108" w:type="dxa"/>
          </w:tblCellMar>
        </w:tblPrEx>
        <w:trPr>
          <w:trHeight w:val="270" w:hRule="atLeast"/>
          <w:jc w:val="center"/>
        </w:trPr>
        <w:tc>
          <w:tcPr>
            <w:tcW w:w="5744" w:type="dxa"/>
            <w:tcBorders>
              <w:top w:val="nil"/>
              <w:left w:val="single" w:color="auto" w:sz="4" w:space="0"/>
              <w:bottom w:val="single" w:color="auto" w:sz="4" w:space="0"/>
              <w:right w:val="single" w:color="auto" w:sz="4" w:space="0"/>
            </w:tcBorders>
            <w:vAlign w:val="center"/>
          </w:tcPr>
          <w:sdt>
            <w:sdtPr>
              <w:tag w:val="_PLD_b9dd411387bd4ae4b04fe660cc0aac1b"/>
              <w:id w:val="5845"/>
            </w:sdtPr>
            <w:sdtContent>
              <w:p>
                <w:pPr>
                  <w:rPr>
                    <w:szCs w:val="21"/>
                  </w:rPr>
                </w:pPr>
                <w:r>
                  <w:rPr>
                    <w:rFonts w:hint="eastAsia"/>
                    <w:szCs w:val="21"/>
                  </w:rPr>
                  <w:t>年龄结构类别</w:t>
                </w:r>
              </w:p>
            </w:sdtContent>
          </w:sdt>
        </w:tc>
        <w:tc>
          <w:tcPr>
            <w:tcW w:w="3304" w:type="dxa"/>
            <w:tcBorders>
              <w:top w:val="nil"/>
              <w:left w:val="nil"/>
              <w:bottom w:val="single" w:color="auto" w:sz="4" w:space="0"/>
              <w:right w:val="single" w:color="auto" w:sz="4" w:space="0"/>
            </w:tcBorders>
            <w:noWrap/>
            <w:vAlign w:val="center"/>
          </w:tcPr>
          <w:p>
            <w:pPr>
              <w:jc w:val="center"/>
              <w:rPr>
                <w:szCs w:val="21"/>
              </w:rPr>
            </w:pPr>
            <w:r>
              <w:rPr>
                <w:rFonts w:hint="eastAsia"/>
                <w:szCs w:val="21"/>
              </w:rPr>
              <w:t>年龄结构人数</w:t>
            </w:r>
          </w:p>
        </w:tc>
      </w:tr>
      <w:tr>
        <w:tblPrEx>
          <w:tblCellMar>
            <w:top w:w="0" w:type="dxa"/>
            <w:left w:w="108" w:type="dxa"/>
            <w:bottom w:w="0" w:type="dxa"/>
            <w:right w:w="108" w:type="dxa"/>
          </w:tblCellMar>
        </w:tblPrEx>
        <w:trPr>
          <w:trHeight w:val="270" w:hRule="atLeast"/>
          <w:jc w:val="center"/>
        </w:trPr>
        <w:tc>
          <w:tcPr>
            <w:tcW w:w="5744" w:type="dxa"/>
            <w:tcBorders>
              <w:top w:val="nil"/>
              <w:left w:val="single" w:color="auto" w:sz="4" w:space="0"/>
              <w:bottom w:val="single" w:color="auto" w:sz="4" w:space="0"/>
              <w:right w:val="single" w:color="auto" w:sz="4" w:space="0"/>
            </w:tcBorders>
            <w:vAlign w:val="center"/>
          </w:tcPr>
          <w:p>
            <w:pPr>
              <w:rPr>
                <w:szCs w:val="21"/>
              </w:rPr>
            </w:pPr>
            <w:r>
              <w:rPr>
                <w:rFonts w:hint="eastAsia"/>
                <w:szCs w:val="21"/>
              </w:rPr>
              <w:t>30岁以下（不含30岁）</w:t>
            </w:r>
          </w:p>
        </w:tc>
        <w:tc>
          <w:tcPr>
            <w:tcW w:w="3304" w:type="dxa"/>
            <w:tcBorders>
              <w:top w:val="nil"/>
              <w:left w:val="nil"/>
              <w:bottom w:val="single" w:color="auto" w:sz="4" w:space="0"/>
              <w:right w:val="single" w:color="auto" w:sz="4" w:space="0"/>
            </w:tcBorders>
            <w:noWrap/>
            <w:vAlign w:val="center"/>
          </w:tcPr>
          <w:p>
            <w:pPr>
              <w:jc w:val="right"/>
              <w:rPr>
                <w:szCs w:val="21"/>
              </w:rPr>
            </w:pPr>
            <w:r>
              <w:rPr>
                <w:rFonts w:hint="eastAsia"/>
                <w:color w:val="auto"/>
              </w:rPr>
              <w:t>52</w:t>
            </w:r>
          </w:p>
        </w:tc>
      </w:tr>
      <w:tr>
        <w:tblPrEx>
          <w:tblCellMar>
            <w:top w:w="0" w:type="dxa"/>
            <w:left w:w="108" w:type="dxa"/>
            <w:bottom w:w="0" w:type="dxa"/>
            <w:right w:w="108" w:type="dxa"/>
          </w:tblCellMar>
        </w:tblPrEx>
        <w:trPr>
          <w:trHeight w:val="270" w:hRule="atLeast"/>
          <w:jc w:val="center"/>
        </w:trPr>
        <w:tc>
          <w:tcPr>
            <w:tcW w:w="5744" w:type="dxa"/>
            <w:tcBorders>
              <w:top w:val="nil"/>
              <w:left w:val="single" w:color="auto" w:sz="4" w:space="0"/>
              <w:bottom w:val="single" w:color="auto" w:sz="4" w:space="0"/>
              <w:right w:val="single" w:color="auto" w:sz="4" w:space="0"/>
            </w:tcBorders>
            <w:vAlign w:val="center"/>
          </w:tcPr>
          <w:p>
            <w:pPr>
              <w:rPr>
                <w:szCs w:val="21"/>
              </w:rPr>
            </w:pPr>
            <w:r>
              <w:rPr>
                <w:rFonts w:hint="eastAsia"/>
                <w:szCs w:val="21"/>
              </w:rPr>
              <w:t>30-40岁（含30岁，不含40岁）</w:t>
            </w:r>
          </w:p>
        </w:tc>
        <w:tc>
          <w:tcPr>
            <w:tcW w:w="3304" w:type="dxa"/>
            <w:tcBorders>
              <w:top w:val="nil"/>
              <w:left w:val="nil"/>
              <w:bottom w:val="single" w:color="auto" w:sz="4" w:space="0"/>
              <w:right w:val="single" w:color="auto" w:sz="4" w:space="0"/>
            </w:tcBorders>
            <w:noWrap/>
            <w:vAlign w:val="center"/>
          </w:tcPr>
          <w:p>
            <w:pPr>
              <w:jc w:val="right"/>
              <w:rPr>
                <w:szCs w:val="21"/>
              </w:rPr>
            </w:pPr>
            <w:r>
              <w:rPr>
                <w:rFonts w:hint="eastAsia"/>
                <w:color w:val="auto"/>
              </w:rPr>
              <w:t>41</w:t>
            </w:r>
          </w:p>
        </w:tc>
      </w:tr>
      <w:tr>
        <w:tblPrEx>
          <w:tblCellMar>
            <w:top w:w="0" w:type="dxa"/>
            <w:left w:w="108" w:type="dxa"/>
            <w:bottom w:w="0" w:type="dxa"/>
            <w:right w:w="108" w:type="dxa"/>
          </w:tblCellMar>
        </w:tblPrEx>
        <w:trPr>
          <w:trHeight w:val="270" w:hRule="atLeast"/>
          <w:jc w:val="center"/>
        </w:trPr>
        <w:tc>
          <w:tcPr>
            <w:tcW w:w="5744" w:type="dxa"/>
            <w:tcBorders>
              <w:top w:val="nil"/>
              <w:left w:val="single" w:color="auto" w:sz="4" w:space="0"/>
              <w:bottom w:val="single" w:color="auto" w:sz="4" w:space="0"/>
              <w:right w:val="single" w:color="auto" w:sz="4" w:space="0"/>
            </w:tcBorders>
            <w:vAlign w:val="center"/>
          </w:tcPr>
          <w:p>
            <w:pPr>
              <w:rPr>
                <w:szCs w:val="21"/>
              </w:rPr>
            </w:pPr>
            <w:r>
              <w:rPr>
                <w:rFonts w:hint="eastAsia"/>
                <w:szCs w:val="21"/>
              </w:rPr>
              <w:t>40-50岁（含40岁，不含50岁）</w:t>
            </w:r>
          </w:p>
        </w:tc>
        <w:tc>
          <w:tcPr>
            <w:tcW w:w="3304" w:type="dxa"/>
            <w:tcBorders>
              <w:top w:val="nil"/>
              <w:left w:val="nil"/>
              <w:bottom w:val="single" w:color="auto" w:sz="4" w:space="0"/>
              <w:right w:val="single" w:color="auto" w:sz="4" w:space="0"/>
            </w:tcBorders>
            <w:noWrap/>
            <w:vAlign w:val="center"/>
          </w:tcPr>
          <w:p>
            <w:pPr>
              <w:jc w:val="right"/>
              <w:rPr>
                <w:szCs w:val="21"/>
              </w:rPr>
            </w:pPr>
            <w:r>
              <w:rPr>
                <w:rFonts w:hint="eastAsia"/>
                <w:color w:val="auto"/>
              </w:rPr>
              <w:t>26</w:t>
            </w:r>
          </w:p>
        </w:tc>
      </w:tr>
      <w:tr>
        <w:tblPrEx>
          <w:tblCellMar>
            <w:top w:w="0" w:type="dxa"/>
            <w:left w:w="108" w:type="dxa"/>
            <w:bottom w:w="0" w:type="dxa"/>
            <w:right w:w="108" w:type="dxa"/>
          </w:tblCellMar>
        </w:tblPrEx>
        <w:trPr>
          <w:trHeight w:val="270" w:hRule="atLeast"/>
          <w:jc w:val="center"/>
        </w:trPr>
        <w:tc>
          <w:tcPr>
            <w:tcW w:w="5744" w:type="dxa"/>
            <w:tcBorders>
              <w:top w:val="nil"/>
              <w:left w:val="single" w:color="auto" w:sz="4" w:space="0"/>
              <w:bottom w:val="single" w:color="auto" w:sz="4" w:space="0"/>
              <w:right w:val="single" w:color="auto" w:sz="4" w:space="0"/>
            </w:tcBorders>
            <w:vAlign w:val="center"/>
          </w:tcPr>
          <w:p>
            <w:pPr>
              <w:rPr>
                <w:szCs w:val="21"/>
              </w:rPr>
            </w:pPr>
            <w:r>
              <w:rPr>
                <w:rFonts w:hint="eastAsia"/>
                <w:szCs w:val="21"/>
              </w:rPr>
              <w:t>50-60岁（含50岁，不含60岁）</w:t>
            </w:r>
          </w:p>
        </w:tc>
        <w:tc>
          <w:tcPr>
            <w:tcW w:w="3304" w:type="dxa"/>
            <w:tcBorders>
              <w:top w:val="nil"/>
              <w:left w:val="nil"/>
              <w:bottom w:val="single" w:color="auto" w:sz="4" w:space="0"/>
              <w:right w:val="single" w:color="auto" w:sz="4" w:space="0"/>
            </w:tcBorders>
            <w:noWrap/>
            <w:vAlign w:val="center"/>
          </w:tcPr>
          <w:p>
            <w:pPr>
              <w:jc w:val="right"/>
              <w:rPr>
                <w:szCs w:val="21"/>
              </w:rPr>
            </w:pPr>
            <w:r>
              <w:rPr>
                <w:rFonts w:hint="eastAsia"/>
                <w:color w:val="auto"/>
              </w:rPr>
              <w:t>13</w:t>
            </w:r>
          </w:p>
        </w:tc>
      </w:tr>
      <w:tr>
        <w:tblPrEx>
          <w:tblCellMar>
            <w:top w:w="0" w:type="dxa"/>
            <w:left w:w="108" w:type="dxa"/>
            <w:bottom w:w="0" w:type="dxa"/>
            <w:right w:w="108" w:type="dxa"/>
          </w:tblCellMar>
        </w:tblPrEx>
        <w:trPr>
          <w:trHeight w:val="270" w:hRule="atLeast"/>
          <w:jc w:val="center"/>
        </w:trPr>
        <w:tc>
          <w:tcPr>
            <w:tcW w:w="5744" w:type="dxa"/>
            <w:tcBorders>
              <w:top w:val="nil"/>
              <w:left w:val="single" w:color="auto" w:sz="4" w:space="0"/>
              <w:bottom w:val="single" w:color="auto" w:sz="4" w:space="0"/>
              <w:right w:val="single" w:color="auto" w:sz="4" w:space="0"/>
            </w:tcBorders>
            <w:vAlign w:val="center"/>
          </w:tcPr>
          <w:p>
            <w:pPr>
              <w:rPr>
                <w:szCs w:val="21"/>
              </w:rPr>
            </w:pPr>
            <w:r>
              <w:rPr>
                <w:rFonts w:hint="eastAsia"/>
                <w:szCs w:val="21"/>
              </w:rPr>
              <w:t>60岁及以上</w:t>
            </w:r>
          </w:p>
        </w:tc>
        <w:tc>
          <w:tcPr>
            <w:tcW w:w="3304" w:type="dxa"/>
            <w:tcBorders>
              <w:top w:val="nil"/>
              <w:left w:val="nil"/>
              <w:bottom w:val="single" w:color="auto" w:sz="4" w:space="0"/>
              <w:right w:val="single" w:color="auto" w:sz="4" w:space="0"/>
            </w:tcBorders>
            <w:noWrap/>
            <w:vAlign w:val="center"/>
          </w:tcPr>
          <w:p>
            <w:pPr>
              <w:jc w:val="right"/>
              <w:rPr>
                <w:szCs w:val="21"/>
              </w:rPr>
            </w:pPr>
            <w:r>
              <w:rPr>
                <w:rFonts w:hint="eastAsia"/>
                <w:color w:val="auto"/>
              </w:rPr>
              <w:t>1</w:t>
            </w:r>
          </w:p>
        </w:tc>
      </w:tr>
    </w:tbl>
    <w:p/>
    <w:bookmarkEnd w:id="63"/>
    <w:p>
      <w:pPr>
        <w:pStyle w:val="56"/>
        <w:numPr>
          <w:ilvl w:val="0"/>
          <w:numId w:val="11"/>
        </w:numPr>
        <w:spacing w:before="60" w:after="60"/>
        <w:ind w:firstLineChars="0"/>
        <w:rPr>
          <w:rStyle w:val="49"/>
          <w:szCs w:val="21"/>
        </w:rPr>
      </w:pPr>
      <w:r>
        <w:rPr>
          <w:rStyle w:val="49"/>
          <w:szCs w:val="21"/>
        </w:rPr>
        <w:t>情况说明</w:t>
      </w:r>
    </w:p>
    <w:sdt>
      <w:sdtPr>
        <w:rPr>
          <w:rStyle w:val="49"/>
          <w:b w:val="0"/>
          <w:szCs w:val="21"/>
        </w:rPr>
        <w:alias w:val="是否适用：研发投入情况说明[双击切换]"/>
        <w:tag w:val="_GBC_b983f5c63407411d82434ca6547deae8"/>
        <w:id w:val="5846"/>
        <w:placeholder>
          <w:docPart w:val="GBC22222222222222222222222222222"/>
        </w:placeholder>
      </w:sdtPr>
      <w:sdtEndPr>
        <w:rPr>
          <w:rStyle w:val="49"/>
          <w:b w:val="0"/>
          <w:szCs w:val="21"/>
        </w:rPr>
      </w:sdtEndPr>
      <w:sdtContent>
        <w:p>
          <w:pPr>
            <w:spacing w:before="60" w:after="60"/>
            <w:rPr>
              <w:rStyle w:val="49"/>
              <w:b w:val="0"/>
              <w:szCs w:val="21"/>
            </w:rPr>
          </w:pPr>
          <w:r>
            <w:rPr>
              <w:rStyle w:val="49"/>
              <w:rFonts w:ascii="宋体" w:hAnsi="宋体"/>
              <w:b w:val="0"/>
              <w:szCs w:val="21"/>
            </w:rPr>
            <w:fldChar w:fldCharType="begin"/>
          </w:r>
          <w:r>
            <w:rPr>
              <w:rStyle w:val="49"/>
              <w:rFonts w:hint="eastAsia" w:ascii="宋体" w:hAnsi="宋体"/>
              <w:b w:val="0"/>
              <w:szCs w:val="21"/>
            </w:rPr>
            <w:instrText xml:space="preserve">MACROBUTTON  SnrToggleCheckbox □适用 </w:instrText>
          </w:r>
          <w:r>
            <w:rPr>
              <w:rStyle w:val="49"/>
              <w:rFonts w:ascii="宋体" w:hAnsi="宋体"/>
              <w:b w:val="0"/>
              <w:szCs w:val="21"/>
            </w:rPr>
            <w:fldChar w:fldCharType="end"/>
          </w:r>
          <w:r>
            <w:rPr>
              <w:rStyle w:val="49"/>
              <w:rFonts w:ascii="宋体" w:hAnsi="宋体"/>
              <w:b w:val="0"/>
              <w:szCs w:val="21"/>
            </w:rPr>
            <w:fldChar w:fldCharType="begin"/>
          </w:r>
          <w:r>
            <w:rPr>
              <w:rStyle w:val="49"/>
              <w:rFonts w:ascii="宋体" w:hAnsi="宋体"/>
              <w:b w:val="0"/>
              <w:szCs w:val="21"/>
            </w:rPr>
            <w:instrText xml:space="preserve"> MACROBUTTON  SnrToggleCheckbox √不适用 </w:instrText>
          </w:r>
          <w:r>
            <w:rPr>
              <w:rStyle w:val="49"/>
              <w:rFonts w:ascii="宋体" w:hAnsi="宋体"/>
              <w:b w:val="0"/>
              <w:szCs w:val="21"/>
            </w:rPr>
            <w:fldChar w:fldCharType="end"/>
          </w:r>
        </w:p>
      </w:sdtContent>
    </w:sdt>
    <w:p>
      <w:pPr>
        <w:rPr>
          <w:rStyle w:val="49"/>
          <w:b w:val="0"/>
          <w:bCs w:val="0"/>
          <w:szCs w:val="21"/>
        </w:rPr>
      </w:pPr>
    </w:p>
    <w:p>
      <w:pPr>
        <w:pStyle w:val="56"/>
        <w:numPr>
          <w:ilvl w:val="0"/>
          <w:numId w:val="11"/>
        </w:numPr>
        <w:spacing w:before="60" w:after="60"/>
        <w:ind w:firstLineChars="0"/>
        <w:rPr>
          <w:rStyle w:val="49"/>
          <w:szCs w:val="21"/>
        </w:rPr>
      </w:pPr>
      <w:bookmarkStart w:id="64" w:name="_Hlk89876701"/>
      <w:r>
        <w:rPr>
          <w:rStyle w:val="49"/>
          <w:rFonts w:hint="eastAsia"/>
          <w:szCs w:val="21"/>
        </w:rPr>
        <w:t>研发人员构成发生重大变化的原因及对公司未来发展的影响</w:t>
      </w:r>
    </w:p>
    <w:p>
      <w:pPr>
        <w:spacing w:before="60" w:after="60"/>
        <w:rPr>
          <w:rStyle w:val="103"/>
          <w:b w:val="0"/>
          <w:szCs w:val="21"/>
        </w:rPr>
      </w:pPr>
      <w:sdt>
        <w:sdtPr>
          <w:rPr>
            <w:rStyle w:val="103"/>
            <w:b w:val="0"/>
            <w:szCs w:val="21"/>
          </w:rPr>
          <w:alias w:val="是否适用：研发人员构成发生重大变化的原因及对公司未来发展的影响 [双击切换]"/>
          <w:tag w:val="_GBC_03b44883afff4742a08c198d082c26b3"/>
          <w:id w:val="5847"/>
          <w:placeholder>
            <w:docPart w:val="GBC22222222222222222222222222222"/>
          </w:placeholder>
        </w:sdtPr>
        <w:sdtEndPr>
          <w:rPr>
            <w:rStyle w:val="103"/>
            <w:b w:val="0"/>
            <w:szCs w:val="21"/>
          </w:rPr>
        </w:sdtEndPr>
        <w:sdtContent>
          <w:r>
            <w:rPr>
              <w:rStyle w:val="103"/>
              <w:rFonts w:ascii="宋体" w:hAnsi="宋体"/>
              <w:b w:val="0"/>
              <w:szCs w:val="21"/>
            </w:rPr>
            <w:fldChar w:fldCharType="begin"/>
          </w:r>
          <w:r>
            <w:rPr>
              <w:rStyle w:val="103"/>
              <w:rFonts w:ascii="宋体" w:hAnsi="宋体"/>
              <w:b w:val="0"/>
              <w:szCs w:val="21"/>
            </w:rPr>
            <w:instrText xml:space="preserve"> MACROBUTTON  SnrToggleCheckbox □适用 </w:instrText>
          </w:r>
          <w:r>
            <w:rPr>
              <w:rStyle w:val="103"/>
              <w:rFonts w:ascii="宋体" w:hAnsi="宋体"/>
              <w:b w:val="0"/>
              <w:szCs w:val="21"/>
            </w:rPr>
            <w:fldChar w:fldCharType="end"/>
          </w:r>
          <w:r>
            <w:rPr>
              <w:rStyle w:val="103"/>
              <w:rFonts w:ascii="宋体" w:hAnsi="宋体"/>
              <w:b w:val="0"/>
              <w:szCs w:val="21"/>
            </w:rPr>
            <w:fldChar w:fldCharType="begin"/>
          </w:r>
          <w:r>
            <w:rPr>
              <w:rStyle w:val="103"/>
              <w:rFonts w:ascii="宋体" w:hAnsi="宋体"/>
              <w:b w:val="0"/>
              <w:szCs w:val="21"/>
            </w:rPr>
            <w:instrText xml:space="preserve"> MACROBUTTON  SnrToggleCheckbox √不适用 </w:instrText>
          </w:r>
          <w:r>
            <w:rPr>
              <w:rStyle w:val="103"/>
              <w:rFonts w:ascii="宋体" w:hAnsi="宋体"/>
              <w:b w:val="0"/>
              <w:szCs w:val="21"/>
            </w:rPr>
            <w:fldChar w:fldCharType="end"/>
          </w:r>
        </w:sdtContent>
      </w:sdt>
    </w:p>
    <w:p>
      <w:pPr>
        <w:rPr>
          <w:szCs w:val="21"/>
        </w:rPr>
      </w:pPr>
    </w:p>
    <w:bookmarkEnd w:id="64"/>
    <w:p>
      <w:pPr>
        <w:pStyle w:val="5"/>
        <w:numPr>
          <w:ilvl w:val="0"/>
          <w:numId w:val="9"/>
        </w:numPr>
        <w:rPr>
          <w:rFonts w:hint="eastAsia"/>
        </w:rPr>
      </w:pPr>
      <w:r>
        <w:rPr>
          <w:rFonts w:hint="eastAsia"/>
        </w:rPr>
        <w:t>现金流</w:t>
      </w:r>
    </w:p>
    <w:sdt>
      <w:sdtPr>
        <w:alias w:val="是否适用：现金流[双击切换]"/>
        <w:tag w:val="_GBC_3340f2fc4f854cc1882e18412cf992f6"/>
        <w:id w:val="5848"/>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szCs w:val="21"/>
        </w:rPr>
        <w:alias w:val="现金流的影响分析"/>
        <w:tag w:val="_GBC_586311c345aa4f48bab3f8f8d5347f93"/>
        <w:id w:val="5849"/>
        <w:placeholder>
          <w:docPart w:val="GBC22222222222222222222222222222"/>
        </w:placeholder>
      </w:sdtPr>
      <w:sdtEndPr>
        <w:rPr>
          <w:rFonts w:hint="eastAsia"/>
          <w:szCs w:val="21"/>
        </w:rPr>
      </w:sdtEndPr>
      <w:sdtContent>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3"/>
            <w:gridCol w:w="1494"/>
            <w:gridCol w:w="1494"/>
            <w:gridCol w:w="1240"/>
            <w:gridCol w:w="3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jc w:val="center"/>
                </w:pPr>
                <w:r>
                  <w:rPr>
                    <w:rFonts w:hint="eastAsia" w:ascii="宋体" w:eastAsia="宋体"/>
                  </w:rPr>
                  <w:t>科目</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pPr>
                <w:r>
                  <w:rPr>
                    <w:rFonts w:hint="eastAsia" w:ascii="宋体" w:eastAsia="宋体"/>
                  </w:rPr>
                  <w:t>本期数</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pPr>
                <w:r>
                  <w:rPr>
                    <w:rFonts w:hint="eastAsia" w:ascii="宋体" w:eastAsia="宋体"/>
                  </w:rPr>
                  <w:t>上年同期数</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pPr>
                <w:r>
                  <w:rPr>
                    <w:rFonts w:hint="eastAsia" w:ascii="宋体" w:eastAsia="宋体"/>
                  </w:rPr>
                  <w:t>变动比例（</w:t>
                </w:r>
                <w:r>
                  <w:rPr>
                    <w:rFonts w:hint="eastAsia" w:ascii="Times New Roman" w:eastAsia="Times New Roman"/>
                  </w:rPr>
                  <w:t>%</w:t>
                </w:r>
                <w:r>
                  <w:rPr>
                    <w:rFonts w:hint="eastAsia" w:ascii="宋体" w:eastAsia="宋体"/>
                  </w:rPr>
                  <w:t>）</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pPr>
                <w:r>
                  <w:rPr>
                    <w:rFonts w:hint="eastAsia" w:ascii="宋体" w:eastAsia="宋体"/>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nil"/>
                  <w:left w:val="single" w:color="auto" w:sz="4" w:space="0"/>
                  <w:bottom w:val="single" w:color="auto" w:sz="4" w:space="0"/>
                  <w:right w:val="single" w:color="auto" w:sz="4" w:space="0"/>
                </w:tcBorders>
                <w:vAlign w:val="center"/>
              </w:tcPr>
              <w:p>
                <w:pPr>
                  <w:widowControl w:val="0"/>
                  <w:jc w:val="both"/>
                </w:pPr>
                <w:r>
                  <w:rPr>
                    <w:rFonts w:hint="eastAsia" w:ascii="宋体" w:eastAsia="宋体"/>
                  </w:rPr>
                  <w:t>经营活动产生的现金流量净额</w:t>
                </w:r>
              </w:p>
            </w:tc>
            <w:tc>
              <w:tcPr>
                <w:tcBorders>
                  <w:top w:val="nil"/>
                  <w:left w:val="single" w:color="auto" w:sz="4" w:space="0"/>
                  <w:bottom w:val="single" w:color="auto" w:sz="4" w:space="0"/>
                  <w:right w:val="single" w:color="auto" w:sz="4" w:space="0"/>
                </w:tcBorders>
                <w:vAlign w:val="center"/>
              </w:tcPr>
              <w:p>
                <w:pPr>
                  <w:widowControl w:val="0"/>
                  <w:jc w:val="both"/>
                </w:pPr>
                <w:r>
                  <w:rPr>
                    <w:rFonts w:hint="eastAsia" w:ascii="Times New Roman" w:eastAsia="Times New Roman"/>
                  </w:rPr>
                  <w:t>61,011,949.22</w:t>
                </w:r>
              </w:p>
            </w:tc>
            <w:tc>
              <w:tcPr>
                <w:tcBorders>
                  <w:top w:val="nil"/>
                  <w:left w:val="single" w:color="auto" w:sz="4" w:space="0"/>
                  <w:bottom w:val="single" w:color="auto" w:sz="4" w:space="0"/>
                  <w:right w:val="single" w:color="auto" w:sz="4" w:space="0"/>
                </w:tcBorders>
                <w:vAlign w:val="center"/>
              </w:tcPr>
              <w:p>
                <w:pPr>
                  <w:widowControl w:val="0"/>
                  <w:jc w:val="both"/>
                </w:pPr>
                <w:r>
                  <w:t xml:space="preserve">14,279,946.49 </w:t>
                </w:r>
              </w:p>
            </w:tc>
            <w:tc>
              <w:tcPr>
                <w:tcBorders>
                  <w:top w:val="nil"/>
                  <w:left w:val="single" w:color="auto" w:sz="4" w:space="0"/>
                  <w:bottom w:val="single" w:color="auto" w:sz="4" w:space="0"/>
                  <w:right w:val="single" w:color="auto" w:sz="4" w:space="0"/>
                </w:tcBorders>
                <w:vAlign w:val="center"/>
              </w:tcPr>
              <w:p>
                <w:pPr>
                  <w:widowControl w:val="0"/>
                  <w:jc w:val="right"/>
                </w:pPr>
                <w:r>
                  <w:t>327.26</w:t>
                </w:r>
              </w:p>
            </w:tc>
            <w:tc>
              <w:tcPr>
                <w:tcBorders>
                  <w:top w:val="nil"/>
                  <w:left w:val="single" w:color="auto" w:sz="4" w:space="0"/>
                  <w:bottom w:val="single" w:color="auto" w:sz="4" w:space="0"/>
                  <w:right w:val="single" w:color="auto" w:sz="4" w:space="0"/>
                </w:tcBorders>
                <w:vAlign w:val="center"/>
              </w:tcPr>
              <w:p>
                <w:pPr>
                  <w:widowControl w:val="0"/>
                  <w:jc w:val="both"/>
                </w:pPr>
                <w:r>
                  <w:t>该项同比增加主要系本期材料采购款减少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Borders>
                  <w:top w:val="nil"/>
                  <w:left w:val="single" w:color="auto" w:sz="4" w:space="0"/>
                  <w:bottom w:val="single" w:color="auto" w:sz="4" w:space="0"/>
                  <w:right w:val="single" w:color="auto" w:sz="4" w:space="0"/>
                </w:tcBorders>
                <w:vAlign w:val="center"/>
              </w:tcPr>
              <w:p>
                <w:pPr>
                  <w:widowControl w:val="0"/>
                  <w:jc w:val="both"/>
                </w:pPr>
                <w:r>
                  <w:rPr>
                    <w:rFonts w:hint="eastAsia" w:ascii="宋体" w:eastAsia="宋体"/>
                  </w:rPr>
                  <w:t>投资活动产生的现金流量净额</w:t>
                </w:r>
              </w:p>
            </w:tc>
            <w:tc>
              <w:tcPr>
                <w:tcBorders>
                  <w:top w:val="nil"/>
                  <w:left w:val="single" w:color="auto" w:sz="4" w:space="0"/>
                  <w:bottom w:val="single" w:color="auto" w:sz="4" w:space="0"/>
                  <w:right w:val="single" w:color="auto" w:sz="4" w:space="0"/>
                </w:tcBorders>
                <w:vAlign w:val="center"/>
              </w:tcPr>
              <w:p>
                <w:pPr>
                  <w:widowControl w:val="0"/>
                  <w:jc w:val="right"/>
                </w:pPr>
                <w:r>
                  <w:rPr>
                    <w:rFonts w:hint="eastAsia" w:ascii="Times New Roman" w:eastAsia="Times New Roman"/>
                  </w:rPr>
                  <w:t>-32,268,073.83</w:t>
                </w:r>
              </w:p>
            </w:tc>
            <w:tc>
              <w:tcPr>
                <w:tcBorders>
                  <w:top w:val="nil"/>
                  <w:left w:val="single" w:color="auto" w:sz="4" w:space="0"/>
                  <w:bottom w:val="single" w:color="auto" w:sz="4" w:space="0"/>
                  <w:right w:val="single" w:color="auto" w:sz="4" w:space="0"/>
                </w:tcBorders>
                <w:vAlign w:val="center"/>
              </w:tcPr>
              <w:p>
                <w:pPr>
                  <w:widowControl w:val="0"/>
                  <w:jc w:val="right"/>
                </w:pPr>
                <w:r>
                  <w:rPr>
                    <w:rFonts w:hint="eastAsia" w:ascii="Times New Roman" w:eastAsia="Times New Roman"/>
                  </w:rPr>
                  <w:t>-6,403,101.17</w:t>
                </w:r>
              </w:p>
            </w:tc>
            <w:tc>
              <w:tcPr>
                <w:tcBorders>
                  <w:top w:val="nil"/>
                  <w:left w:val="single" w:color="auto" w:sz="4" w:space="0"/>
                  <w:bottom w:val="single" w:color="auto" w:sz="4" w:space="0"/>
                  <w:right w:val="single" w:color="auto" w:sz="4" w:space="0"/>
                </w:tcBorders>
                <w:vAlign w:val="center"/>
              </w:tcPr>
              <w:p>
                <w:pPr>
                  <w:widowControl w:val="0"/>
                  <w:jc w:val="right"/>
                </w:pPr>
                <w:r>
                  <w:rPr>
                    <w:rFonts w:hint="eastAsia" w:ascii="Times New Roman" w:eastAsia="Times New Roman"/>
                  </w:rPr>
                  <w:t>/</w:t>
                </w:r>
              </w:p>
            </w:tc>
            <w:tc>
              <w:tcPr>
                <w:tcBorders>
                  <w:top w:val="nil"/>
                  <w:left w:val="single" w:color="auto" w:sz="4" w:space="0"/>
                  <w:bottom w:val="single" w:color="auto" w:sz="4" w:space="0"/>
                  <w:right w:val="single" w:color="auto" w:sz="4" w:space="0"/>
                </w:tcBorders>
                <w:vAlign w:val="center"/>
              </w:tcPr>
              <w:p>
                <w:pPr>
                  <w:widowControl w:val="0"/>
                  <w:jc w:val="both"/>
                </w:pPr>
                <w:r>
                  <w:rPr>
                    <w:rFonts w:hint="eastAsia" w:ascii="宋体" w:eastAsia="宋体"/>
                  </w:rPr>
                  <w:t>该项同比减少主要系本期购建固定资产增加及投资收益减少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nil"/>
                  <w:left w:val="single" w:color="auto" w:sz="4" w:space="0"/>
                  <w:bottom w:val="single" w:color="auto" w:sz="4" w:space="0"/>
                  <w:right w:val="single" w:color="auto" w:sz="4" w:space="0"/>
                </w:tcBorders>
                <w:vAlign w:val="center"/>
              </w:tcPr>
              <w:p>
                <w:pPr>
                  <w:widowControl w:val="0"/>
                  <w:jc w:val="both"/>
                </w:pPr>
                <w:r>
                  <w:rPr>
                    <w:rFonts w:hint="eastAsia" w:ascii="宋体" w:eastAsia="宋体"/>
                  </w:rPr>
                  <w:t>筹资活动产生的现金流量净额</w:t>
                </w:r>
              </w:p>
            </w:tc>
            <w:tc>
              <w:tcPr>
                <w:tcBorders>
                  <w:top w:val="nil"/>
                  <w:left w:val="single" w:color="auto" w:sz="4" w:space="0"/>
                  <w:bottom w:val="single" w:color="auto" w:sz="4" w:space="0"/>
                  <w:right w:val="single" w:color="auto" w:sz="4" w:space="0"/>
                </w:tcBorders>
                <w:vAlign w:val="center"/>
              </w:tcPr>
              <w:p>
                <w:pPr>
                  <w:widowControl w:val="0"/>
                  <w:jc w:val="right"/>
                </w:pPr>
                <w:r>
                  <w:rPr>
                    <w:rFonts w:hint="eastAsia" w:ascii="Times New Roman" w:eastAsia="Times New Roman"/>
                  </w:rPr>
                  <w:t>-8,598,878.19</w:t>
                </w:r>
              </w:p>
            </w:tc>
            <w:tc>
              <w:tcPr>
                <w:tcBorders>
                  <w:top w:val="nil"/>
                  <w:left w:val="single" w:color="auto" w:sz="4" w:space="0"/>
                  <w:bottom w:val="single" w:color="auto" w:sz="4" w:space="0"/>
                  <w:right w:val="single" w:color="auto" w:sz="4" w:space="0"/>
                </w:tcBorders>
                <w:vAlign w:val="center"/>
              </w:tcPr>
              <w:p>
                <w:pPr>
                  <w:widowControl w:val="0"/>
                  <w:jc w:val="right"/>
                </w:pPr>
                <w:r>
                  <w:rPr>
                    <w:rFonts w:hint="eastAsia" w:ascii="Times New Roman" w:eastAsia="Times New Roman"/>
                  </w:rPr>
                  <w:t>-13,301,621.57</w:t>
                </w:r>
              </w:p>
            </w:tc>
            <w:tc>
              <w:tcPr>
                <w:tcBorders>
                  <w:top w:val="nil"/>
                  <w:left w:val="single" w:color="auto" w:sz="4" w:space="0"/>
                  <w:bottom w:val="single" w:color="auto" w:sz="4" w:space="0"/>
                  <w:right w:val="single" w:color="auto" w:sz="4" w:space="0"/>
                </w:tcBorders>
                <w:vAlign w:val="center"/>
              </w:tcPr>
              <w:p>
                <w:pPr>
                  <w:widowControl w:val="0"/>
                  <w:jc w:val="right"/>
                </w:pPr>
                <w:r>
                  <w:rPr>
                    <w:rFonts w:hint="eastAsia" w:ascii="Times New Roman" w:eastAsia="Times New Roman"/>
                  </w:rPr>
                  <w:t>/</w:t>
                </w:r>
              </w:p>
            </w:tc>
            <w:tc>
              <w:tcPr>
                <w:tcBorders>
                  <w:top w:val="nil"/>
                  <w:left w:val="single" w:color="auto" w:sz="4" w:space="0"/>
                  <w:bottom w:val="single" w:color="auto" w:sz="4" w:space="0"/>
                  <w:right w:val="single" w:color="auto" w:sz="4" w:space="0"/>
                </w:tcBorders>
                <w:vAlign w:val="center"/>
              </w:tcPr>
              <w:p>
                <w:pPr>
                  <w:widowControl w:val="0"/>
                  <w:jc w:val="both"/>
                </w:pPr>
                <w:r>
                  <w:rPr>
                    <w:rFonts w:hint="eastAsia" w:ascii="宋体" w:eastAsia="宋体"/>
                  </w:rPr>
                  <w:t>该项同比增加主要是本期取得借款较去年同期增加</w:t>
                </w:r>
              </w:p>
            </w:tc>
          </w:tr>
        </w:tbl>
      </w:sdtContent>
    </w:sdt>
    <w:p>
      <w:pPr>
        <w:rPr>
          <w:szCs w:val="21"/>
        </w:rPr>
      </w:pPr>
    </w:p>
    <w:p>
      <w:pPr>
        <w:pStyle w:val="4"/>
        <w:numPr>
          <w:ilvl w:val="0"/>
          <w:numId w:val="8"/>
        </w:numPr>
        <w:ind w:left="368" w:hanging="369" w:hangingChars="175"/>
        <w:rPr>
          <w:szCs w:val="21"/>
        </w:rPr>
      </w:pPr>
      <w:r>
        <w:rPr>
          <w:rFonts w:hint="eastAsia"/>
          <w:szCs w:val="21"/>
        </w:rPr>
        <w:t>非主营业务导致利润重大变化的说明</w:t>
      </w:r>
    </w:p>
    <w:sdt>
      <w:sdtPr>
        <w:rPr>
          <w:szCs w:val="21"/>
        </w:rPr>
        <w:alias w:val="是否适用：非主营业务来源分析[双击切换]"/>
        <w:tag w:val="_GBC_e76b46ce658b44e591e71db49febe73d"/>
        <w:id w:val="5850"/>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ascii="宋体" w:hAnsi="宋体" w:eastAsia="宋体" w:cs="宋体"/>
          <w:szCs w:val="21"/>
          <w:lang w:val="en-US" w:eastAsia="zh-CN"/>
        </w:rPr>
        <w:alias w:val="非主营业务来源分析"/>
        <w:tag w:val="_GBC_8eea8520059143628468ae89d6811756"/>
        <w:id w:val="5851"/>
        <w:placeholder>
          <w:docPart w:val="GBC22222222222222222222222222222"/>
        </w:placeholder>
      </w:sdtPr>
      <w:sdtEndPr>
        <w:rPr>
          <w:rFonts w:hint="eastAsia" w:ascii="宋体" w:hAnsi="宋体" w:eastAsia="宋体" w:cs="宋体"/>
          <w:szCs w:val="21"/>
          <w:lang w:val="en-US" w:eastAsia="zh-CN"/>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szCs w:val="21"/>
            </w:rPr>
          </w:pPr>
          <w:r>
            <w:rPr>
              <w:rFonts w:hint="eastAsia" w:ascii="宋体" w:hAnsi="宋体" w:eastAsia="宋体" w:cs="宋体"/>
              <w:szCs w:val="21"/>
              <w:lang w:val="en-US" w:eastAsia="zh-CN"/>
            </w:rPr>
            <w:t>本期公允价值变动收益为</w:t>
          </w:r>
          <w:r>
            <w:rPr>
              <w:rFonts w:hint="default" w:ascii="Times New Roman" w:hAnsi="Times New Roman" w:eastAsia="宋体" w:cs="Times New Roman"/>
              <w:szCs w:val="21"/>
              <w:lang w:val="en-US" w:eastAsia="zh-CN"/>
            </w:rPr>
            <w:t>-442.82</w:t>
          </w:r>
          <w:r>
            <w:rPr>
              <w:rFonts w:hint="eastAsia" w:ascii="宋体" w:hAnsi="宋体" w:eastAsia="宋体" w:cs="宋体"/>
              <w:szCs w:val="21"/>
              <w:lang w:val="en-US" w:eastAsia="zh-CN"/>
            </w:rPr>
            <w:t>万元，上年同期为</w:t>
          </w:r>
          <w:r>
            <w:rPr>
              <w:rFonts w:hint="default" w:ascii="Times New Roman" w:hAnsi="Times New Roman" w:eastAsia="黑体" w:cs="Times New Roman"/>
              <w:szCs w:val="21"/>
              <w:lang w:val="en-US" w:eastAsia="zh-CN"/>
            </w:rPr>
            <w:t>8,774.18</w:t>
          </w:r>
          <w:r>
            <w:rPr>
              <w:rFonts w:hint="eastAsia" w:ascii="宋体" w:hAnsi="宋体" w:eastAsia="宋体" w:cs="宋体"/>
              <w:szCs w:val="21"/>
              <w:lang w:val="en-US" w:eastAsia="zh-CN"/>
            </w:rPr>
            <w:t>万元，同比变动幅度较大。主要系公司持</w:t>
          </w:r>
          <w:r>
            <w:rPr>
              <w:rFonts w:hint="eastAsia" w:ascii="宋体" w:hAnsi="宋体" w:cs="宋体"/>
              <w:szCs w:val="21"/>
              <w:lang w:val="en-US" w:eastAsia="zh-CN"/>
            </w:rPr>
            <w:t>有的</w:t>
          </w:r>
          <w:r>
            <w:rPr>
              <w:rFonts w:hint="eastAsia" w:ascii="宋体" w:hAnsi="宋体" w:eastAsia="宋体" w:cs="宋体"/>
              <w:szCs w:val="21"/>
              <w:lang w:val="en-US" w:eastAsia="zh-CN"/>
            </w:rPr>
            <w:t>中信证券股票公允价值变动所致，该项变动对公司利润影响较大。</w:t>
          </w:r>
        </w:p>
      </w:sdtContent>
    </w:sdt>
    <w:p>
      <w:pPr>
        <w:rPr>
          <w:szCs w:val="21"/>
        </w:rPr>
      </w:pPr>
    </w:p>
    <w:p>
      <w:pPr>
        <w:pStyle w:val="4"/>
        <w:numPr>
          <w:ilvl w:val="0"/>
          <w:numId w:val="8"/>
        </w:numPr>
        <w:rPr>
          <w:szCs w:val="21"/>
        </w:rPr>
      </w:pPr>
      <w:r>
        <w:rPr>
          <w:szCs w:val="21"/>
        </w:rPr>
        <w:t>资产、负债情况分析</w:t>
      </w:r>
    </w:p>
    <w:p>
      <w:sdt>
        <w:sdtPr>
          <w:rPr>
            <w:rFonts w:hint="eastAsia"/>
          </w:rPr>
          <w:alias w:val="是否适用：资产、负债情况分析[双击切换]"/>
          <w:tag w:val="_GBC_73f72b786f764d01bef1bb70d2d6e5c6"/>
          <w:id w:val="5852"/>
          <w:lock w:val="contentLocked"/>
          <w:placeholder>
            <w:docPart w:val="GBC22222222222222222222222222222"/>
          </w:placeholder>
        </w:sdtPr>
        <w:sdtEndPr>
          <w:rPr>
            <w:rFonts w:hint="eastAsia"/>
          </w:rPr>
        </w:sdtEndPr>
        <w:sdtContent>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pPr>
        <w:pStyle w:val="5"/>
        <w:numPr>
          <w:ilvl w:val="0"/>
          <w:numId w:val="12"/>
        </w:numPr>
        <w:rPr>
          <w:rFonts w:hint="eastAsia"/>
        </w:rPr>
      </w:pPr>
      <w:r>
        <w:t>资产</w:t>
      </w:r>
      <w:r>
        <w:rPr>
          <w:rFonts w:hint="eastAsia"/>
        </w:rPr>
        <w:t>及</w:t>
      </w:r>
      <w:r>
        <w:t>负债</w:t>
      </w:r>
      <w:r>
        <w:rPr>
          <w:rFonts w:hint="eastAsia"/>
          <w:szCs w:val="21"/>
        </w:rPr>
        <w:t>状</w:t>
      </w:r>
      <w:r>
        <w:rPr>
          <w:szCs w:val="21"/>
        </w:rPr>
        <w:t>况</w:t>
      </w:r>
    </w:p>
    <w:p>
      <w:pPr>
        <w:wordWrap w:val="0"/>
        <w:jc w:val="right"/>
        <w:rPr>
          <w:szCs w:val="21"/>
        </w:rPr>
      </w:pPr>
      <w:r>
        <w:rPr>
          <w:rFonts w:hint="eastAsia"/>
          <w:szCs w:val="21"/>
        </w:rPr>
        <w:t>单位：</w:t>
      </w:r>
      <w:sdt>
        <w:sdtPr>
          <w:rPr>
            <w:rFonts w:hint="eastAsia"/>
            <w:szCs w:val="21"/>
          </w:rPr>
          <w:alias w:val="单位：资产负债状况分析"/>
          <w:tag w:val="_GBC_f016c1cffd884dd784e4fb134fd0d4df"/>
          <w:id w:val="585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资产负债状况分析"/>
          <w:tag w:val="_GBC_18960409397a4cf093654b8114508f4b"/>
          <w:id w:val="585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7"/>
        <w:gridCol w:w="1609"/>
        <w:gridCol w:w="1004"/>
        <w:gridCol w:w="1582"/>
        <w:gridCol w:w="864"/>
        <w:gridCol w:w="941"/>
        <w:gridCol w:w="1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1497" w:type="dxa"/>
            <w:vAlign w:val="center"/>
          </w:tcPr>
          <w:sdt>
            <w:sdtPr>
              <w:tag w:val="_PLD_8f1f37d9a09f4bf3a8f4c407297e58ed"/>
              <w:id w:val="5855"/>
            </w:sdtPr>
            <w:sdtContent>
              <w:p>
                <w:pPr>
                  <w:widowControl w:val="0"/>
                  <w:jc w:val="center"/>
                  <w:rPr>
                    <w:rStyle w:val="49"/>
                    <w:szCs w:val="21"/>
                  </w:rPr>
                </w:pPr>
                <w:r>
                  <w:rPr>
                    <w:szCs w:val="21"/>
                  </w:rPr>
                  <w:t>项目名称</w:t>
                </w:r>
              </w:p>
            </w:sdtContent>
          </w:sdt>
        </w:tc>
        <w:tc>
          <w:tcPr>
            <w:tcW w:w="1609" w:type="dxa"/>
            <w:vAlign w:val="center"/>
          </w:tcPr>
          <w:sdt>
            <w:sdtPr>
              <w:tag w:val="_PLD_a4c00a3d0d0a42e28bc6a14dd6d26320"/>
              <w:id w:val="5856"/>
            </w:sdtPr>
            <w:sdtContent>
              <w:p>
                <w:pPr>
                  <w:widowControl w:val="0"/>
                  <w:jc w:val="center"/>
                  <w:rPr>
                    <w:rStyle w:val="49"/>
                    <w:szCs w:val="21"/>
                  </w:rPr>
                </w:pPr>
                <w:r>
                  <w:rPr>
                    <w:szCs w:val="21"/>
                  </w:rPr>
                  <w:t>本期期末数</w:t>
                </w:r>
              </w:p>
            </w:sdtContent>
          </w:sdt>
        </w:tc>
        <w:tc>
          <w:tcPr>
            <w:tcW w:w="1004" w:type="dxa"/>
            <w:vAlign w:val="center"/>
          </w:tcPr>
          <w:sdt>
            <w:sdtPr>
              <w:tag w:val="_PLD_17de20223ad64b528b824744807b0036"/>
              <w:id w:val="5857"/>
            </w:sdtPr>
            <w:sdtContent>
              <w:p>
                <w:pPr>
                  <w:widowControl w:val="0"/>
                  <w:jc w:val="center"/>
                  <w:rPr>
                    <w:rStyle w:val="49"/>
                    <w:szCs w:val="21"/>
                  </w:rPr>
                </w:pPr>
                <w:r>
                  <w:rPr>
                    <w:szCs w:val="21"/>
                  </w:rPr>
                  <w:t>本期期末数占总资产的比例（%）</w:t>
                </w:r>
              </w:p>
            </w:sdtContent>
          </w:sdt>
        </w:tc>
        <w:tc>
          <w:tcPr>
            <w:tcW w:w="1582" w:type="dxa"/>
            <w:vAlign w:val="center"/>
          </w:tcPr>
          <w:sdt>
            <w:sdtPr>
              <w:tag w:val="_PLD_d1b9e9483c3a41358f877758b5adb0fb"/>
              <w:id w:val="5858"/>
            </w:sdtPr>
            <w:sdtContent>
              <w:p>
                <w:pPr>
                  <w:widowControl w:val="0"/>
                  <w:jc w:val="center"/>
                  <w:rPr>
                    <w:rStyle w:val="49"/>
                    <w:szCs w:val="21"/>
                  </w:rPr>
                </w:pPr>
                <w:r>
                  <w:rPr>
                    <w:szCs w:val="21"/>
                  </w:rPr>
                  <w:t>上期期末数</w:t>
                </w:r>
              </w:p>
            </w:sdtContent>
          </w:sdt>
        </w:tc>
        <w:tc>
          <w:tcPr>
            <w:tcW w:w="864" w:type="dxa"/>
            <w:vAlign w:val="center"/>
          </w:tcPr>
          <w:sdt>
            <w:sdtPr>
              <w:tag w:val="_PLD_3a8a8577e1a84f26856a900f7202f9a8"/>
              <w:id w:val="5859"/>
            </w:sdtPr>
            <w:sdtContent>
              <w:p>
                <w:pPr>
                  <w:widowControl w:val="0"/>
                  <w:jc w:val="center"/>
                  <w:rPr>
                    <w:rStyle w:val="49"/>
                    <w:szCs w:val="21"/>
                  </w:rPr>
                </w:pPr>
                <w:r>
                  <w:rPr>
                    <w:szCs w:val="21"/>
                  </w:rPr>
                  <w:t>上期期末数占总资产的比例（%）</w:t>
                </w:r>
              </w:p>
            </w:sdtContent>
          </w:sdt>
        </w:tc>
        <w:tc>
          <w:tcPr>
            <w:tcW w:w="941" w:type="dxa"/>
            <w:vAlign w:val="center"/>
          </w:tcPr>
          <w:sdt>
            <w:sdtPr>
              <w:tag w:val="_PLD_8af1894621b84d44aec1deba51e3a7da"/>
              <w:id w:val="5860"/>
            </w:sdtPr>
            <w:sdtContent>
              <w:p>
                <w:pPr>
                  <w:widowControl w:val="0"/>
                  <w:jc w:val="center"/>
                  <w:rPr>
                    <w:rStyle w:val="49"/>
                    <w:szCs w:val="21"/>
                  </w:rPr>
                </w:pPr>
                <w:r>
                  <w:rPr>
                    <w:szCs w:val="21"/>
                  </w:rPr>
                  <w:t>本期期末金额较上期期末变动比例（%）</w:t>
                </w:r>
              </w:p>
            </w:sdtContent>
          </w:sdt>
        </w:tc>
        <w:tc>
          <w:tcPr>
            <w:tcW w:w="1546" w:type="dxa"/>
            <w:vAlign w:val="center"/>
          </w:tcPr>
          <w:sdt>
            <w:sdtPr>
              <w:tag w:val="_PLD_495436d1d45e4a9391194459a895631e"/>
              <w:id w:val="5861"/>
            </w:sdtPr>
            <w:sdtContent>
              <w:p>
                <w:pPr>
                  <w:widowControl w:val="0"/>
                  <w:jc w:val="center"/>
                  <w:rPr>
                    <w:rStyle w:val="49"/>
                    <w:szCs w:val="21"/>
                  </w:rPr>
                </w:pPr>
                <w:r>
                  <w:rPr>
                    <w:szCs w:val="21"/>
                  </w:rPr>
                  <w:t>情况说明</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497" w:type="dxa"/>
            <w:vAlign w:val="center"/>
          </w:tcPr>
          <w:p>
            <w:pPr>
              <w:widowControl w:val="0"/>
              <w:jc w:val="both"/>
              <w:rPr>
                <w:b w:val="0"/>
                <w:szCs w:val="21"/>
              </w:rPr>
            </w:pPr>
            <w:r>
              <w:rPr>
                <w:rFonts w:hint="eastAsia"/>
                <w:color w:val="auto"/>
              </w:rPr>
              <w:t>应收票据</w:t>
            </w:r>
          </w:p>
        </w:tc>
        <w:tc>
          <w:tcPr>
            <w:tcW w:w="1609" w:type="dxa"/>
            <w:vAlign w:val="center"/>
          </w:tcPr>
          <w:p>
            <w:pPr>
              <w:widowControl w:val="0"/>
              <w:jc w:val="right"/>
              <w:rPr>
                <w:rFonts w:hint="eastAsia"/>
                <w:b w:val="0"/>
                <w:szCs w:val="21"/>
              </w:rPr>
            </w:pPr>
            <w:r>
              <w:rPr>
                <w:rFonts w:hint="eastAsia"/>
                <w:color w:val="auto"/>
              </w:rPr>
              <w:t>7,222,994.79</w:t>
            </w:r>
          </w:p>
        </w:tc>
        <w:tc>
          <w:tcPr>
            <w:tcW w:w="1004" w:type="dxa"/>
            <w:vAlign w:val="center"/>
          </w:tcPr>
          <w:p>
            <w:pPr>
              <w:widowControl w:val="0"/>
              <w:jc w:val="right"/>
              <w:rPr>
                <w:rFonts w:hint="eastAsia"/>
                <w:b w:val="0"/>
                <w:szCs w:val="21"/>
              </w:rPr>
            </w:pPr>
            <w:r>
              <w:rPr>
                <w:rFonts w:hint="eastAsia"/>
                <w:color w:val="auto"/>
              </w:rPr>
              <w:t>0.27</w:t>
            </w:r>
          </w:p>
        </w:tc>
        <w:tc>
          <w:tcPr>
            <w:tcW w:w="1582" w:type="dxa"/>
            <w:vAlign w:val="center"/>
          </w:tcPr>
          <w:p>
            <w:pPr>
              <w:widowControl w:val="0"/>
              <w:jc w:val="right"/>
              <w:rPr>
                <w:rFonts w:hint="eastAsia"/>
                <w:b w:val="0"/>
                <w:szCs w:val="21"/>
              </w:rPr>
            </w:pPr>
            <w:r>
              <w:rPr>
                <w:rFonts w:hint="eastAsia"/>
                <w:color w:val="auto"/>
              </w:rPr>
              <w:t>10,673,284.91</w:t>
            </w:r>
          </w:p>
        </w:tc>
        <w:tc>
          <w:tcPr>
            <w:tcW w:w="864" w:type="dxa"/>
            <w:vAlign w:val="center"/>
          </w:tcPr>
          <w:p>
            <w:pPr>
              <w:widowControl w:val="0"/>
              <w:jc w:val="right"/>
              <w:rPr>
                <w:rFonts w:hint="eastAsia"/>
                <w:b w:val="0"/>
                <w:szCs w:val="21"/>
              </w:rPr>
            </w:pPr>
            <w:r>
              <w:rPr>
                <w:rFonts w:hint="eastAsia"/>
                <w:color w:val="auto"/>
              </w:rPr>
              <w:t>0.39</w:t>
            </w:r>
          </w:p>
        </w:tc>
        <w:tc>
          <w:tcPr>
            <w:tcW w:w="941" w:type="dxa"/>
            <w:vAlign w:val="center"/>
          </w:tcPr>
          <w:p>
            <w:pPr>
              <w:widowControl w:val="0"/>
              <w:jc w:val="right"/>
              <w:rPr>
                <w:rFonts w:hint="eastAsia"/>
                <w:b w:val="0"/>
                <w:szCs w:val="21"/>
              </w:rPr>
            </w:pPr>
            <w:r>
              <w:rPr>
                <w:rFonts w:hint="eastAsia"/>
                <w:color w:val="auto"/>
              </w:rPr>
              <w:t>-32.33</w:t>
            </w:r>
          </w:p>
        </w:tc>
        <w:tc>
          <w:tcPr>
            <w:tcW w:w="1546" w:type="dxa"/>
            <w:vAlign w:val="center"/>
          </w:tcPr>
          <w:p>
            <w:pPr>
              <w:widowControl w:val="0"/>
              <w:jc w:val="both"/>
              <w:rPr>
                <w:b w:val="0"/>
                <w:szCs w:val="21"/>
              </w:rPr>
            </w:pPr>
            <w:r>
              <w:rPr>
                <w:rFonts w:hint="eastAsia"/>
                <w:b w:val="0"/>
                <w:szCs w:val="21"/>
              </w:rPr>
              <w:t>公司票据到期兑现增加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497" w:type="dxa"/>
            <w:vAlign w:val="center"/>
          </w:tcPr>
          <w:p>
            <w:pPr>
              <w:widowControl w:val="0"/>
              <w:jc w:val="both"/>
              <w:rPr>
                <w:b w:val="0"/>
                <w:szCs w:val="21"/>
              </w:rPr>
            </w:pPr>
            <w:r>
              <w:rPr>
                <w:rFonts w:hint="eastAsia"/>
                <w:color w:val="auto"/>
              </w:rPr>
              <w:t>预付款项</w:t>
            </w:r>
          </w:p>
        </w:tc>
        <w:tc>
          <w:tcPr>
            <w:tcW w:w="1609" w:type="dxa"/>
            <w:vAlign w:val="center"/>
          </w:tcPr>
          <w:p>
            <w:pPr>
              <w:widowControl w:val="0"/>
              <w:jc w:val="right"/>
              <w:rPr>
                <w:rFonts w:hint="eastAsia"/>
                <w:b w:val="0"/>
                <w:szCs w:val="21"/>
              </w:rPr>
            </w:pPr>
            <w:r>
              <w:rPr>
                <w:rFonts w:hint="eastAsia"/>
                <w:color w:val="auto"/>
              </w:rPr>
              <w:t>19,128,166.77</w:t>
            </w:r>
          </w:p>
        </w:tc>
        <w:tc>
          <w:tcPr>
            <w:tcW w:w="1004" w:type="dxa"/>
            <w:vAlign w:val="center"/>
          </w:tcPr>
          <w:p>
            <w:pPr>
              <w:widowControl w:val="0"/>
              <w:jc w:val="right"/>
              <w:rPr>
                <w:rFonts w:hint="eastAsia"/>
                <w:b w:val="0"/>
                <w:szCs w:val="21"/>
              </w:rPr>
            </w:pPr>
            <w:r>
              <w:rPr>
                <w:rFonts w:hint="eastAsia"/>
                <w:color w:val="auto"/>
              </w:rPr>
              <w:t>0.70</w:t>
            </w:r>
          </w:p>
        </w:tc>
        <w:tc>
          <w:tcPr>
            <w:tcW w:w="1582" w:type="dxa"/>
            <w:vAlign w:val="center"/>
          </w:tcPr>
          <w:p>
            <w:pPr>
              <w:widowControl w:val="0"/>
              <w:jc w:val="right"/>
              <w:rPr>
                <w:rFonts w:hint="eastAsia"/>
                <w:b w:val="0"/>
                <w:szCs w:val="21"/>
              </w:rPr>
            </w:pPr>
            <w:r>
              <w:rPr>
                <w:rFonts w:hint="eastAsia"/>
                <w:color w:val="auto"/>
              </w:rPr>
              <w:t>33,108,654.16</w:t>
            </w:r>
          </w:p>
        </w:tc>
        <w:tc>
          <w:tcPr>
            <w:tcW w:w="864" w:type="dxa"/>
            <w:vAlign w:val="center"/>
          </w:tcPr>
          <w:p>
            <w:pPr>
              <w:widowControl w:val="0"/>
              <w:jc w:val="right"/>
              <w:rPr>
                <w:rFonts w:hint="eastAsia"/>
                <w:b w:val="0"/>
                <w:szCs w:val="21"/>
              </w:rPr>
            </w:pPr>
            <w:r>
              <w:rPr>
                <w:rFonts w:hint="eastAsia"/>
                <w:color w:val="auto"/>
              </w:rPr>
              <w:t>1.22</w:t>
            </w:r>
          </w:p>
        </w:tc>
        <w:tc>
          <w:tcPr>
            <w:tcW w:w="941" w:type="dxa"/>
            <w:vAlign w:val="center"/>
          </w:tcPr>
          <w:p>
            <w:pPr>
              <w:widowControl w:val="0"/>
              <w:jc w:val="right"/>
              <w:rPr>
                <w:rFonts w:hint="eastAsia"/>
                <w:b w:val="0"/>
                <w:szCs w:val="21"/>
              </w:rPr>
            </w:pPr>
            <w:r>
              <w:rPr>
                <w:rFonts w:hint="eastAsia"/>
                <w:color w:val="auto"/>
              </w:rPr>
              <w:t>-42.23</w:t>
            </w:r>
          </w:p>
        </w:tc>
        <w:tc>
          <w:tcPr>
            <w:tcW w:w="1546" w:type="dxa"/>
            <w:vAlign w:val="center"/>
          </w:tcPr>
          <w:p>
            <w:pPr>
              <w:widowControl w:val="0"/>
              <w:jc w:val="both"/>
              <w:rPr>
                <w:b w:val="0"/>
                <w:szCs w:val="21"/>
              </w:rPr>
            </w:pPr>
            <w:r>
              <w:rPr>
                <w:rFonts w:hint="eastAsia"/>
                <w:color w:val="auto"/>
              </w:rPr>
              <w:t>预付采购款减少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497" w:type="dxa"/>
            <w:vAlign w:val="center"/>
          </w:tcPr>
          <w:p>
            <w:pPr>
              <w:widowControl w:val="0"/>
              <w:jc w:val="both"/>
              <w:rPr>
                <w:b w:val="0"/>
                <w:szCs w:val="21"/>
              </w:rPr>
            </w:pPr>
            <w:r>
              <w:rPr>
                <w:rFonts w:hint="eastAsia"/>
                <w:color w:val="auto"/>
              </w:rPr>
              <w:t>应收款项融资</w:t>
            </w:r>
          </w:p>
        </w:tc>
        <w:tc>
          <w:tcPr>
            <w:tcW w:w="1609" w:type="dxa"/>
            <w:vAlign w:val="center"/>
          </w:tcPr>
          <w:p>
            <w:pPr>
              <w:widowControl w:val="0"/>
              <w:jc w:val="right"/>
              <w:rPr>
                <w:rFonts w:hint="eastAsia"/>
                <w:b w:val="0"/>
                <w:szCs w:val="21"/>
              </w:rPr>
            </w:pPr>
            <w:r>
              <w:rPr>
                <w:rFonts w:hint="eastAsia"/>
                <w:color w:val="auto"/>
              </w:rPr>
              <w:t>10,479,155.61</w:t>
            </w:r>
          </w:p>
        </w:tc>
        <w:tc>
          <w:tcPr>
            <w:tcW w:w="1004" w:type="dxa"/>
            <w:vAlign w:val="center"/>
          </w:tcPr>
          <w:p>
            <w:pPr>
              <w:widowControl w:val="0"/>
              <w:jc w:val="right"/>
              <w:rPr>
                <w:rFonts w:hint="eastAsia"/>
                <w:b w:val="0"/>
                <w:szCs w:val="21"/>
              </w:rPr>
            </w:pPr>
            <w:r>
              <w:rPr>
                <w:rFonts w:hint="eastAsia"/>
                <w:color w:val="auto"/>
              </w:rPr>
              <w:t>0.38</w:t>
            </w:r>
          </w:p>
        </w:tc>
        <w:tc>
          <w:tcPr>
            <w:tcW w:w="1582" w:type="dxa"/>
            <w:vAlign w:val="center"/>
          </w:tcPr>
          <w:p>
            <w:pPr>
              <w:widowControl w:val="0"/>
              <w:jc w:val="right"/>
              <w:rPr>
                <w:rFonts w:hint="eastAsia"/>
                <w:b w:val="0"/>
                <w:szCs w:val="21"/>
              </w:rPr>
            </w:pPr>
            <w:r>
              <w:rPr>
                <w:rFonts w:hint="eastAsia"/>
                <w:color w:val="auto"/>
              </w:rPr>
              <w:t>18,188,699.66</w:t>
            </w:r>
          </w:p>
        </w:tc>
        <w:tc>
          <w:tcPr>
            <w:tcW w:w="864" w:type="dxa"/>
            <w:vAlign w:val="center"/>
          </w:tcPr>
          <w:p>
            <w:pPr>
              <w:widowControl w:val="0"/>
              <w:jc w:val="right"/>
              <w:rPr>
                <w:rFonts w:hint="eastAsia"/>
                <w:b w:val="0"/>
                <w:szCs w:val="21"/>
              </w:rPr>
            </w:pPr>
            <w:r>
              <w:rPr>
                <w:rFonts w:hint="eastAsia"/>
                <w:color w:val="auto"/>
              </w:rPr>
              <w:t>0.67</w:t>
            </w:r>
          </w:p>
        </w:tc>
        <w:tc>
          <w:tcPr>
            <w:tcW w:w="941" w:type="dxa"/>
            <w:vAlign w:val="center"/>
          </w:tcPr>
          <w:p>
            <w:pPr>
              <w:widowControl w:val="0"/>
              <w:jc w:val="right"/>
              <w:rPr>
                <w:rFonts w:hint="eastAsia"/>
                <w:b w:val="0"/>
                <w:szCs w:val="21"/>
              </w:rPr>
            </w:pPr>
            <w:r>
              <w:rPr>
                <w:rFonts w:hint="eastAsia"/>
                <w:color w:val="auto"/>
              </w:rPr>
              <w:t>-42.39</w:t>
            </w:r>
          </w:p>
        </w:tc>
        <w:tc>
          <w:tcPr>
            <w:tcW w:w="1546" w:type="dxa"/>
            <w:vAlign w:val="center"/>
          </w:tcPr>
          <w:p>
            <w:pPr>
              <w:widowControl w:val="0"/>
              <w:jc w:val="both"/>
              <w:rPr>
                <w:b w:val="0"/>
                <w:szCs w:val="21"/>
              </w:rPr>
            </w:pPr>
            <w:r>
              <w:rPr>
                <w:rFonts w:hint="eastAsia"/>
                <w:color w:val="auto"/>
              </w:rPr>
              <w:t>亿康药业本年票据到期和背书增加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497" w:type="dxa"/>
            <w:vAlign w:val="center"/>
          </w:tcPr>
          <w:p>
            <w:pPr>
              <w:widowControl w:val="0"/>
              <w:jc w:val="both"/>
              <w:rPr>
                <w:b w:val="0"/>
                <w:szCs w:val="21"/>
              </w:rPr>
            </w:pPr>
            <w:r>
              <w:rPr>
                <w:rFonts w:hint="eastAsia"/>
                <w:color w:val="auto"/>
              </w:rPr>
              <w:t>其他流动资产</w:t>
            </w:r>
          </w:p>
        </w:tc>
        <w:tc>
          <w:tcPr>
            <w:tcW w:w="1609" w:type="dxa"/>
            <w:vAlign w:val="center"/>
          </w:tcPr>
          <w:p>
            <w:pPr>
              <w:widowControl w:val="0"/>
              <w:jc w:val="right"/>
              <w:rPr>
                <w:rFonts w:hint="eastAsia"/>
                <w:b w:val="0"/>
                <w:szCs w:val="21"/>
              </w:rPr>
            </w:pPr>
            <w:r>
              <w:rPr>
                <w:rFonts w:hint="eastAsia"/>
                <w:color w:val="auto"/>
              </w:rPr>
              <w:t>3,494,562.73</w:t>
            </w:r>
          </w:p>
        </w:tc>
        <w:tc>
          <w:tcPr>
            <w:tcW w:w="1004" w:type="dxa"/>
            <w:vAlign w:val="center"/>
          </w:tcPr>
          <w:p>
            <w:pPr>
              <w:widowControl w:val="0"/>
              <w:jc w:val="right"/>
              <w:rPr>
                <w:rFonts w:hint="eastAsia"/>
                <w:b w:val="0"/>
                <w:szCs w:val="21"/>
              </w:rPr>
            </w:pPr>
            <w:r>
              <w:rPr>
                <w:rFonts w:hint="eastAsia"/>
                <w:color w:val="auto"/>
              </w:rPr>
              <w:t>0.13</w:t>
            </w:r>
          </w:p>
        </w:tc>
        <w:tc>
          <w:tcPr>
            <w:tcW w:w="1582" w:type="dxa"/>
            <w:vAlign w:val="center"/>
          </w:tcPr>
          <w:p>
            <w:pPr>
              <w:widowControl w:val="0"/>
              <w:jc w:val="right"/>
              <w:rPr>
                <w:rFonts w:hint="eastAsia"/>
                <w:b w:val="0"/>
                <w:szCs w:val="21"/>
              </w:rPr>
            </w:pPr>
            <w:r>
              <w:rPr>
                <w:rFonts w:hint="eastAsia"/>
                <w:color w:val="auto"/>
              </w:rPr>
              <w:t>2,395,991.13</w:t>
            </w:r>
          </w:p>
        </w:tc>
        <w:tc>
          <w:tcPr>
            <w:tcW w:w="864" w:type="dxa"/>
            <w:vAlign w:val="center"/>
          </w:tcPr>
          <w:p>
            <w:pPr>
              <w:widowControl w:val="0"/>
              <w:jc w:val="right"/>
              <w:rPr>
                <w:rFonts w:hint="eastAsia"/>
                <w:b w:val="0"/>
                <w:szCs w:val="21"/>
              </w:rPr>
            </w:pPr>
            <w:r>
              <w:rPr>
                <w:rFonts w:hint="eastAsia"/>
                <w:color w:val="auto"/>
              </w:rPr>
              <w:t>0.09</w:t>
            </w:r>
          </w:p>
        </w:tc>
        <w:tc>
          <w:tcPr>
            <w:tcW w:w="941" w:type="dxa"/>
            <w:vAlign w:val="center"/>
          </w:tcPr>
          <w:p>
            <w:pPr>
              <w:widowControl w:val="0"/>
              <w:jc w:val="right"/>
              <w:rPr>
                <w:rFonts w:hint="eastAsia"/>
                <w:b w:val="0"/>
                <w:szCs w:val="21"/>
              </w:rPr>
            </w:pPr>
            <w:r>
              <w:rPr>
                <w:rFonts w:hint="eastAsia"/>
                <w:color w:val="auto"/>
              </w:rPr>
              <w:t>45.85</w:t>
            </w:r>
          </w:p>
        </w:tc>
        <w:tc>
          <w:tcPr>
            <w:tcW w:w="1546" w:type="dxa"/>
            <w:vAlign w:val="center"/>
          </w:tcPr>
          <w:p>
            <w:pPr>
              <w:widowControl w:val="0"/>
              <w:jc w:val="both"/>
              <w:rPr>
                <w:b w:val="0"/>
                <w:szCs w:val="21"/>
              </w:rPr>
            </w:pPr>
            <w:r>
              <w:rPr>
                <w:rFonts w:hint="eastAsia"/>
                <w:color w:val="auto"/>
              </w:rPr>
              <w:t>待摊费用增加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497" w:type="dxa"/>
            <w:vAlign w:val="center"/>
          </w:tcPr>
          <w:p>
            <w:pPr>
              <w:widowControl w:val="0"/>
              <w:jc w:val="both"/>
              <w:rPr>
                <w:b w:val="0"/>
                <w:szCs w:val="21"/>
              </w:rPr>
            </w:pPr>
            <w:r>
              <w:rPr>
                <w:rFonts w:hint="eastAsia"/>
                <w:color w:val="auto"/>
              </w:rPr>
              <w:t>在建工程</w:t>
            </w:r>
          </w:p>
        </w:tc>
        <w:tc>
          <w:tcPr>
            <w:tcW w:w="1609" w:type="dxa"/>
            <w:vAlign w:val="center"/>
          </w:tcPr>
          <w:p>
            <w:pPr>
              <w:widowControl w:val="0"/>
              <w:jc w:val="right"/>
              <w:rPr>
                <w:rFonts w:hint="eastAsia"/>
                <w:b w:val="0"/>
                <w:szCs w:val="21"/>
              </w:rPr>
            </w:pPr>
            <w:r>
              <w:rPr>
                <w:rFonts w:hint="eastAsia"/>
                <w:color w:val="auto"/>
              </w:rPr>
              <w:t>22,821,377.61</w:t>
            </w:r>
          </w:p>
        </w:tc>
        <w:tc>
          <w:tcPr>
            <w:tcW w:w="1004" w:type="dxa"/>
            <w:vAlign w:val="center"/>
          </w:tcPr>
          <w:p>
            <w:pPr>
              <w:widowControl w:val="0"/>
              <w:jc w:val="right"/>
              <w:rPr>
                <w:rFonts w:hint="eastAsia"/>
                <w:b w:val="0"/>
                <w:szCs w:val="21"/>
              </w:rPr>
            </w:pPr>
            <w:r>
              <w:rPr>
                <w:rFonts w:hint="eastAsia"/>
                <w:color w:val="auto"/>
              </w:rPr>
              <w:t>0.84</w:t>
            </w:r>
          </w:p>
        </w:tc>
        <w:tc>
          <w:tcPr>
            <w:tcW w:w="1582" w:type="dxa"/>
            <w:vAlign w:val="center"/>
          </w:tcPr>
          <w:p>
            <w:pPr>
              <w:widowControl w:val="0"/>
              <w:jc w:val="right"/>
              <w:rPr>
                <w:rFonts w:hint="eastAsia"/>
                <w:b w:val="0"/>
                <w:szCs w:val="21"/>
              </w:rPr>
            </w:pPr>
            <w:r>
              <w:rPr>
                <w:rFonts w:hint="eastAsia"/>
                <w:color w:val="auto"/>
              </w:rPr>
              <w:t>8,274,122.56</w:t>
            </w:r>
          </w:p>
        </w:tc>
        <w:tc>
          <w:tcPr>
            <w:tcW w:w="864" w:type="dxa"/>
            <w:vAlign w:val="center"/>
          </w:tcPr>
          <w:p>
            <w:pPr>
              <w:widowControl w:val="0"/>
              <w:jc w:val="right"/>
              <w:rPr>
                <w:rFonts w:hint="eastAsia"/>
                <w:b w:val="0"/>
                <w:szCs w:val="21"/>
              </w:rPr>
            </w:pPr>
            <w:r>
              <w:rPr>
                <w:rFonts w:hint="eastAsia"/>
                <w:color w:val="auto"/>
              </w:rPr>
              <w:t>0.30</w:t>
            </w:r>
          </w:p>
        </w:tc>
        <w:tc>
          <w:tcPr>
            <w:tcW w:w="941" w:type="dxa"/>
            <w:vAlign w:val="center"/>
          </w:tcPr>
          <w:p>
            <w:pPr>
              <w:widowControl w:val="0"/>
              <w:jc w:val="right"/>
              <w:rPr>
                <w:rFonts w:hint="eastAsia"/>
                <w:b w:val="0"/>
                <w:szCs w:val="21"/>
              </w:rPr>
            </w:pPr>
            <w:r>
              <w:rPr>
                <w:rFonts w:hint="eastAsia"/>
                <w:color w:val="auto"/>
              </w:rPr>
              <w:t>175.82</w:t>
            </w:r>
          </w:p>
        </w:tc>
        <w:tc>
          <w:tcPr>
            <w:tcW w:w="1546" w:type="dxa"/>
            <w:vAlign w:val="center"/>
          </w:tcPr>
          <w:p>
            <w:pPr>
              <w:widowControl w:val="0"/>
              <w:jc w:val="both"/>
              <w:rPr>
                <w:b w:val="0"/>
                <w:szCs w:val="21"/>
              </w:rPr>
            </w:pPr>
            <w:r>
              <w:rPr>
                <w:rFonts w:hint="eastAsia"/>
                <w:color w:val="auto"/>
              </w:rPr>
              <w:t>技改项目以及口腔护理产品生产基地投入增加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497" w:type="dxa"/>
            <w:vAlign w:val="center"/>
          </w:tcPr>
          <w:p>
            <w:pPr>
              <w:widowControl w:val="0"/>
              <w:jc w:val="both"/>
              <w:rPr>
                <w:b w:val="0"/>
                <w:szCs w:val="21"/>
              </w:rPr>
            </w:pPr>
            <w:r>
              <w:rPr>
                <w:rFonts w:hint="eastAsia"/>
                <w:color w:val="auto"/>
              </w:rPr>
              <w:t>应收账款</w:t>
            </w:r>
          </w:p>
        </w:tc>
        <w:tc>
          <w:tcPr>
            <w:tcW w:w="1609" w:type="dxa"/>
            <w:vAlign w:val="center"/>
          </w:tcPr>
          <w:p>
            <w:pPr>
              <w:widowControl w:val="0"/>
              <w:jc w:val="right"/>
              <w:rPr>
                <w:rFonts w:hint="eastAsia"/>
                <w:b w:val="0"/>
                <w:szCs w:val="21"/>
              </w:rPr>
            </w:pPr>
            <w:r>
              <w:rPr>
                <w:rFonts w:hint="eastAsia"/>
                <w:color w:val="auto"/>
              </w:rPr>
              <w:t>107,306,100.38</w:t>
            </w:r>
          </w:p>
        </w:tc>
        <w:tc>
          <w:tcPr>
            <w:tcW w:w="1004" w:type="dxa"/>
            <w:vAlign w:val="center"/>
          </w:tcPr>
          <w:p>
            <w:pPr>
              <w:widowControl w:val="0"/>
              <w:jc w:val="right"/>
              <w:rPr>
                <w:rFonts w:hint="eastAsia"/>
                <w:b w:val="0"/>
                <w:szCs w:val="21"/>
              </w:rPr>
            </w:pPr>
            <w:r>
              <w:rPr>
                <w:rFonts w:hint="eastAsia"/>
                <w:color w:val="auto"/>
              </w:rPr>
              <w:t>3.94</w:t>
            </w:r>
          </w:p>
        </w:tc>
        <w:tc>
          <w:tcPr>
            <w:tcW w:w="1582" w:type="dxa"/>
            <w:vAlign w:val="center"/>
          </w:tcPr>
          <w:p>
            <w:pPr>
              <w:widowControl w:val="0"/>
              <w:jc w:val="right"/>
              <w:rPr>
                <w:rFonts w:hint="eastAsia"/>
                <w:b w:val="0"/>
                <w:szCs w:val="21"/>
              </w:rPr>
            </w:pPr>
            <w:r>
              <w:rPr>
                <w:rFonts w:hint="eastAsia"/>
                <w:color w:val="auto"/>
              </w:rPr>
              <w:t>74,685,121.39</w:t>
            </w:r>
          </w:p>
        </w:tc>
        <w:tc>
          <w:tcPr>
            <w:tcW w:w="864" w:type="dxa"/>
            <w:vAlign w:val="center"/>
          </w:tcPr>
          <w:p>
            <w:pPr>
              <w:widowControl w:val="0"/>
              <w:jc w:val="right"/>
              <w:rPr>
                <w:rFonts w:hint="eastAsia"/>
                <w:b w:val="0"/>
                <w:szCs w:val="21"/>
              </w:rPr>
            </w:pPr>
            <w:r>
              <w:rPr>
                <w:rFonts w:hint="eastAsia"/>
                <w:color w:val="auto"/>
              </w:rPr>
              <w:t>2.74</w:t>
            </w:r>
          </w:p>
        </w:tc>
        <w:tc>
          <w:tcPr>
            <w:tcW w:w="941" w:type="dxa"/>
            <w:vAlign w:val="center"/>
          </w:tcPr>
          <w:p>
            <w:pPr>
              <w:widowControl w:val="0"/>
              <w:jc w:val="right"/>
              <w:rPr>
                <w:rFonts w:hint="eastAsia"/>
                <w:b w:val="0"/>
                <w:szCs w:val="21"/>
              </w:rPr>
            </w:pPr>
            <w:r>
              <w:rPr>
                <w:rFonts w:hint="eastAsia"/>
                <w:color w:val="auto"/>
              </w:rPr>
              <w:t>43.68</w:t>
            </w:r>
          </w:p>
        </w:tc>
        <w:tc>
          <w:tcPr>
            <w:tcW w:w="1546" w:type="dxa"/>
            <w:vAlign w:val="center"/>
          </w:tcPr>
          <w:p>
            <w:pPr>
              <w:widowControl w:val="0"/>
              <w:jc w:val="both"/>
              <w:rPr>
                <w:b w:val="0"/>
                <w:szCs w:val="21"/>
              </w:rPr>
            </w:pPr>
            <w:r>
              <w:rPr>
                <w:rFonts w:hint="eastAsia"/>
                <w:color w:val="auto"/>
              </w:rPr>
              <w:t>销售拓展新客户，账期未达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497" w:type="dxa"/>
            <w:vAlign w:val="center"/>
          </w:tcPr>
          <w:p>
            <w:pPr>
              <w:widowControl w:val="0"/>
              <w:jc w:val="both"/>
              <w:rPr>
                <w:b w:val="0"/>
                <w:szCs w:val="21"/>
              </w:rPr>
            </w:pPr>
            <w:r>
              <w:rPr>
                <w:rFonts w:hint="eastAsia"/>
                <w:color w:val="auto"/>
              </w:rPr>
              <w:t>长期应收款</w:t>
            </w:r>
          </w:p>
        </w:tc>
        <w:tc>
          <w:tcPr>
            <w:tcW w:w="1609" w:type="dxa"/>
            <w:vAlign w:val="center"/>
          </w:tcPr>
          <w:p>
            <w:pPr>
              <w:widowControl w:val="0"/>
              <w:jc w:val="right"/>
              <w:rPr>
                <w:rFonts w:hint="eastAsia"/>
                <w:b w:val="0"/>
                <w:szCs w:val="21"/>
              </w:rPr>
            </w:pPr>
            <w:r>
              <w:rPr>
                <w:rFonts w:hint="eastAsia"/>
                <w:color w:val="auto"/>
              </w:rPr>
              <w:t>357,093.09</w:t>
            </w:r>
          </w:p>
        </w:tc>
        <w:tc>
          <w:tcPr>
            <w:tcW w:w="1004" w:type="dxa"/>
            <w:vAlign w:val="center"/>
          </w:tcPr>
          <w:p>
            <w:pPr>
              <w:widowControl w:val="0"/>
              <w:jc w:val="right"/>
              <w:rPr>
                <w:rFonts w:hint="eastAsia"/>
                <w:b w:val="0"/>
                <w:szCs w:val="21"/>
              </w:rPr>
            </w:pPr>
            <w:r>
              <w:rPr>
                <w:rFonts w:hint="eastAsia"/>
                <w:color w:val="auto"/>
              </w:rPr>
              <w:t>0.01</w:t>
            </w:r>
          </w:p>
        </w:tc>
        <w:tc>
          <w:tcPr>
            <w:tcW w:w="1582" w:type="dxa"/>
            <w:vAlign w:val="center"/>
          </w:tcPr>
          <w:p>
            <w:pPr>
              <w:widowControl w:val="0"/>
              <w:jc w:val="right"/>
              <w:rPr>
                <w:rFonts w:hint="eastAsia"/>
                <w:b w:val="0"/>
                <w:szCs w:val="21"/>
              </w:rPr>
            </w:pPr>
            <w:r>
              <w:rPr>
                <w:rFonts w:hint="eastAsia"/>
                <w:color w:val="auto"/>
              </w:rPr>
              <w:t>1,032,140.40</w:t>
            </w:r>
          </w:p>
        </w:tc>
        <w:tc>
          <w:tcPr>
            <w:tcW w:w="864" w:type="dxa"/>
            <w:vAlign w:val="center"/>
          </w:tcPr>
          <w:p>
            <w:pPr>
              <w:widowControl w:val="0"/>
              <w:jc w:val="right"/>
              <w:rPr>
                <w:rFonts w:hint="eastAsia"/>
                <w:b w:val="0"/>
                <w:szCs w:val="21"/>
              </w:rPr>
            </w:pPr>
            <w:r>
              <w:rPr>
                <w:rFonts w:hint="eastAsia"/>
                <w:color w:val="auto"/>
              </w:rPr>
              <w:t>0.04</w:t>
            </w:r>
          </w:p>
        </w:tc>
        <w:tc>
          <w:tcPr>
            <w:tcW w:w="941" w:type="dxa"/>
            <w:vAlign w:val="center"/>
          </w:tcPr>
          <w:p>
            <w:pPr>
              <w:widowControl w:val="0"/>
              <w:jc w:val="right"/>
              <w:rPr>
                <w:rFonts w:hint="eastAsia"/>
                <w:b w:val="0"/>
                <w:szCs w:val="21"/>
              </w:rPr>
            </w:pPr>
            <w:r>
              <w:rPr>
                <w:rFonts w:hint="eastAsia"/>
                <w:color w:val="auto"/>
              </w:rPr>
              <w:t>-65.40</w:t>
            </w:r>
          </w:p>
        </w:tc>
        <w:tc>
          <w:tcPr>
            <w:tcW w:w="1546" w:type="dxa"/>
            <w:vAlign w:val="center"/>
          </w:tcPr>
          <w:p>
            <w:pPr>
              <w:widowControl w:val="0"/>
              <w:jc w:val="both"/>
              <w:rPr>
                <w:b w:val="0"/>
                <w:szCs w:val="21"/>
              </w:rPr>
            </w:pPr>
            <w:r>
              <w:rPr>
                <w:rFonts w:hint="eastAsia"/>
                <w:color w:val="auto"/>
              </w:rPr>
              <w:t>租赁应收款减少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497" w:type="dxa"/>
            <w:vAlign w:val="center"/>
          </w:tcPr>
          <w:p>
            <w:pPr>
              <w:widowControl w:val="0"/>
              <w:jc w:val="both"/>
              <w:rPr>
                <w:b w:val="0"/>
                <w:szCs w:val="21"/>
              </w:rPr>
            </w:pPr>
            <w:r>
              <w:rPr>
                <w:rFonts w:hint="eastAsia"/>
                <w:color w:val="auto"/>
              </w:rPr>
              <w:t>使用权资产</w:t>
            </w:r>
          </w:p>
        </w:tc>
        <w:tc>
          <w:tcPr>
            <w:tcW w:w="1609" w:type="dxa"/>
            <w:vAlign w:val="center"/>
          </w:tcPr>
          <w:p>
            <w:pPr>
              <w:widowControl w:val="0"/>
              <w:jc w:val="right"/>
              <w:rPr>
                <w:rFonts w:hint="eastAsia"/>
                <w:b w:val="0"/>
                <w:szCs w:val="21"/>
              </w:rPr>
            </w:pPr>
            <w:r>
              <w:rPr>
                <w:rFonts w:hint="eastAsia"/>
                <w:color w:val="auto"/>
              </w:rPr>
              <w:t>4,893,676.51</w:t>
            </w:r>
          </w:p>
        </w:tc>
        <w:tc>
          <w:tcPr>
            <w:tcW w:w="1004" w:type="dxa"/>
            <w:vAlign w:val="center"/>
          </w:tcPr>
          <w:p>
            <w:pPr>
              <w:widowControl w:val="0"/>
              <w:jc w:val="right"/>
              <w:rPr>
                <w:rFonts w:hint="eastAsia"/>
                <w:b w:val="0"/>
                <w:szCs w:val="21"/>
              </w:rPr>
            </w:pPr>
            <w:r>
              <w:rPr>
                <w:rFonts w:hint="eastAsia"/>
                <w:color w:val="auto"/>
              </w:rPr>
              <w:t>0.18</w:t>
            </w:r>
          </w:p>
        </w:tc>
        <w:tc>
          <w:tcPr>
            <w:tcW w:w="1582" w:type="dxa"/>
            <w:vAlign w:val="center"/>
          </w:tcPr>
          <w:p>
            <w:pPr>
              <w:widowControl w:val="0"/>
              <w:jc w:val="right"/>
              <w:rPr>
                <w:rFonts w:hint="eastAsia"/>
                <w:b w:val="0"/>
                <w:szCs w:val="21"/>
              </w:rPr>
            </w:pPr>
            <w:r>
              <w:rPr>
                <w:rFonts w:hint="eastAsia"/>
                <w:color w:val="auto"/>
              </w:rPr>
              <w:t>7,198,033.54</w:t>
            </w:r>
          </w:p>
        </w:tc>
        <w:tc>
          <w:tcPr>
            <w:tcW w:w="864" w:type="dxa"/>
            <w:vAlign w:val="center"/>
          </w:tcPr>
          <w:p>
            <w:pPr>
              <w:widowControl w:val="0"/>
              <w:jc w:val="right"/>
              <w:rPr>
                <w:rFonts w:hint="eastAsia"/>
                <w:b w:val="0"/>
                <w:szCs w:val="21"/>
              </w:rPr>
            </w:pPr>
            <w:r>
              <w:rPr>
                <w:rFonts w:hint="eastAsia"/>
                <w:color w:val="auto"/>
              </w:rPr>
              <w:t>0.26</w:t>
            </w:r>
          </w:p>
        </w:tc>
        <w:tc>
          <w:tcPr>
            <w:tcW w:w="941" w:type="dxa"/>
            <w:vAlign w:val="center"/>
          </w:tcPr>
          <w:p>
            <w:pPr>
              <w:widowControl w:val="0"/>
              <w:jc w:val="right"/>
              <w:rPr>
                <w:rFonts w:hint="eastAsia"/>
                <w:b w:val="0"/>
                <w:szCs w:val="21"/>
              </w:rPr>
            </w:pPr>
            <w:r>
              <w:rPr>
                <w:rFonts w:hint="eastAsia"/>
                <w:color w:val="auto"/>
              </w:rPr>
              <w:t>-32.01</w:t>
            </w:r>
          </w:p>
        </w:tc>
        <w:tc>
          <w:tcPr>
            <w:tcW w:w="1546" w:type="dxa"/>
            <w:vAlign w:val="center"/>
          </w:tcPr>
          <w:p>
            <w:pPr>
              <w:widowControl w:val="0"/>
              <w:jc w:val="both"/>
              <w:rPr>
                <w:b w:val="0"/>
                <w:szCs w:val="21"/>
              </w:rPr>
            </w:pPr>
            <w:r>
              <w:rPr>
                <w:rFonts w:hint="eastAsia"/>
                <w:color w:val="auto"/>
              </w:rPr>
              <w:t>使用权资产累计折旧增加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497" w:type="dxa"/>
            <w:vAlign w:val="center"/>
          </w:tcPr>
          <w:p>
            <w:pPr>
              <w:widowControl w:val="0"/>
              <w:jc w:val="both"/>
              <w:rPr>
                <w:b w:val="0"/>
                <w:szCs w:val="21"/>
              </w:rPr>
            </w:pPr>
            <w:r>
              <w:rPr>
                <w:rFonts w:hint="eastAsia"/>
                <w:color w:val="auto"/>
              </w:rPr>
              <w:t>长期应付职工薪酬</w:t>
            </w:r>
          </w:p>
        </w:tc>
        <w:tc>
          <w:tcPr>
            <w:tcW w:w="1609" w:type="dxa"/>
            <w:vAlign w:val="center"/>
          </w:tcPr>
          <w:p>
            <w:pPr>
              <w:widowControl w:val="0"/>
              <w:jc w:val="right"/>
              <w:rPr>
                <w:rFonts w:hint="eastAsia"/>
                <w:b w:val="0"/>
                <w:szCs w:val="21"/>
              </w:rPr>
            </w:pPr>
            <w:r>
              <w:rPr>
                <w:rFonts w:hint="eastAsia"/>
                <w:color w:val="auto"/>
              </w:rPr>
              <w:t>361,592.00</w:t>
            </w:r>
          </w:p>
        </w:tc>
        <w:tc>
          <w:tcPr>
            <w:tcW w:w="1004" w:type="dxa"/>
            <w:vAlign w:val="center"/>
          </w:tcPr>
          <w:p>
            <w:pPr>
              <w:widowControl w:val="0"/>
              <w:jc w:val="right"/>
              <w:rPr>
                <w:rFonts w:hint="eastAsia"/>
                <w:b w:val="0"/>
                <w:szCs w:val="21"/>
              </w:rPr>
            </w:pPr>
            <w:r>
              <w:rPr>
                <w:rFonts w:hint="eastAsia"/>
                <w:color w:val="auto"/>
              </w:rPr>
              <w:t>0.01</w:t>
            </w:r>
          </w:p>
        </w:tc>
        <w:tc>
          <w:tcPr>
            <w:tcW w:w="1582" w:type="dxa"/>
            <w:vAlign w:val="center"/>
          </w:tcPr>
          <w:p>
            <w:pPr>
              <w:widowControl w:val="0"/>
              <w:jc w:val="right"/>
              <w:rPr>
                <w:rFonts w:hint="eastAsia"/>
                <w:b w:val="0"/>
                <w:szCs w:val="21"/>
              </w:rPr>
            </w:pPr>
            <w:r>
              <w:rPr>
                <w:rFonts w:hint="eastAsia"/>
                <w:color w:val="auto"/>
              </w:rPr>
              <w:t>786,071.00</w:t>
            </w:r>
          </w:p>
        </w:tc>
        <w:tc>
          <w:tcPr>
            <w:tcW w:w="864" w:type="dxa"/>
            <w:vAlign w:val="center"/>
          </w:tcPr>
          <w:p>
            <w:pPr>
              <w:widowControl w:val="0"/>
              <w:jc w:val="right"/>
              <w:rPr>
                <w:rFonts w:hint="eastAsia"/>
                <w:b w:val="0"/>
                <w:szCs w:val="21"/>
              </w:rPr>
            </w:pPr>
            <w:r>
              <w:rPr>
                <w:rFonts w:hint="eastAsia"/>
                <w:color w:val="auto"/>
              </w:rPr>
              <w:t>0.03</w:t>
            </w:r>
          </w:p>
        </w:tc>
        <w:tc>
          <w:tcPr>
            <w:tcW w:w="941" w:type="dxa"/>
            <w:vAlign w:val="center"/>
          </w:tcPr>
          <w:p>
            <w:pPr>
              <w:widowControl w:val="0"/>
              <w:jc w:val="right"/>
              <w:rPr>
                <w:rFonts w:hint="eastAsia"/>
                <w:b w:val="0"/>
                <w:szCs w:val="21"/>
              </w:rPr>
            </w:pPr>
            <w:r>
              <w:rPr>
                <w:rFonts w:hint="eastAsia"/>
                <w:color w:val="auto"/>
              </w:rPr>
              <w:t>-54.00</w:t>
            </w:r>
          </w:p>
        </w:tc>
        <w:tc>
          <w:tcPr>
            <w:tcW w:w="1546" w:type="dxa"/>
            <w:vAlign w:val="center"/>
          </w:tcPr>
          <w:p>
            <w:pPr>
              <w:widowControl w:val="0"/>
              <w:jc w:val="both"/>
              <w:rPr>
                <w:b w:val="0"/>
                <w:szCs w:val="21"/>
              </w:rPr>
            </w:pPr>
            <w:r>
              <w:rPr>
                <w:rFonts w:hint="eastAsia"/>
                <w:color w:val="auto"/>
              </w:rPr>
              <w:t>内退人员长期福利精算减少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497" w:type="dxa"/>
            <w:vAlign w:val="center"/>
          </w:tcPr>
          <w:p>
            <w:pPr>
              <w:widowControl w:val="0"/>
              <w:jc w:val="both"/>
              <w:rPr>
                <w:b w:val="0"/>
                <w:szCs w:val="21"/>
              </w:rPr>
            </w:pPr>
            <w:r>
              <w:rPr>
                <w:rFonts w:hint="eastAsia"/>
                <w:color w:val="auto"/>
              </w:rPr>
              <w:t>租赁负债</w:t>
            </w:r>
          </w:p>
        </w:tc>
        <w:tc>
          <w:tcPr>
            <w:tcW w:w="1609" w:type="dxa"/>
            <w:vAlign w:val="center"/>
          </w:tcPr>
          <w:p>
            <w:pPr>
              <w:widowControl w:val="0"/>
              <w:jc w:val="right"/>
              <w:rPr>
                <w:rFonts w:hint="eastAsia"/>
                <w:b w:val="0"/>
                <w:szCs w:val="21"/>
              </w:rPr>
            </w:pPr>
            <w:r>
              <w:rPr>
                <w:rFonts w:hint="eastAsia"/>
                <w:color w:val="auto"/>
              </w:rPr>
              <w:t>1,842,655.40</w:t>
            </w:r>
          </w:p>
        </w:tc>
        <w:tc>
          <w:tcPr>
            <w:tcW w:w="1004" w:type="dxa"/>
            <w:vAlign w:val="center"/>
          </w:tcPr>
          <w:p>
            <w:pPr>
              <w:widowControl w:val="0"/>
              <w:jc w:val="right"/>
              <w:rPr>
                <w:rFonts w:hint="eastAsia"/>
                <w:b w:val="0"/>
                <w:szCs w:val="21"/>
              </w:rPr>
            </w:pPr>
            <w:r>
              <w:rPr>
                <w:rFonts w:hint="eastAsia"/>
                <w:color w:val="auto"/>
              </w:rPr>
              <w:t>0.07</w:t>
            </w:r>
          </w:p>
        </w:tc>
        <w:tc>
          <w:tcPr>
            <w:tcW w:w="1582" w:type="dxa"/>
            <w:vAlign w:val="center"/>
          </w:tcPr>
          <w:p>
            <w:pPr>
              <w:widowControl w:val="0"/>
              <w:jc w:val="right"/>
              <w:rPr>
                <w:rFonts w:hint="eastAsia"/>
                <w:b w:val="0"/>
                <w:szCs w:val="21"/>
              </w:rPr>
            </w:pPr>
            <w:r>
              <w:rPr>
                <w:rFonts w:hint="eastAsia"/>
                <w:color w:val="auto"/>
              </w:rPr>
              <w:t>4,451,509.25</w:t>
            </w:r>
          </w:p>
        </w:tc>
        <w:tc>
          <w:tcPr>
            <w:tcW w:w="864" w:type="dxa"/>
            <w:vAlign w:val="center"/>
          </w:tcPr>
          <w:p>
            <w:pPr>
              <w:widowControl w:val="0"/>
              <w:jc w:val="right"/>
              <w:rPr>
                <w:rFonts w:hint="eastAsia"/>
                <w:b w:val="0"/>
                <w:szCs w:val="21"/>
              </w:rPr>
            </w:pPr>
            <w:r>
              <w:rPr>
                <w:rFonts w:hint="eastAsia"/>
                <w:color w:val="auto"/>
              </w:rPr>
              <w:t>0.16</w:t>
            </w:r>
          </w:p>
        </w:tc>
        <w:tc>
          <w:tcPr>
            <w:tcW w:w="941" w:type="dxa"/>
            <w:vAlign w:val="center"/>
          </w:tcPr>
          <w:p>
            <w:pPr>
              <w:widowControl w:val="0"/>
              <w:jc w:val="right"/>
              <w:rPr>
                <w:rFonts w:hint="eastAsia"/>
                <w:b w:val="0"/>
                <w:szCs w:val="21"/>
              </w:rPr>
            </w:pPr>
            <w:r>
              <w:rPr>
                <w:rFonts w:hint="eastAsia"/>
                <w:color w:val="auto"/>
              </w:rPr>
              <w:t>-58.61</w:t>
            </w:r>
          </w:p>
        </w:tc>
        <w:tc>
          <w:tcPr>
            <w:tcW w:w="1546" w:type="dxa"/>
            <w:vAlign w:val="center"/>
          </w:tcPr>
          <w:p>
            <w:pPr>
              <w:widowControl w:val="0"/>
              <w:jc w:val="both"/>
              <w:rPr>
                <w:b w:val="0"/>
                <w:szCs w:val="21"/>
              </w:rPr>
            </w:pPr>
            <w:r>
              <w:rPr>
                <w:rFonts w:hint="eastAsia"/>
                <w:color w:val="auto"/>
              </w:rPr>
              <w:t>本年支付使用权资产租金</w:t>
            </w:r>
          </w:p>
        </w:tc>
      </w:tr>
    </w:tbl>
    <w:p>
      <w:pPr>
        <w:rPr>
          <w:szCs w:val="21"/>
        </w:rPr>
      </w:pPr>
      <w:r>
        <w:rPr>
          <w:rFonts w:hint="eastAsia"/>
          <w:szCs w:val="21"/>
        </w:rPr>
        <w:t>其他说明：</w:t>
      </w:r>
    </w:p>
    <w:sdt>
      <w:sdtPr>
        <w:rPr>
          <w:rFonts w:hint="eastAsia"/>
          <w:szCs w:val="21"/>
        </w:rPr>
        <w:alias w:val="资产及负债状况的其他说明"/>
        <w:tag w:val="_GBC_3aee54264edd4bb08807d2335eb33f43"/>
        <w:id w:val="5862"/>
        <w:placeholder>
          <w:docPart w:val="GBC22222222222222222222222222222"/>
        </w:placeholder>
      </w:sdtPr>
      <w:sdtEndPr>
        <w:rPr>
          <w:rFonts w:hint="eastAsia"/>
          <w:szCs w:val="21"/>
        </w:rPr>
      </w:sdtEndPr>
      <w:sdtContent>
        <w:p>
          <w:pPr>
            <w:rPr>
              <w:szCs w:val="21"/>
            </w:rPr>
          </w:pPr>
          <w:r>
            <w:rPr>
              <w:rFonts w:hint="eastAsia"/>
              <w:szCs w:val="21"/>
            </w:rPr>
            <w:t>无</w:t>
          </w:r>
        </w:p>
      </w:sdtContent>
    </w:sdt>
    <w:p>
      <w:pPr>
        <w:pStyle w:val="5"/>
        <w:numPr>
          <w:ilvl w:val="0"/>
          <w:numId w:val="12"/>
        </w:numPr>
        <w:rPr>
          <w:rFonts w:hint="eastAsia" w:ascii="宋体" w:hAnsi="宋体" w:eastAsia="宋体" w:cs="宋体"/>
          <w:kern w:val="0"/>
          <w:szCs w:val="21"/>
        </w:rPr>
      </w:pPr>
      <w:bookmarkStart w:id="65" w:name="_Hlk89877438"/>
      <w:r>
        <w:rPr>
          <w:rFonts w:hint="eastAsia" w:ascii="宋体" w:hAnsi="宋体" w:eastAsia="宋体" w:cs="宋体"/>
          <w:kern w:val="0"/>
          <w:szCs w:val="21"/>
        </w:rPr>
        <w:t>境外资产情况</w:t>
      </w:r>
    </w:p>
    <w:sdt>
      <w:sdtPr>
        <w:rPr>
          <w:rFonts w:hint="eastAsia"/>
          <w:szCs w:val="21"/>
        </w:rPr>
        <w:alias w:val="是否适用：境外资产情况 [双击切换]"/>
        <w:tag w:val="_GBC_7c019689b55740839a263ecc68721e10"/>
        <w:id w:val="5863"/>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bookmarkEnd w:id="65"/>
    <w:p>
      <w:pPr>
        <w:pStyle w:val="5"/>
        <w:numPr>
          <w:ilvl w:val="0"/>
          <w:numId w:val="12"/>
        </w:numPr>
        <w:rPr>
          <w:rFonts w:hint="eastAsia"/>
        </w:rPr>
      </w:pPr>
      <w:bookmarkStart w:id="66" w:name="_Hlk74646369"/>
      <w:bookmarkEnd w:id="66"/>
      <w:bookmarkStart w:id="67" w:name="_Hlk89175643"/>
      <w:bookmarkEnd w:id="67"/>
      <w:bookmarkStart w:id="68" w:name="_Hlk89176028"/>
      <w:bookmarkEnd w:id="68"/>
      <w:r>
        <w:t>截至报告期末主要资产受限情</w:t>
      </w:r>
      <w:r>
        <w:rPr>
          <w:rFonts w:hint="eastAsia"/>
        </w:rPr>
        <w:t>况</w:t>
      </w:r>
    </w:p>
    <w:sdt>
      <w:sdtPr>
        <w:rPr>
          <w:rFonts w:hint="eastAsia"/>
          <w:szCs w:val="21"/>
        </w:rPr>
        <w:alias w:val="是否适用：主要资产受限情况[双击切换]"/>
        <w:tag w:val="_GBC_01311ee451194f52a953344cf249b1b9"/>
        <w:id w:val="5864"/>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szCs w:val="21"/>
        </w:rPr>
        <w:alias w:val="主要资产受限情况"/>
        <w:tag w:val="_GBC_cb7fe3db517742e2a0cff2593f270f8e"/>
        <w:id w:val="5865"/>
        <w:placeholder>
          <w:docPart w:val="GBC22222222222222222222222222222"/>
        </w:placeholder>
      </w:sdtPr>
      <w:sdtEndPr>
        <w:rPr>
          <w:szCs w:val="21"/>
        </w:rPr>
      </w:sdtEndPr>
      <w:sdtContent>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2400"/>
            <w:gridCol w:w="2275"/>
            <w:gridCol w:w="3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tcPr>
              <w:p>
                <w:pPr>
                  <w:widowControl w:val="0"/>
                  <w:jc w:val="center"/>
                </w:pPr>
                <w:r>
                  <w:rPr>
                    <w:rFonts w:hint="eastAsia" w:ascii="Times New Roman" w:eastAsia="Times New Roman"/>
                  </w:rPr>
                  <w:t>项目</w:t>
                </w:r>
              </w:p>
            </w:tc>
            <w:tc>
              <w:tcPr>
                <w:tcW w:w="1326" w:type="pct"/>
                <w:tcBorders>
                  <w:top w:val="single" w:color="auto" w:sz="4" w:space="0"/>
                  <w:left w:val="single" w:color="auto" w:sz="4" w:space="0"/>
                  <w:bottom w:val="single" w:color="auto" w:sz="4" w:space="0"/>
                  <w:right w:val="single" w:color="auto" w:sz="4" w:space="0"/>
                </w:tcBorders>
              </w:tcPr>
              <w:p>
                <w:pPr>
                  <w:widowControl w:val="0"/>
                  <w:jc w:val="center"/>
                </w:pPr>
                <w:r>
                  <w:rPr>
                    <w:rFonts w:hint="eastAsia" w:ascii="Times New Roman" w:eastAsia="Times New Roman"/>
                  </w:rPr>
                  <w:t>202</w:t>
                </w:r>
                <w:r>
                  <w:rPr>
                    <w:rFonts w:hint="eastAsia" w:ascii="宋体" w:eastAsia="宋体"/>
                  </w:rPr>
                  <w:t>5</w:t>
                </w:r>
                <w:r>
                  <w:rPr>
                    <w:rFonts w:hint="eastAsia" w:ascii="Times New Roman" w:eastAsia="Times New Roman"/>
                  </w:rPr>
                  <w:t>年期末账面价值</w:t>
                </w:r>
              </w:p>
            </w:tc>
            <w:tc>
              <w:tcPr>
                <w:tcW w:w="1257" w:type="pct"/>
                <w:tcBorders>
                  <w:top w:val="single" w:color="auto" w:sz="4" w:space="0"/>
                  <w:left w:val="single" w:color="auto" w:sz="4" w:space="0"/>
                  <w:bottom w:val="single" w:color="auto" w:sz="4" w:space="0"/>
                  <w:right w:val="single" w:color="auto" w:sz="4" w:space="0"/>
                </w:tcBorders>
              </w:tcPr>
              <w:p>
                <w:pPr>
                  <w:widowControl w:val="0"/>
                  <w:jc w:val="center"/>
                </w:pPr>
                <w:r>
                  <w:rPr>
                    <w:rFonts w:hint="eastAsia" w:ascii="Times New Roman" w:eastAsia="Times New Roman"/>
                  </w:rPr>
                  <w:t>202</w:t>
                </w:r>
                <w:r>
                  <w:rPr>
                    <w:rFonts w:hint="eastAsia" w:ascii="宋体" w:eastAsia="宋体"/>
                  </w:rPr>
                  <w:t>4</w:t>
                </w:r>
                <w:r>
                  <w:rPr>
                    <w:rFonts w:hint="eastAsia" w:ascii="Times New Roman" w:eastAsia="Times New Roman"/>
                  </w:rPr>
                  <w:t>年期末账面价值</w:t>
                </w:r>
              </w:p>
            </w:tc>
            <w:tc>
              <w:tcPr>
                <w:tcW w:w="1785" w:type="pct"/>
                <w:tcBorders>
                  <w:top w:val="single" w:color="auto" w:sz="4" w:space="0"/>
                  <w:left w:val="single" w:color="auto" w:sz="4" w:space="0"/>
                  <w:bottom w:val="single" w:color="auto" w:sz="4" w:space="0"/>
                  <w:right w:val="single" w:color="auto" w:sz="4" w:space="0"/>
                </w:tcBorders>
              </w:tcPr>
              <w:p>
                <w:pPr>
                  <w:widowControl w:val="0"/>
                  <w:jc w:val="center"/>
                </w:pPr>
                <w:r>
                  <w:rPr>
                    <w:rFonts w:hint="eastAsia" w:ascii="Times New Roman" w:eastAsia="Times New Roman"/>
                  </w:rPr>
                  <w:t>受限原因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nil"/>
                  <w:left w:val="single" w:color="auto" w:sz="4" w:space="0"/>
                  <w:bottom w:val="single" w:color="auto" w:sz="4" w:space="0"/>
                  <w:right w:val="single" w:color="auto" w:sz="4" w:space="0"/>
                </w:tcBorders>
                <w:vAlign w:val="center"/>
              </w:tcPr>
              <w:p>
                <w:pPr>
                  <w:widowControl w:val="0"/>
                  <w:jc w:val="center"/>
                </w:pPr>
                <w:r>
                  <w:rPr>
                    <w:rFonts w:hint="eastAsia" w:ascii="Times New Roman" w:eastAsia="Times New Roman"/>
                  </w:rPr>
                  <w:t>货币资金</w:t>
                </w:r>
              </w:p>
            </w:tc>
            <w:tc>
              <w:tcPr>
                <w:tcW w:w="1326" w:type="pct"/>
                <w:tcBorders>
                  <w:top w:val="nil"/>
                  <w:left w:val="single" w:color="auto" w:sz="4" w:space="0"/>
                  <w:bottom w:val="single" w:color="auto" w:sz="4" w:space="0"/>
                  <w:right w:val="single" w:color="auto" w:sz="4" w:space="0"/>
                </w:tcBorders>
                <w:vAlign w:val="center"/>
              </w:tcPr>
              <w:p>
                <w:pPr>
                  <w:widowControl w:val="0"/>
                  <w:jc w:val="right"/>
                  <w:rPr>
                    <w:rFonts w:hint="eastAsia" w:eastAsia="宋体"/>
                    <w:lang w:eastAsia="zh-CN"/>
                  </w:rPr>
                </w:pPr>
                <w:r>
                  <w:rPr>
                    <w:rFonts w:hint="eastAsia"/>
                    <w:lang w:eastAsia="zh-CN"/>
                  </w:rPr>
                  <w:t>2,736,963.01</w:t>
                </w:r>
              </w:p>
            </w:tc>
            <w:tc>
              <w:tcPr>
                <w:tcW w:w="1257" w:type="pct"/>
                <w:tcBorders>
                  <w:top w:val="nil"/>
                  <w:left w:val="single" w:color="auto" w:sz="4" w:space="0"/>
                  <w:bottom w:val="single" w:color="auto" w:sz="4" w:space="0"/>
                  <w:right w:val="single" w:color="auto" w:sz="4" w:space="0"/>
                </w:tcBorders>
                <w:vAlign w:val="center"/>
              </w:tcPr>
              <w:p>
                <w:pPr>
                  <w:widowControl w:val="0"/>
                  <w:jc w:val="right"/>
                </w:pPr>
                <w:r>
                  <w:rPr>
                    <w:rFonts w:hint="eastAsia" w:ascii="Times New Roman" w:eastAsia="Times New Roman"/>
                  </w:rPr>
                  <w:t>3,000.00</w:t>
                </w:r>
              </w:p>
            </w:tc>
            <w:tc>
              <w:tcPr>
                <w:tcW w:w="1785" w:type="pct"/>
                <w:tcBorders>
                  <w:top w:val="nil"/>
                  <w:left w:val="single" w:color="auto" w:sz="4" w:space="0"/>
                  <w:bottom w:val="single" w:color="auto" w:sz="4" w:space="0"/>
                  <w:right w:val="single" w:color="auto" w:sz="4" w:space="0"/>
                </w:tcBorders>
              </w:tcPr>
              <w:p>
                <w:pPr>
                  <w:widowControl w:val="0"/>
                  <w:jc w:val="both"/>
                </w:pPr>
                <w:r>
                  <w:rPr>
                    <w:rFonts w:hint="eastAsia" w:ascii="宋体" w:eastAsia="宋体"/>
                  </w:rPr>
                  <w:t>质押和保证金，详见“七、合并财务报表项目注释</w:t>
                </w:r>
                <w:r>
                  <w:rPr>
                    <w:rFonts w:hint="eastAsia" w:ascii="Times New Roman" w:eastAsia="Times New Roman"/>
                  </w:rPr>
                  <w:t>1、货币资金”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nil"/>
                  <w:left w:val="single" w:color="auto" w:sz="4" w:space="0"/>
                  <w:bottom w:val="single" w:color="auto" w:sz="4" w:space="0"/>
                  <w:right w:val="single" w:color="auto" w:sz="4" w:space="0"/>
                </w:tcBorders>
                <w:vAlign w:val="center"/>
              </w:tcPr>
              <w:p>
                <w:pPr>
                  <w:widowControl w:val="0"/>
                  <w:jc w:val="center"/>
                </w:pPr>
                <w:r>
                  <w:rPr>
                    <w:rFonts w:hint="eastAsia" w:ascii="Times New Roman" w:eastAsia="Times New Roman"/>
                  </w:rPr>
                  <w:t>固定资产</w:t>
                </w:r>
              </w:p>
            </w:tc>
            <w:tc>
              <w:tcPr>
                <w:tcW w:w="1326" w:type="pct"/>
                <w:tcBorders>
                  <w:top w:val="nil"/>
                  <w:left w:val="single" w:color="auto" w:sz="4" w:space="0"/>
                  <w:bottom w:val="single" w:color="auto" w:sz="4" w:space="0"/>
                  <w:right w:val="single" w:color="auto" w:sz="4" w:space="0"/>
                </w:tcBorders>
                <w:vAlign w:val="center"/>
              </w:tcPr>
              <w:p>
                <w:pPr>
                  <w:widowControl w:val="0"/>
                  <w:jc w:val="right"/>
                </w:pPr>
                <w:r>
                  <w:rPr>
                    <w:rFonts w:hint="eastAsia" w:ascii="Times New Roman" w:eastAsia="Times New Roman"/>
                  </w:rPr>
                  <w:t>82,775,606.69</w:t>
                </w:r>
              </w:p>
            </w:tc>
            <w:tc>
              <w:tcPr>
                <w:tcW w:w="1257" w:type="pct"/>
                <w:tcBorders>
                  <w:top w:val="nil"/>
                  <w:left w:val="single" w:color="auto" w:sz="4" w:space="0"/>
                  <w:bottom w:val="single" w:color="auto" w:sz="4" w:space="0"/>
                  <w:right w:val="single" w:color="auto" w:sz="4" w:space="0"/>
                </w:tcBorders>
                <w:vAlign w:val="center"/>
              </w:tcPr>
              <w:p>
                <w:pPr>
                  <w:widowControl w:val="0"/>
                  <w:jc w:val="right"/>
                </w:pPr>
                <w:r>
                  <w:rPr>
                    <w:rFonts w:hint="eastAsia" w:ascii="Times New Roman" w:eastAsia="Times New Roman"/>
                  </w:rPr>
                  <w:t>86,384,609.81</w:t>
                </w:r>
              </w:p>
            </w:tc>
            <w:tc>
              <w:tcPr>
                <w:tcW w:w="1785" w:type="pct"/>
                <w:tcBorders>
                  <w:top w:val="nil"/>
                  <w:left w:val="single" w:color="auto" w:sz="4" w:space="0"/>
                  <w:bottom w:val="single" w:color="auto" w:sz="4" w:space="0"/>
                  <w:right w:val="single" w:color="auto" w:sz="4" w:space="0"/>
                </w:tcBorders>
              </w:tcPr>
              <w:p>
                <w:pPr>
                  <w:widowControl w:val="0"/>
                  <w:jc w:val="both"/>
                </w:pPr>
                <w:r>
                  <w:rPr>
                    <w:rFonts w:hint="eastAsia" w:ascii="Times New Roman" w:eastAsia="Times New Roman"/>
                  </w:rPr>
                  <w:t>银行借款抵押</w:t>
                </w:r>
                <w:r>
                  <w:rPr>
                    <w:rFonts w:hint="eastAsia" w:ascii="宋体" w:eastAsia="宋体"/>
                  </w:rPr>
                  <w:t>，详见“七、合并财务报表项目注释</w:t>
                </w:r>
                <w:r>
                  <w:rPr>
                    <w:rFonts w:hint="eastAsia" w:ascii="Times New Roman" w:eastAsia="Times New Roman"/>
                  </w:rPr>
                  <w:t>32、短期借款”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nil"/>
                  <w:left w:val="single" w:color="auto" w:sz="4" w:space="0"/>
                  <w:bottom w:val="single" w:color="auto" w:sz="4" w:space="0"/>
                  <w:right w:val="single" w:color="auto" w:sz="4" w:space="0"/>
                </w:tcBorders>
                <w:vAlign w:val="center"/>
              </w:tcPr>
              <w:p>
                <w:pPr>
                  <w:widowControl w:val="0"/>
                  <w:jc w:val="center"/>
                </w:pPr>
                <w:r>
                  <w:rPr>
                    <w:rFonts w:hint="eastAsia" w:ascii="Times New Roman" w:eastAsia="Times New Roman"/>
                  </w:rPr>
                  <w:t>无形资产</w:t>
                </w:r>
              </w:p>
            </w:tc>
            <w:tc>
              <w:tcPr>
                <w:tcW w:w="1326" w:type="pct"/>
                <w:tcBorders>
                  <w:top w:val="nil"/>
                  <w:left w:val="single" w:color="auto" w:sz="4" w:space="0"/>
                  <w:bottom w:val="single" w:color="auto" w:sz="4" w:space="0"/>
                  <w:right w:val="single" w:color="auto" w:sz="4" w:space="0"/>
                </w:tcBorders>
                <w:vAlign w:val="center"/>
              </w:tcPr>
              <w:p>
                <w:pPr>
                  <w:widowControl w:val="0"/>
                  <w:jc w:val="right"/>
                </w:pPr>
                <w:r>
                  <w:rPr>
                    <w:rFonts w:hint="eastAsia" w:ascii="Times New Roman" w:eastAsia="Times New Roman"/>
                  </w:rPr>
                  <w:t>20,820,240.27</w:t>
                </w:r>
              </w:p>
            </w:tc>
            <w:tc>
              <w:tcPr>
                <w:tcW w:w="1257" w:type="pct"/>
                <w:tcBorders>
                  <w:top w:val="nil"/>
                  <w:left w:val="single" w:color="auto" w:sz="4" w:space="0"/>
                  <w:bottom w:val="single" w:color="auto" w:sz="4" w:space="0"/>
                  <w:right w:val="single" w:color="auto" w:sz="4" w:space="0"/>
                </w:tcBorders>
                <w:vAlign w:val="center"/>
              </w:tcPr>
              <w:p>
                <w:pPr>
                  <w:widowControl w:val="0"/>
                  <w:jc w:val="right"/>
                </w:pPr>
                <w:r>
                  <w:rPr>
                    <w:rFonts w:hint="eastAsia" w:ascii="Times New Roman" w:eastAsia="Times New Roman"/>
                  </w:rPr>
                  <w:t>21,434,104.83</w:t>
                </w:r>
              </w:p>
            </w:tc>
            <w:tc>
              <w:tcPr>
                <w:tcW w:w="1785" w:type="pct"/>
                <w:tcBorders>
                  <w:top w:val="nil"/>
                  <w:left w:val="single" w:color="auto" w:sz="4" w:space="0"/>
                  <w:bottom w:val="single" w:color="auto" w:sz="4" w:space="0"/>
                  <w:right w:val="single" w:color="auto" w:sz="4" w:space="0"/>
                </w:tcBorders>
              </w:tcPr>
              <w:p>
                <w:pPr>
                  <w:widowControl w:val="0"/>
                  <w:jc w:val="both"/>
                </w:pPr>
                <w:r>
                  <w:rPr>
                    <w:rFonts w:hint="eastAsia" w:ascii="Times New Roman" w:eastAsia="Times New Roman"/>
                  </w:rPr>
                  <w:t>银行借款抵押</w:t>
                </w:r>
                <w:r>
                  <w:rPr>
                    <w:rFonts w:hint="eastAsia" w:ascii="宋体" w:eastAsia="宋体"/>
                  </w:rPr>
                  <w:t>，详见“七、合并财务报表项目注释</w:t>
                </w:r>
                <w:r>
                  <w:rPr>
                    <w:rFonts w:hint="eastAsia" w:ascii="Times New Roman" w:eastAsia="Times New Roman"/>
                  </w:rPr>
                  <w:t>32、短期借款”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nil"/>
                  <w:left w:val="single" w:color="auto" w:sz="4" w:space="0"/>
                  <w:bottom w:val="single" w:color="auto" w:sz="4" w:space="0"/>
                  <w:right w:val="single" w:color="auto" w:sz="4" w:space="0"/>
                </w:tcBorders>
                <w:vAlign w:val="center"/>
              </w:tcPr>
              <w:p>
                <w:pPr>
                  <w:widowControl w:val="0"/>
                  <w:jc w:val="center"/>
                </w:pPr>
                <w:r>
                  <w:rPr>
                    <w:rFonts w:hint="eastAsia" w:ascii="Times New Roman" w:eastAsia="Times New Roman"/>
                  </w:rPr>
                  <w:t>合计</w:t>
                </w:r>
              </w:p>
            </w:tc>
            <w:tc>
              <w:tcPr>
                <w:tcW w:w="1326" w:type="pct"/>
                <w:tcBorders>
                  <w:top w:val="nil"/>
                  <w:left w:val="single" w:color="auto" w:sz="4" w:space="0"/>
                  <w:bottom w:val="single" w:color="auto" w:sz="4" w:space="0"/>
                  <w:right w:val="single" w:color="auto" w:sz="4" w:space="0"/>
                </w:tcBorders>
                <w:vAlign w:val="center"/>
              </w:tcPr>
              <w:p>
                <w:pPr>
                  <w:widowControl w:val="0"/>
                  <w:jc w:val="right"/>
                </w:pPr>
                <w:r>
                  <w:rPr>
                    <w:rFonts w:hint="eastAsia" w:ascii="Times New Roman" w:eastAsia="Times New Roman"/>
                  </w:rPr>
                  <w:t>103,598,846.96</w:t>
                </w:r>
              </w:p>
            </w:tc>
            <w:tc>
              <w:tcPr>
                <w:tcW w:w="1257" w:type="pct"/>
                <w:tcBorders>
                  <w:top w:val="nil"/>
                  <w:left w:val="single" w:color="auto" w:sz="4" w:space="0"/>
                  <w:bottom w:val="single" w:color="auto" w:sz="4" w:space="0"/>
                  <w:right w:val="single" w:color="auto" w:sz="4" w:space="0"/>
                </w:tcBorders>
                <w:vAlign w:val="center"/>
              </w:tcPr>
              <w:p>
                <w:pPr>
                  <w:widowControl w:val="0"/>
                  <w:jc w:val="right"/>
                </w:pPr>
                <w:r>
                  <w:rPr>
                    <w:rFonts w:hint="eastAsia" w:ascii="Times New Roman" w:eastAsia="Times New Roman"/>
                  </w:rPr>
                  <w:t>107,821,714.64</w:t>
                </w:r>
              </w:p>
            </w:tc>
            <w:tc>
              <w:tcPr>
                <w:tcW w:w="1785" w:type="pct"/>
                <w:tcBorders>
                  <w:top w:val="nil"/>
                  <w:left w:val="single" w:color="auto" w:sz="4" w:space="0"/>
                  <w:bottom w:val="single" w:color="auto" w:sz="4" w:space="0"/>
                  <w:right w:val="single" w:color="auto" w:sz="4" w:space="0"/>
                </w:tcBorders>
              </w:tcPr>
              <w:p>
                <w:pPr>
                  <w:widowControl w:val="0"/>
                  <w:jc w:val="both"/>
                </w:pPr>
                <w:r>
                  <w:rPr>
                    <w:rFonts w:hint="eastAsia" w:ascii="Times New Roman" w:eastAsia="Times New Roman"/>
                  </w:rPr>
                  <w:t>/</w:t>
                </w:r>
              </w:p>
            </w:tc>
          </w:tr>
        </w:tbl>
      </w:sdtContent>
    </w:sdt>
    <w:p>
      <w:pPr>
        <w:rPr>
          <w:szCs w:val="21"/>
        </w:rPr>
      </w:pPr>
    </w:p>
    <w:p>
      <w:pPr>
        <w:pStyle w:val="5"/>
        <w:numPr>
          <w:ilvl w:val="0"/>
          <w:numId w:val="12"/>
        </w:numPr>
        <w:rPr>
          <w:rFonts w:hint="eastAsia"/>
        </w:rPr>
      </w:pPr>
      <w:r>
        <w:t>其他说明</w:t>
      </w:r>
    </w:p>
    <w:sdt>
      <w:sdtPr>
        <w:rPr>
          <w:rFonts w:hint="eastAsia"/>
          <w:szCs w:val="21"/>
        </w:rPr>
        <w:alias w:val="是否适用：资产及负债状况的其他说明[双击切换]"/>
        <w:tag w:val="_GBC_364e24c8cf1a4469ba88a4ae16e0417f"/>
        <w:id w:val="5866"/>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4"/>
        <w:numPr>
          <w:ilvl w:val="0"/>
          <w:numId w:val="8"/>
        </w:numPr>
        <w:rPr>
          <w:szCs w:val="21"/>
        </w:rPr>
      </w:pPr>
      <w:r>
        <w:rPr>
          <w:rFonts w:hint="eastAsia"/>
          <w:szCs w:val="21"/>
        </w:rPr>
        <w:t>行业经营性信息分析</w:t>
      </w:r>
    </w:p>
    <w:sdt>
      <w:sdtPr>
        <w:rPr>
          <w:rFonts w:hint="eastAsia"/>
          <w:szCs w:val="21"/>
        </w:rPr>
        <w:alias w:val="是否适用：行业经营性信息分析[双击切换]"/>
        <w:tag w:val="_GBC_8a02ac4934eb426ab273323b8694d88c"/>
        <w:id w:val="5867"/>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szCs w:val="21"/>
        </w:rPr>
        <w:alias w:val="行业经营性信息分析"/>
        <w:tag w:val="_GBC_e16bc1aa6d5e4cdd94278d9bb9b9d44b"/>
        <w:id w:val="5868"/>
        <w:placeholder>
          <w:docPart w:val="GBC22222222222222222222222222222"/>
        </w:placeholder>
      </w:sdtPr>
      <w:sdtEndPr>
        <w:rPr>
          <w:rFonts w:hint="eastAsia"/>
          <w:szCs w:val="21"/>
        </w:rPr>
      </w:sdtEndPr>
      <w:sdtContent>
        <w:p>
          <w:pPr>
            <w:rPr>
              <w:szCs w:val="21"/>
            </w:rPr>
          </w:pPr>
          <w:r>
            <w:rPr>
              <w:rFonts w:hint="eastAsia" w:ascii="宋体" w:eastAsia="宋体"/>
              <w:sz w:val="21"/>
              <w:szCs w:val="21"/>
            </w:rPr>
            <w:t>详见下文。</w:t>
          </w:r>
        </w:p>
      </w:sdtContent>
    </w:sdt>
    <w:sdt>
      <w:sdtPr>
        <w:rPr>
          <w:rFonts w:hint="eastAsia" w:ascii="宋体" w:hAnsi="宋体" w:eastAsia="宋体" w:cs="宋体"/>
          <w:b w:val="0"/>
          <w:bCs w:val="0"/>
          <w:kern w:val="0"/>
          <w:szCs w:val="24"/>
        </w:rPr>
        <w:alias w:val="模块:化工行业经营性信息分析"/>
        <w:tag w:val="_SEC_4281594826bc4e198047a7f9811e3d2d"/>
        <w:id w:val="5869"/>
        <w:placeholder>
          <w:docPart w:val="GBC22222222222222222222222222222"/>
        </w:placeholder>
      </w:sdtPr>
      <w:sdtEndPr>
        <w:rPr>
          <w:rFonts w:hint="eastAsia" w:ascii="Times New Roman" w:hAnsi="Times New Roman" w:eastAsia="宋体" w:cs="Times New Roman"/>
          <w:b w:val="0"/>
          <w:bCs w:val="0"/>
          <w:kern w:val="0"/>
          <w:szCs w:val="20"/>
        </w:rPr>
      </w:sdtEndPr>
      <w:sdtContent>
        <w:sdt>
          <w:sdtPr>
            <w:tag w:val="_PLD_cae504c460f948bbb27ab455a5924dce"/>
            <w:id w:val="5870"/>
          </w:sdtPr>
          <w:sdtEndPr>
            <w:rPr>
              <w:rFonts w:cs="Times New Roman" w:asciiTheme="minorEastAsia" w:hAnsiTheme="minorEastAsia" w:eastAsiaTheme="minorEastAsia"/>
              <w:b/>
              <w:bCs/>
              <w:kern w:val="2"/>
              <w:szCs w:val="28"/>
            </w:rPr>
          </w:sdtEndPr>
          <w:sdtContent>
            <w:p>
              <w:pPr>
                <w:pStyle w:val="5"/>
                <w:ind w:left="360" w:hanging="360"/>
                <w:rPr>
                  <w:rFonts w:hint="eastAsia"/>
                </w:rPr>
              </w:pPr>
              <w:r>
                <w:rPr>
                  <w:rFonts w:hint="eastAsia"/>
                </w:rPr>
                <w:t>化工行业经营性信息分析</w:t>
              </w:r>
            </w:p>
          </w:sdtContent>
        </w:sdt>
        <w:p>
          <w:pPr>
            <w:pStyle w:val="56"/>
            <w:numPr>
              <w:ilvl w:val="0"/>
              <w:numId w:val="13"/>
            </w:numPr>
            <w:spacing w:before="60" w:after="60"/>
            <w:ind w:firstLineChars="0"/>
            <w:outlineLvl w:val="4"/>
            <w:rPr>
              <w:b/>
            </w:rPr>
          </w:pPr>
          <w:r>
            <w:rPr>
              <w:rFonts w:hint="eastAsia"/>
              <w:b/>
            </w:rPr>
            <w:t>行业基本情况</w:t>
          </w:r>
        </w:p>
        <w:p>
          <w:pPr>
            <w:pStyle w:val="56"/>
            <w:numPr>
              <w:ilvl w:val="0"/>
              <w:numId w:val="14"/>
            </w:numPr>
            <w:ind w:firstLineChars="0"/>
            <w:outlineLvl w:val="5"/>
            <w:rPr>
              <w:b/>
            </w:rPr>
          </w:pPr>
          <w:r>
            <w:rPr>
              <w:b/>
            </w:rPr>
            <w:t>行业政策及其变化</w:t>
          </w:r>
        </w:p>
        <w:sdt>
          <w:sdtPr>
            <w:rPr>
              <w:rFonts w:hint="eastAsia"/>
            </w:rPr>
            <w:alias w:val="是否适用：化工行业政策及其变动[双击切换]"/>
            <w:tag w:val="_GBC_cda9e770ae9a44fdb49e4f45dfaa3356"/>
            <w:id w:val="5871"/>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化工行业政策及其变动"/>
            <w:tag w:val="_GBC_3240c5951d294ed68ea4015baa5be749"/>
            <w:id w:val="5872"/>
            <w:placeholder>
              <w:docPart w:val="GBC22222222222222222222222222222"/>
            </w:placeholder>
          </w:sdtPr>
          <w:sdtEndPr>
            <w:rPr>
              <w:rFonts w:hint="eastAsia" w:ascii="Times New Roman" w:hAnsi="Times New Roman"/>
            </w:rPr>
          </w:sdtEndPr>
          <w:sdtContent>
            <w:p>
              <w:pPr>
                <w:pageBreakBefore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报告期内，牙膏行业相关政策法规持续细化完善，监管体系不断迭代升级，多项新政密集出台，对行业发展产生重要影响。政策重点围绕备案流程优化、行业标准提升等方面，持续规范市场秩序，引导行业高质量发展。根据监管要求，已简化备案的牙膏产品需在规定期限内完善备案资料，确保备案工作形成合规闭环。</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国家药监局于2025年12月22日发布《关于牙膏备案管理有关事项的公告》，明确对2021年1月1日后上市且已完成简化备案的牙膏，若满足安全风险评估完备、具备明确安全使用历史等条件，可免于提交口腔黏膜刺激试验报告，为企业降低合规成本、提升备案效率提供了政策支持。与此同时，从严监管要求同步落地：自2025年5月1日起，化妆品及牙膏领域全面实施完整版安全评估制度，要求评估工作覆盖原料数据核查、产品稳定性测试、防腐体系有效性验证等多维度内容，显著提高了产品安全管控门槛。</w:t>
              </w:r>
            </w:p>
            <w:p>
              <w:pPr>
                <w:pageBreakBefore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rPr>
              </w:pPr>
              <w:r>
                <w:rPr>
                  <w:rFonts w:hint="default" w:ascii="Times New Roman" w:hAnsi="Times New Roman" w:eastAsia="宋体" w:cs="Times New Roman"/>
                  <w:sz w:val="21"/>
                  <w:szCs w:val="21"/>
                  <w:lang w:val="en-US" w:eastAsia="zh-CN"/>
                </w:rPr>
                <w:t>整体来看，行业监管日趋规范、严格，既为企业释放政策红利，也对质量管控、合规体系建设提出更高要求，推动行业持续向规范化、高品质方向发展。</w:t>
              </w:r>
            </w:p>
          </w:sdtContent>
        </w:sdt>
        <w:p>
          <w:pPr>
            <w:rPr>
              <w:rFonts w:ascii="Times New Roman" w:hAnsi="Times New Roman"/>
            </w:rPr>
          </w:pPr>
        </w:p>
        <w:p>
          <w:pPr>
            <w:pStyle w:val="56"/>
            <w:numPr>
              <w:ilvl w:val="0"/>
              <w:numId w:val="14"/>
            </w:numPr>
            <w:ind w:firstLineChars="0"/>
            <w:outlineLvl w:val="5"/>
            <w:rPr>
              <w:rFonts w:ascii="Times New Roman" w:hAnsi="Times New Roman"/>
              <w:b/>
            </w:rPr>
          </w:pPr>
          <w:r>
            <w:rPr>
              <w:rFonts w:ascii="Times New Roman" w:hAnsi="Times New Roman"/>
              <w:b/>
            </w:rPr>
            <w:t>主要细分行业的基本情况及公司行业地位</w:t>
          </w:r>
        </w:p>
        <w:sdt>
          <w:sdtPr>
            <w:rPr>
              <w:rFonts w:hint="eastAsia" w:ascii="Times New Roman" w:hAnsi="Times New Roman"/>
            </w:rPr>
            <w:alias w:val="是否适用：化工行业主要细分行业的基本情况及公司行业地位[双击切换]"/>
            <w:tag w:val="_GBC_0acc2e879c37428b86c2d4954e043c23"/>
            <w:id w:val="5873"/>
            <w:placeholder>
              <w:docPart w:val="GBC22222222222222222222222222222"/>
            </w:placeholder>
          </w:sdtPr>
          <w:sdtEndPr>
            <w:rPr>
              <w:rFonts w:hint="eastAsia" w:ascii="Times New Roman" w:hAnsi="Times New Roman"/>
            </w:rPr>
          </w:sdtEndPr>
          <w:sdtContent>
            <w:p>
              <w:pPr>
                <w:rPr>
                  <w:rFonts w:ascii="Times New Roman" w:hAnsi="Times New Roman"/>
                </w:rPr>
              </w:pPr>
              <w:r>
                <w:rPr>
                  <w:rFonts w:ascii="Times New Roman" w:hAnsi="Times New Roman"/>
                </w:rPr>
                <w:fldChar w:fldCharType="begin"/>
              </w:r>
              <w:r>
                <w:rPr>
                  <w:rFonts w:ascii="Times New Roman" w:hAnsi="Times New Roman"/>
                </w:rPr>
                <w:instrText xml:space="preserve"> </w:instrText>
              </w:r>
              <w:r>
                <w:rPr>
                  <w:rFonts w:hint="eastAsia" w:ascii="Times New Roman" w:hAnsi="Times New Roman"/>
                </w:rPr>
                <w:instrText xml:space="preserve">MACROBUTTON  SnrToggleCheckbox √适用 </w:instrText>
              </w:r>
              <w:r>
                <w:rPr>
                  <w:rFonts w:ascii="Times New Roman" w:hAnsi="Times New Roman"/>
                </w:rPr>
                <w:fldChar w:fldCharType="end"/>
              </w:r>
              <w:r>
                <w:rPr>
                  <w:rFonts w:ascii="Times New Roman" w:hAnsi="Times New Roman"/>
                </w:rPr>
                <w:fldChar w:fldCharType="begin"/>
              </w:r>
              <w:r>
                <w:rPr>
                  <w:rFonts w:ascii="Times New Roman" w:hAnsi="Times New Roman"/>
                </w:rPr>
                <w:instrText xml:space="preserve"> MACROBUTTON  SnrToggleCheckbox □不适用 </w:instrText>
              </w:r>
              <w:r>
                <w:rPr>
                  <w:rFonts w:ascii="Times New Roman" w:hAnsi="Times New Roman"/>
                </w:rPr>
                <w:fldChar w:fldCharType="end"/>
              </w:r>
            </w:p>
          </w:sdtContent>
        </w:sdt>
        <w:sdt>
          <w:sdtPr>
            <w:rPr>
              <w:rFonts w:hint="eastAsia" w:ascii="Times New Roman" w:hAnsi="Times New Roman"/>
            </w:rPr>
            <w:alias w:val="化工行业主要细分行业的基本情况及公司行业地位"/>
            <w:tag w:val="_GBC_d9a22887ad144d13b5936f42325f1dab"/>
            <w:id w:val="5874"/>
            <w:placeholder>
              <w:docPart w:val="GBC22222222222222222222222222222"/>
            </w:placeholder>
          </w:sdtPr>
          <w:sdtEndPr>
            <w:rPr>
              <w:rFonts w:hint="eastAsia" w:ascii="Times New Roman" w:hAnsi="Times New Roman"/>
            </w:rPr>
          </w:sdtEndPr>
          <w:sdtContent>
            <w:p>
              <w:pPr>
                <w:spacing w:beforeLines="0" w:afterLines="0" w:line="400" w:lineRule="exact"/>
                <w:ind w:firstLine="420" w:firstLineChars="200"/>
                <w:rPr>
                  <w:rFonts w:hint="eastAsia" w:ascii="Times New Roman" w:hAnsi="Times New Roman" w:eastAsia="宋体" w:cs="宋体"/>
                  <w:sz w:val="21"/>
                  <w:szCs w:val="21"/>
                </w:rPr>
              </w:pPr>
              <w:r>
                <w:rPr>
                  <w:rFonts w:hint="eastAsia" w:ascii="Times New Roman" w:hAnsi="Times New Roman" w:eastAsia="宋体" w:cs="宋体"/>
                  <w:sz w:val="21"/>
                  <w:szCs w:val="21"/>
                </w:rPr>
                <w:t>公司主要从事日化用品的研发、生产和销售，根据证监会《上市公司行业分类指引》（2012年修订），公司归属于“化学原料和化学制品制造业（C26）”。根据国家统计局《国民经济行业分类（GB/T 4754-2017）》，公司归属于“日用化学品制造业（C268）”。</w:t>
              </w:r>
            </w:p>
            <w:p>
              <w:pPr>
                <w:spacing w:beforeLines="0" w:afterLines="0" w:line="400" w:lineRule="exact"/>
                <w:ind w:firstLine="420" w:firstLineChars="200"/>
                <w:rPr>
                  <w:rFonts w:hint="eastAsia" w:ascii="Times New Roman" w:hAnsi="Times New Roman" w:eastAsia="宋体" w:cs="宋体"/>
                  <w:sz w:val="21"/>
                  <w:szCs w:val="21"/>
                </w:rPr>
              </w:pPr>
              <w:r>
                <w:rPr>
                  <w:rFonts w:hint="eastAsia" w:ascii="Times New Roman" w:hAnsi="Times New Roman" w:eastAsia="宋体" w:cs="宋体"/>
                  <w:sz w:val="21"/>
                  <w:szCs w:val="21"/>
                </w:rPr>
                <w:t>当前日化行业规模稳步扩容，在政策深化监管、消费需求升级与技术创新迭代三重驱动下，“监管严格化、竞争分化、国货崛起化”三大特征愈发凸显。国际品牌在高端市场仍保有先发优势，而国货品牌凭借精准细分定位、本土化研发突破及线上渠道深耕，快速抢占市场份额。行业细分领域发展差异显著，线上渠道成为拉动行业增长的核心引擎；其中牙膏市场线上线下格局同步重构，企业在原料创新、功效验证、全渠道融合等维度的竞争日趋白热化。伴随消费者健康理念与环保意识升级，天然成分应用、可降解环保包装等细分市场占比持续攀升，成为行业创新的重要方向。未来，日化企业的核心发展契机在于紧扣监管要求强化合规能力，以技术创新提升产品附加值，深耕数字化营销体系，构建差异化且高信赖度的品牌形象。</w:t>
              </w:r>
            </w:p>
            <w:p>
              <w:pPr>
                <w:ind w:firstLine="316"/>
                <w:rPr>
                  <w:rFonts w:ascii="Times New Roman" w:hAnsi="Times New Roman"/>
                </w:rPr>
              </w:pPr>
              <w:r>
                <w:rPr>
                  <w:rFonts w:hint="eastAsia" w:ascii="Times New Roman" w:hAnsi="Times New Roman" w:eastAsia="宋体"/>
                  <w:b/>
                  <w:sz w:val="21"/>
                  <w:szCs w:val="21"/>
                </w:rPr>
                <w:t>①口腔清洁护理行业</w:t>
              </w:r>
            </w:p>
            <w:p>
              <w:pPr>
                <w:spacing w:beforeLines="0" w:afterLines="0" w:line="400" w:lineRule="exact"/>
                <w:ind w:firstLine="420" w:firstLineChars="200"/>
                <w:rPr>
                  <w:rFonts w:hint="default" w:ascii="Times New Roman" w:hAnsi="Times New Roman" w:eastAsia="宋体" w:cs="宋体"/>
                  <w:sz w:val="21"/>
                  <w:szCs w:val="21"/>
                </w:rPr>
              </w:pPr>
              <w:r>
                <w:rPr>
                  <w:rFonts w:hint="eastAsia" w:ascii="Times New Roman" w:hAnsi="Times New Roman" w:eastAsia="宋体" w:cs="宋体"/>
                  <w:sz w:val="21"/>
                  <w:szCs w:val="21"/>
                </w:rPr>
                <w:t>在日化行业细分赛道中，口腔清洁护理行业依托消费需求升级实现稳健增长，随着国民人均可支配收入提升及“健康中国2030”战略推进，大众对口腔健康重视程度持续加深，叠加不同消费群体需求不断释放，为市场注入强劲活力，行业进出口态势良好、国际化竞争力稳步提升，整体呈现“承压前行、韧性凸显、质量提升”的运行特征，与此同时牙膏纳入化妆品监管的配套体系持续完善，国家药监局密集出台相关政策、细化安全评估与备案要求，推动行业向专业化、合规化转型。市场也从单一清洁功能向护龈、抗敏感、修护等多元化功效延伸，传统浅层护理模式加速向深度护理、个性化护理转变。同时，AI辅助口腔检测、产品体验精细化记录等新型消费行为兴起，带动情感价值与健康价值双重消费增长，为行业创新提供新方向。</w:t>
              </w:r>
            </w:p>
            <w:p>
              <w:pPr>
                <w:spacing w:beforeLines="0" w:afterLines="0" w:line="400" w:lineRule="exact"/>
                <w:ind w:firstLine="420" w:firstLineChars="200"/>
                <w:rPr>
                  <w:rFonts w:hint="default" w:ascii="Times New Roman" w:hAnsi="Times New Roman" w:eastAsia="宋体" w:cs="宋体"/>
                  <w:sz w:val="21"/>
                  <w:szCs w:val="21"/>
                </w:rPr>
              </w:pPr>
              <w:r>
                <w:rPr>
                  <w:rFonts w:hint="eastAsia" w:ascii="Times New Roman" w:hAnsi="Times New Roman" w:eastAsia="宋体" w:cs="宋体"/>
                  <w:sz w:val="21"/>
                  <w:szCs w:val="21"/>
                </w:rPr>
                <w:t>2025年，口腔清洁护理行业竞争格局持续优化变革，外资品牌仍在市场中保有一定竞争优势，但国货品牌市场占有率稳步攀升，头部国货品牌及新锐国货品牌凭借渠道布局、研发创新、营销赋能等核心优势实现突破性发展，推动行业进入中外品牌博弈重构的关键阶段，行业政策调整与格局变革对公司经营产生双重影响，既带来阶段性发展机遇，也提出了更高的经营要求，相关扶持及优化政策有效助力公司降低合规成本、聚焦核心业务创新，同时更高的行业监管门槛也倒逼公司持续强化合规管理体系建设与产品质量全流程管控，后续公司将严格紧跟行业政策导向与发展趋势，持续夯实合规经营基础，聚焦功能性产品研发创新，借力国货崛起浪潮与行业规范化发展契机，不断巩固并扩大市场竞争优势。</w:t>
              </w:r>
            </w:p>
            <w:p>
              <w:pPr>
                <w:ind w:firstLine="316"/>
                <w:rPr>
                  <w:rFonts w:ascii="Times New Roman" w:hAnsi="Times New Roman"/>
                </w:rPr>
              </w:pPr>
              <w:r>
                <w:rPr>
                  <w:rFonts w:hint="eastAsia" w:ascii="Times New Roman" w:hAnsi="Times New Roman" w:eastAsia="宋体"/>
                  <w:b/>
                  <w:sz w:val="21"/>
                  <w:szCs w:val="21"/>
                </w:rPr>
                <w:t>②酒店用品行业</w:t>
              </w:r>
            </w:p>
            <w:p>
              <w:pPr>
                <w:spacing w:beforeLines="0" w:afterLines="0" w:line="400" w:lineRule="exact"/>
                <w:ind w:firstLine="420" w:firstLineChars="200"/>
                <w:rPr>
                  <w:rFonts w:hint="default" w:ascii="Times New Roman" w:hAnsi="Times New Roman" w:eastAsia="宋体" w:cs="宋体"/>
                  <w:sz w:val="21"/>
                  <w:szCs w:val="21"/>
                </w:rPr>
              </w:pPr>
              <w:r>
                <w:rPr>
                  <w:rFonts w:hint="default" w:ascii="Times New Roman" w:hAnsi="Times New Roman" w:eastAsia="宋体" w:cs="宋体"/>
                  <w:sz w:val="21"/>
                  <w:szCs w:val="21"/>
                </w:rPr>
                <w:t xml:space="preserve">2025 年我国酒店用品行业整体承压运行。一方面，酒店扩张节奏放缓、行业投资更趋理性，国内旅游市场虽保持活力，但居民消费趋于理性，人均旅游消费有所回落，短途游、乡村游成为主流，间接影响酒店用品需求结构；另一方面，国家政策鼓励创建 “绿色饭店”，引导酒店行业向绿色化、可持续方向转型，驱动了酒店用品市场需求从“量”向“质”和“绿”转变。在政策引导与市场环保意识不断增强的背景下，环保型酒店用品受到市场广泛青睐，越来越多酒店优先选用环保材料及绿色用品，行业既面临市场竞争加剧、成本上升、消费者需求多样化等挑战，同时也迎来绿色化、高品质发展的重要机遇。 </w:t>
              </w:r>
            </w:p>
            <w:p>
              <w:pPr>
                <w:spacing w:beforeLines="0" w:afterLines="0" w:line="400" w:lineRule="exact"/>
                <w:ind w:firstLine="420" w:firstLineChars="200"/>
                <w:rPr>
                  <w:rFonts w:ascii="Times New Roman" w:hAnsi="Times New Roman"/>
                </w:rPr>
              </w:pPr>
              <w:r>
                <w:rPr>
                  <w:rFonts w:hint="default" w:ascii="Times New Roman" w:hAnsi="Times New Roman" w:eastAsia="宋体" w:cs="宋体"/>
                  <w:sz w:val="21"/>
                  <w:szCs w:val="21"/>
                </w:rPr>
                <w:t>子公司江苏实业公司作为国家高新技术企业，建有中草药功能性日化用品工程技术研究中心，环保与合规体系完善，已通过 GRS 全球回收标准、FSC 森林管理委员会、BSCI 社会责任、GMPC 及能源管理体系等多项权威认证，并获评为</w:t>
              </w:r>
              <w:r>
                <w:rPr>
                  <w:rFonts w:hint="eastAsia" w:cs="宋体"/>
                  <w:sz w:val="21"/>
                  <w:szCs w:val="21"/>
                  <w:lang w:eastAsia="zh-CN"/>
                </w:rPr>
                <w:t>“</w:t>
              </w:r>
              <w:r>
                <w:rPr>
                  <w:rFonts w:hint="default" w:ascii="宋体" w:cs="宋体"/>
                  <w:sz w:val="21"/>
                  <w:szCs w:val="21"/>
                </w:rPr>
                <w:t>江苏省绿色工厂</w:t>
              </w:r>
              <w:r>
                <w:rPr>
                  <w:rFonts w:hint="eastAsia" w:cs="宋体"/>
                  <w:sz w:val="21"/>
                  <w:szCs w:val="21"/>
                  <w:lang w:eastAsia="zh-CN"/>
                </w:rPr>
                <w:t>”</w:t>
              </w:r>
              <w:r>
                <w:rPr>
                  <w:rFonts w:hint="default" w:ascii="Times New Roman" w:hAnsi="Times New Roman" w:eastAsia="宋体" w:cs="宋体"/>
                  <w:sz w:val="21"/>
                  <w:szCs w:val="21"/>
                </w:rPr>
                <w:t>。面对行业发展态势，公司精准布局环保赛道，推出契合政策导向的环保产品，持续提升市场覆盖率，不断巩固在酒店用品行业的领先地位，并针对性响应行业政策变化，持续强化合规管理与创新能力，实现合规经营与高质量发展协同推进。</w:t>
              </w:r>
            </w:p>
          </w:sdtContent>
        </w:sdt>
        <w:p/>
      </w:sdtContent>
    </w:sdt>
    <w:sdt>
      <w:sdtPr>
        <w:rPr>
          <w:rFonts w:hint="eastAsia" w:ascii="宋体" w:hAnsi="宋体" w:cs="宋体"/>
          <w:b/>
          <w:kern w:val="0"/>
          <w:szCs w:val="24"/>
        </w:rPr>
        <w:alias w:val="模块:产品与生产"/>
        <w:tag w:val="_SEC_a36254be42874af59b985efd3acf38ec"/>
        <w:id w:val="5875"/>
        <w:placeholder>
          <w:docPart w:val="GBC22222222222222222222222222222"/>
        </w:placeholder>
      </w:sdtPr>
      <w:sdtEndPr>
        <w:rPr>
          <w:rFonts w:hint="eastAsia" w:ascii="Times New Roman" w:hAnsi="Times New Roman" w:cs="Times New Roman"/>
          <w:b w:val="0"/>
          <w:kern w:val="0"/>
          <w:szCs w:val="20"/>
        </w:rPr>
      </w:sdtEndPr>
      <w:sdtContent>
        <w:p>
          <w:pPr>
            <w:pStyle w:val="56"/>
            <w:numPr>
              <w:ilvl w:val="0"/>
              <w:numId w:val="13"/>
            </w:numPr>
            <w:spacing w:before="60" w:after="60"/>
            <w:ind w:firstLineChars="0"/>
            <w:outlineLvl w:val="4"/>
            <w:rPr>
              <w:b/>
            </w:rPr>
          </w:pPr>
          <w:r>
            <w:rPr>
              <w:rFonts w:hint="eastAsia"/>
              <w:b/>
            </w:rPr>
            <w:t>产品与生产</w:t>
          </w:r>
        </w:p>
        <w:p>
          <w:pPr>
            <w:pStyle w:val="56"/>
            <w:numPr>
              <w:ilvl w:val="0"/>
              <w:numId w:val="15"/>
            </w:numPr>
            <w:ind w:firstLineChars="0"/>
            <w:outlineLvl w:val="5"/>
            <w:rPr>
              <w:b/>
            </w:rPr>
          </w:pPr>
          <w:r>
            <w:rPr>
              <w:b/>
            </w:rPr>
            <w:t>主要经营模式</w:t>
          </w:r>
        </w:p>
        <w:sdt>
          <w:sdtPr>
            <w:rPr>
              <w:rFonts w:hint="eastAsia"/>
            </w:rPr>
            <w:alias w:val="是否适用：化工行业主要经营模式[双击切换]"/>
            <w:tag w:val="_GBC_2adbff8759b1413d92034f5fede71bc9"/>
            <w:id w:val="5876"/>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化工行业主要经营模式"/>
            <w:tag w:val="_GBC_e07461c5d8924ae78937f679ce359f79"/>
            <w:id w:val="5877"/>
            <w:placeholder>
              <w:docPart w:val="GBC22222222222222222222222222222"/>
            </w:placeholder>
          </w:sdtPr>
          <w:sdtEndPr>
            <w:rPr>
              <w:rFonts w:hint="eastAsia"/>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pPr>
              <w:r>
                <w:rPr>
                  <w:rFonts w:hint="eastAsia" w:ascii="宋体" w:eastAsia="宋体"/>
                  <w:b/>
                  <w:sz w:val="21"/>
                  <w:szCs w:val="21"/>
                </w:rPr>
                <w:t>①采购模式</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pPr>
              <w:r>
                <w:rPr>
                  <w:rFonts w:hint="eastAsia" w:ascii="宋体" w:eastAsia="宋体"/>
                  <w:sz w:val="21"/>
                  <w:szCs w:val="21"/>
                </w:rPr>
                <w:t>原料采购采取各业务板块自主采购的模式，各业务板块根据生产需要编制采购计划，采取招标、竞争性谈判、比质比价等不同的采购方式。</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pPr>
              <w:r>
                <w:rPr>
                  <w:rFonts w:hint="eastAsia" w:ascii="宋体" w:eastAsia="宋体"/>
                  <w:b/>
                  <w:sz w:val="21"/>
                  <w:szCs w:val="21"/>
                </w:rPr>
                <w:t>②生产模式</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pPr>
              <w:r>
                <w:rPr>
                  <w:rFonts w:hint="eastAsia" w:ascii="宋体" w:eastAsia="宋体"/>
                  <w:sz w:val="21"/>
                  <w:szCs w:val="21"/>
                </w:rPr>
                <w:t>公司以经营自主品牌为主，少量产品采用代加工的模式，以市场为导向，采取“以销定产”的方式组织生产。</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pPr>
              <w:r>
                <w:rPr>
                  <w:rFonts w:hint="eastAsia" w:ascii="宋体" w:eastAsia="宋体"/>
                  <w:b/>
                  <w:sz w:val="21"/>
                  <w:szCs w:val="21"/>
                </w:rPr>
                <w:t>③销售模式</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pPr>
              <w:r>
                <w:rPr>
                  <w:rFonts w:hint="eastAsia" w:ascii="宋体" w:eastAsia="宋体"/>
                  <w:sz w:val="21"/>
                  <w:szCs w:val="21"/>
                </w:rPr>
                <w:t>公司产品的销售模式主要为线上和线下渠道相结合的方式。主要为线下的经销商渠道和直接供货（直供）渠道。</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pPr>
              <w:r>
                <w:rPr>
                  <w:rFonts w:hint="eastAsia" w:ascii="宋体" w:eastAsia="宋体"/>
                  <w:sz w:val="21"/>
                  <w:szCs w:val="21"/>
                </w:rPr>
                <w:t>（1）线上渠道：主要通过天猫、京东、抖音、拼多多等电商平台，以及直播等方式销售。</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pPr>
              <w:r>
                <w:rPr>
                  <w:rFonts w:hint="eastAsia" w:ascii="宋体" w:eastAsia="宋体"/>
                  <w:sz w:val="21"/>
                  <w:szCs w:val="21"/>
                </w:rPr>
                <w:t>（2）线下渠道：主要包括①通过经销商，将产品覆盖中小超市、便利店、小型连锁超市、酒店、药店等终端网点销售；②直接供货（直供）大型商超</w:t>
              </w:r>
              <w:r>
                <w:rPr>
                  <w:rFonts w:hint="eastAsia" w:ascii="宋体"/>
                  <w:sz w:val="21"/>
                  <w:szCs w:val="21"/>
                  <w:lang w:eastAsia="zh-CN"/>
                </w:rPr>
                <w:t>、</w:t>
              </w:r>
              <w:r>
                <w:rPr>
                  <w:rFonts w:hint="eastAsia" w:ascii="宋体" w:eastAsia="宋体"/>
                  <w:sz w:val="21"/>
                  <w:szCs w:val="21"/>
                </w:rPr>
                <w:t>连锁酒店，如大润发、胖东来、沃尔玛、永辉、亚朵酒店等。</w:t>
              </w:r>
            </w:p>
          </w:sdtContent>
        </w:sdt>
        <w:p/>
        <w:p>
          <w:pPr>
            <w:rPr>
              <w:b/>
            </w:rPr>
          </w:pPr>
          <w:r>
            <w:rPr>
              <w:rFonts w:hint="eastAsia"/>
              <w:b/>
            </w:rPr>
            <w:t>报告期内调整经营模式的主要情况</w:t>
          </w:r>
        </w:p>
        <w:sdt>
          <w:sdtPr>
            <w:rPr>
              <w:rFonts w:hint="eastAsia"/>
            </w:rPr>
            <w:alias w:val="是否适用：化工行业报告期内调整经营模式的主要情况[双击切换]"/>
            <w:tag w:val="_GBC_0c8ad1068e324b94949141ce0987c448"/>
            <w:id w:val="5878"/>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6"/>
            <w:numPr>
              <w:ilvl w:val="0"/>
              <w:numId w:val="15"/>
            </w:numPr>
            <w:ind w:firstLineChars="0"/>
            <w:outlineLvl w:val="5"/>
            <w:rPr>
              <w:szCs w:val="21"/>
            </w:rPr>
          </w:pPr>
          <w:r>
            <w:rPr>
              <w:rFonts w:hint="eastAsia"/>
              <w:b/>
              <w:bCs/>
              <w:szCs w:val="21"/>
            </w:rPr>
            <w:t>主要产品</w:t>
          </w:r>
          <w:r>
            <w:rPr>
              <w:rFonts w:hint="eastAsia"/>
              <w:b/>
            </w:rPr>
            <w:t>情况</w:t>
          </w:r>
        </w:p>
        <w:sdt>
          <w:sdtPr>
            <w:rPr>
              <w:rFonts w:hint="eastAsia"/>
            </w:rPr>
            <w:alias w:val="是否适用：化工行业主要产品情况[双击切换]"/>
            <w:tag w:val="_GBC_b18776f941a54d3380182a3f0bde4d6d"/>
            <w:id w:val="5879"/>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7"/>
            <w:gridCol w:w="1511"/>
            <w:gridCol w:w="2158"/>
            <w:gridCol w:w="1959"/>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vAlign w:val="center"/>
              </w:tcPr>
              <w:sdt>
                <w:sdtPr>
                  <w:tag w:val="_PLD_2691c62940b248cbbb1a93f80e5e0a31"/>
                  <w:id w:val="5880"/>
                </w:sdtPr>
                <w:sdtContent>
                  <w:p>
                    <w:pPr>
                      <w:jc w:val="center"/>
                    </w:pPr>
                    <w:r>
                      <w:rPr>
                        <w:rFonts w:hint="eastAsia"/>
                      </w:rPr>
                      <w:t>产品</w:t>
                    </w:r>
                  </w:p>
                </w:sdtContent>
              </w:sdt>
            </w:tc>
            <w:tc>
              <w:tcPr>
                <w:tcW w:w="1511" w:type="dxa"/>
                <w:vAlign w:val="center"/>
              </w:tcPr>
              <w:sdt>
                <w:sdtPr>
                  <w:tag w:val="_PLD_7eb24d6e9a2d4fb288035b51cde451a8"/>
                  <w:id w:val="5881"/>
                </w:sdtPr>
                <w:sdtContent>
                  <w:p>
                    <w:pPr>
                      <w:jc w:val="center"/>
                    </w:pPr>
                    <w:r>
                      <w:rPr>
                        <w:rFonts w:hint="eastAsia"/>
                      </w:rPr>
                      <w:t>所属细分行业</w:t>
                    </w:r>
                  </w:p>
                </w:sdtContent>
              </w:sdt>
            </w:tc>
            <w:tc>
              <w:tcPr>
                <w:tcW w:w="2158" w:type="dxa"/>
                <w:vAlign w:val="center"/>
              </w:tcPr>
              <w:sdt>
                <w:sdtPr>
                  <w:tag w:val="_PLD_eca8a5eafcc547fe96e358dd8b3fec2b"/>
                  <w:id w:val="5882"/>
                </w:sdtPr>
                <w:sdtContent>
                  <w:p>
                    <w:pPr>
                      <w:jc w:val="center"/>
                    </w:pPr>
                    <w:r>
                      <w:rPr>
                        <w:rFonts w:hint="eastAsia"/>
                      </w:rPr>
                      <w:t>主要上游原材料</w:t>
                    </w:r>
                  </w:p>
                </w:sdtContent>
              </w:sdt>
            </w:tc>
            <w:tc>
              <w:tcPr>
                <w:tcW w:w="1959" w:type="dxa"/>
                <w:vAlign w:val="center"/>
              </w:tcPr>
              <w:sdt>
                <w:sdtPr>
                  <w:tag w:val="_PLD_82c56dab84a444f9919e9a9b6074fb7f"/>
                  <w:id w:val="5883"/>
                </w:sdtPr>
                <w:sdtContent>
                  <w:p>
                    <w:pPr>
                      <w:jc w:val="center"/>
                    </w:pPr>
                    <w:r>
                      <w:rPr>
                        <w:rFonts w:hint="eastAsia"/>
                      </w:rPr>
                      <w:t>主要下游应用领域</w:t>
                    </w:r>
                  </w:p>
                </w:sdtContent>
              </w:sdt>
            </w:tc>
            <w:tc>
              <w:tcPr>
                <w:tcW w:w="1934" w:type="dxa"/>
                <w:vAlign w:val="center"/>
              </w:tcPr>
              <w:sdt>
                <w:sdtPr>
                  <w:tag w:val="_PLD_c56ffced6ccd4f078c49a502361ee439"/>
                  <w:id w:val="5884"/>
                </w:sdtPr>
                <w:sdtContent>
                  <w:p>
                    <w:pPr>
                      <w:jc w:val="center"/>
                    </w:pPr>
                    <w:r>
                      <w:rPr>
                        <w:rFonts w:hint="eastAsia"/>
                      </w:rPr>
                      <w:t>价格主要影响因素</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vAlign w:val="center"/>
              </w:tcPr>
              <w:p>
                <w:pPr>
                  <w:jc w:val="left"/>
                </w:pPr>
                <w:r>
                  <w:rPr>
                    <w:rFonts w:hint="eastAsia"/>
                    <w:color w:val="auto"/>
                  </w:rPr>
                  <w:t>口腔护理用品</w:t>
                </w:r>
              </w:p>
            </w:tc>
            <w:tc>
              <w:tcPr>
                <w:tcW w:w="1511" w:type="dxa"/>
                <w:vAlign w:val="center"/>
              </w:tcPr>
              <w:p>
                <w:pPr>
                  <w:jc w:val="center"/>
                </w:pPr>
                <w:r>
                  <w:rPr>
                    <w:rFonts w:hint="eastAsia"/>
                    <w:color w:val="auto"/>
                  </w:rPr>
                  <w:t>日用化工</w:t>
                </w:r>
              </w:p>
            </w:tc>
            <w:tc>
              <w:tcPr>
                <w:tcW w:w="2158" w:type="dxa"/>
                <w:vAlign w:val="center"/>
              </w:tcPr>
              <w:p>
                <w:pPr>
                  <w:jc w:val="center"/>
                </w:pPr>
                <w:r>
                  <w:rPr>
                    <w:rFonts w:hint="eastAsia"/>
                    <w:color w:val="auto"/>
                  </w:rPr>
                  <w:t>摩擦剂、保湿剂等化工原料、中药</w:t>
                </w:r>
              </w:p>
            </w:tc>
            <w:tc>
              <w:tcPr>
                <w:tcW w:w="1959" w:type="dxa"/>
                <w:vAlign w:val="center"/>
              </w:tcPr>
              <w:p>
                <w:pPr>
                  <w:jc w:val="center"/>
                </w:pPr>
                <w:r>
                  <w:rPr>
                    <w:rFonts w:hint="eastAsia"/>
                    <w:color w:val="auto"/>
                  </w:rPr>
                  <w:t>线上、线下商场超市、经销商</w:t>
                </w:r>
              </w:p>
            </w:tc>
            <w:tc>
              <w:tcPr>
                <w:tcW w:w="1934" w:type="dxa"/>
                <w:vAlign w:val="center"/>
              </w:tcPr>
              <w:p>
                <w:pPr>
                  <w:jc w:val="center"/>
                </w:pPr>
                <w:r>
                  <w:rPr>
                    <w:rFonts w:hint="eastAsia"/>
                    <w:color w:val="auto"/>
                  </w:rPr>
                  <w:t>受摩擦剂、保湿剂等化工原料、中药的价格及商超相关政策的影响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vAlign w:val="center"/>
              </w:tcPr>
              <w:p>
                <w:pPr>
                  <w:jc w:val="left"/>
                </w:pPr>
                <w:r>
                  <w:rPr>
                    <w:rFonts w:hint="eastAsia"/>
                    <w:color w:val="auto"/>
                  </w:rPr>
                  <w:t>酒店用品</w:t>
                </w:r>
              </w:p>
            </w:tc>
            <w:tc>
              <w:tcPr>
                <w:tcW w:w="1511" w:type="dxa"/>
                <w:vAlign w:val="center"/>
              </w:tcPr>
              <w:p>
                <w:pPr>
                  <w:jc w:val="center"/>
                </w:pPr>
                <w:r>
                  <w:rPr>
                    <w:rFonts w:hint="eastAsia"/>
                    <w:color w:val="auto"/>
                  </w:rPr>
                  <w:t>日用化工</w:t>
                </w:r>
              </w:p>
            </w:tc>
            <w:tc>
              <w:tcPr>
                <w:tcW w:w="2158" w:type="dxa"/>
                <w:vAlign w:val="center"/>
              </w:tcPr>
              <w:p>
                <w:pPr>
                  <w:jc w:val="center"/>
                </w:pPr>
                <w:r>
                  <w:rPr>
                    <w:rFonts w:hint="eastAsia"/>
                    <w:color w:val="auto"/>
                  </w:rPr>
                  <w:t>聚丙烯、AES、山梨醇、二氧化硅等化工原料</w:t>
                </w:r>
              </w:p>
            </w:tc>
            <w:tc>
              <w:tcPr>
                <w:tcW w:w="1959" w:type="dxa"/>
                <w:vAlign w:val="center"/>
              </w:tcPr>
              <w:p>
                <w:pPr>
                  <w:jc w:val="center"/>
                </w:pPr>
                <w:r>
                  <w:rPr>
                    <w:rFonts w:hint="eastAsia"/>
                    <w:color w:val="auto"/>
                  </w:rPr>
                  <w:t>酒店、商超、OEM客户和国外</w:t>
                </w:r>
              </w:p>
            </w:tc>
            <w:tc>
              <w:tcPr>
                <w:tcW w:w="1934" w:type="dxa"/>
                <w:vAlign w:val="center"/>
              </w:tcPr>
              <w:p>
                <w:pPr>
                  <w:jc w:val="center"/>
                </w:pPr>
                <w:r>
                  <w:rPr>
                    <w:rFonts w:hint="eastAsia"/>
                    <w:color w:val="auto"/>
                  </w:rPr>
                  <w:t>受上游原料波动影响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87" w:type="dxa"/>
                <w:vAlign w:val="center"/>
              </w:tcPr>
              <w:p>
                <w:pPr>
                  <w:jc w:val="left"/>
                </w:pPr>
                <w:r>
                  <w:rPr>
                    <w:rFonts w:hint="eastAsia"/>
                    <w:color w:val="auto"/>
                  </w:rPr>
                  <w:t>药品</w:t>
                </w:r>
              </w:p>
            </w:tc>
            <w:tc>
              <w:tcPr>
                <w:tcW w:w="1511" w:type="dxa"/>
                <w:vAlign w:val="center"/>
              </w:tcPr>
              <w:p>
                <w:pPr>
                  <w:jc w:val="center"/>
                </w:pPr>
                <w:r>
                  <w:rPr>
                    <w:rFonts w:hint="eastAsia"/>
                    <w:color w:val="auto"/>
                  </w:rPr>
                  <w:t>医药</w:t>
                </w:r>
              </w:p>
            </w:tc>
            <w:tc>
              <w:tcPr>
                <w:tcW w:w="2158" w:type="dxa"/>
                <w:vAlign w:val="center"/>
              </w:tcPr>
              <w:p>
                <w:pPr>
                  <w:jc w:val="center"/>
                </w:pPr>
                <w:r>
                  <w:rPr>
                    <w:rFonts w:hint="eastAsia"/>
                    <w:color w:val="auto"/>
                  </w:rPr>
                  <w:t>银杏叶提取物及化学药品制剂</w:t>
                </w:r>
              </w:p>
            </w:tc>
            <w:tc>
              <w:tcPr>
                <w:tcW w:w="1959" w:type="dxa"/>
                <w:vAlign w:val="center"/>
              </w:tcPr>
              <w:p>
                <w:pPr>
                  <w:jc w:val="center"/>
                </w:pPr>
                <w:r>
                  <w:rPr>
                    <w:rFonts w:hint="eastAsia"/>
                    <w:color w:val="auto"/>
                  </w:rPr>
                  <w:t>经销商、药店、医院</w:t>
                </w:r>
              </w:p>
            </w:tc>
            <w:tc>
              <w:tcPr>
                <w:tcW w:w="1934" w:type="dxa"/>
                <w:vAlign w:val="center"/>
              </w:tcPr>
              <w:p>
                <w:pPr>
                  <w:jc w:val="center"/>
                </w:pPr>
                <w:r>
                  <w:rPr>
                    <w:rFonts w:hint="eastAsia"/>
                    <w:color w:val="auto"/>
                  </w:rPr>
                  <w:t>受银杏叶提取物及化学药品制剂的价格</w:t>
                </w:r>
                <w:r>
                  <w:rPr>
                    <w:rFonts w:hint="eastAsia"/>
                    <w:color w:val="auto"/>
                    <w:lang w:val="en-US" w:eastAsia="zh-CN"/>
                  </w:rPr>
                  <w:t>及</w:t>
                </w:r>
                <w:r>
                  <w:rPr>
                    <w:rFonts w:hint="eastAsia"/>
                    <w:color w:val="auto"/>
                  </w:rPr>
                  <w:t>大宗采购政策的影响</w:t>
                </w:r>
              </w:p>
            </w:tc>
          </w:tr>
        </w:tbl>
        <w:p/>
        <w:p>
          <w:pPr>
            <w:pStyle w:val="56"/>
            <w:numPr>
              <w:ilvl w:val="0"/>
              <w:numId w:val="15"/>
            </w:numPr>
            <w:ind w:firstLineChars="0"/>
            <w:outlineLvl w:val="5"/>
            <w:rPr>
              <w:b/>
            </w:rPr>
          </w:pPr>
          <w:r>
            <w:rPr>
              <w:b/>
            </w:rPr>
            <w:t>研发创新</w:t>
          </w:r>
        </w:p>
        <w:sdt>
          <w:sdtPr>
            <w:rPr>
              <w:rFonts w:hint="eastAsia"/>
            </w:rPr>
            <w:alias w:val="是否适用：化工行业研发创新[双击切换]"/>
            <w:tag w:val="_GBC_1891ab70d37f4acdb4159ba90e8f17da"/>
            <w:id w:val="5885"/>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ascii="宋体" w:hAnsi="宋体" w:eastAsia="宋体" w:cs="宋体"/>
              <w:b w:val="0"/>
              <w:bCs w:val="0"/>
              <w:szCs w:val="24"/>
              <w:lang w:val="en-US" w:eastAsia="zh-CN"/>
            </w:rPr>
            <w:alias w:val="化工行业研发创新"/>
            <w:tag w:val="_GBC_f5a2263825164df38e678dd84136711c"/>
            <w:id w:val="5886"/>
            <w:placeholder>
              <w:docPart w:val="GBC22222222222222222222222222222"/>
            </w:placeholder>
          </w:sdtPr>
          <w:sdtEndPr>
            <w:rPr>
              <w:rFonts w:hint="default" w:ascii="Times New Roman" w:hAnsi="Times New Roman" w:eastAsia="宋体" w:cs="Times New Roman"/>
              <w:b w:val="0"/>
              <w:bCs w:val="0"/>
              <w:szCs w:val="24"/>
              <w:lang w:val="en-US" w:eastAsia="zh-CN"/>
            </w:rPr>
          </w:sdtEndPr>
          <w:sdtContent>
            <w:p>
              <w:pPr>
                <w:keepNext w:val="0"/>
                <w:keepLines w:val="0"/>
                <w:pageBreakBefore w:val="0"/>
                <w:widowControl/>
                <w:kinsoku/>
                <w:wordWrap/>
                <w:overflowPunct/>
                <w:topLinePunct w:val="0"/>
                <w:autoSpaceDE/>
                <w:autoSpaceDN/>
                <w:bidi w:val="0"/>
                <w:adjustRightInd/>
                <w:snapToGrid/>
                <w:spacing w:beforeLines="0" w:afterLines="0" w:line="400" w:lineRule="exact"/>
                <w:ind w:left="0" w:leftChars="0" w:firstLine="420" w:firstLineChars="200"/>
                <w:textAlignment w:val="auto"/>
                <w:rPr>
                  <w:rFonts w:hint="default" w:ascii="Times New Roman" w:hAnsi="Times New Roman" w:eastAsia="宋体" w:cs="Times New Roman"/>
                  <w:b w:val="0"/>
                  <w:bCs w:val="0"/>
                  <w:szCs w:val="24"/>
                  <w:lang w:val="en-US" w:eastAsia="zh-CN"/>
                </w:rPr>
              </w:pPr>
              <w:r>
                <w:rPr>
                  <w:rFonts w:hint="default" w:ascii="Times New Roman" w:hAnsi="Times New Roman" w:eastAsia="宋体" w:cs="Times New Roman"/>
                  <w:b w:val="0"/>
                  <w:bCs w:val="0"/>
                  <w:szCs w:val="24"/>
                  <w:lang w:val="en-US" w:eastAsia="zh-CN"/>
                </w:rPr>
                <w:t>公司始终聚焦中药技术研发与应用核心主业，深耕日化、口腔护理两大赛道，聚力打</w:t>
              </w:r>
              <w:r>
                <w:rPr>
                  <w:rFonts w:hint="eastAsia" w:ascii="宋体" w:hAnsi="宋体" w:eastAsia="宋体" w:cs="宋体"/>
                  <w:b w:val="0"/>
                  <w:bCs w:val="0"/>
                  <w:szCs w:val="24"/>
                  <w:lang w:val="en-US" w:eastAsia="zh-CN"/>
                </w:rPr>
                <w:t>造“中药+日化”特</w:t>
              </w:r>
              <w:r>
                <w:rPr>
                  <w:rFonts w:hint="default" w:ascii="Times New Roman" w:hAnsi="Times New Roman" w:eastAsia="宋体" w:cs="Times New Roman"/>
                  <w:b w:val="0"/>
                  <w:bCs w:val="0"/>
                  <w:szCs w:val="24"/>
                  <w:lang w:val="en-US" w:eastAsia="zh-CN"/>
                </w:rPr>
                <w:t>色差异化竞争优势，实现技术价值与市场价值的深度融合。2025年度，公司累计完成新备案产品68款，其中牙膏40款、化妆品28款。口腔护理板块持续发力，推出8款国内外口腔新品及5款升级产品，覆盖氨基酸密泡、清火清新、超冰爽、小苏打等多个细分品类，可满足温和清洁、口腔养护、口气清新、牙齿美白等多元消费需求；同步配套推出8款牙刷新品，形成“产品+器具”的协同布局，完善口腔护理产品生态。洗化板块稳步拓展，新增11款个人洗护用品，包含沐兰泽桑白皮沐浴露、香樟香氛沐浴露等核心单品，依托中药植萃核心技术打造温和养护的洗护体验；同时推出爆炸盐免搓粉、西柚果蔬洗洁精等3款家居清洁用品，在保障清洁力的同时兼顾环保属性。</w:t>
              </w:r>
            </w:p>
            <w:p>
              <w:pPr>
                <w:keepNext w:val="0"/>
                <w:keepLines w:val="0"/>
                <w:pageBreakBefore w:val="0"/>
                <w:widowControl/>
                <w:kinsoku/>
                <w:wordWrap/>
                <w:overflowPunct/>
                <w:topLinePunct w:val="0"/>
                <w:autoSpaceDE/>
                <w:autoSpaceDN/>
                <w:bidi w:val="0"/>
                <w:adjustRightInd/>
                <w:snapToGrid/>
                <w:spacing w:beforeLines="0" w:afterLines="0" w:line="400" w:lineRule="exact"/>
                <w:ind w:left="0" w:leftChars="0" w:firstLine="420" w:firstLineChars="200"/>
                <w:textAlignment w:val="auto"/>
                <w:rPr>
                  <w:rFonts w:hint="default" w:ascii="Times New Roman" w:hAnsi="Times New Roman" w:eastAsia="宋体" w:cs="Times New Roman"/>
                  <w:b w:val="0"/>
                  <w:bCs w:val="0"/>
                  <w:szCs w:val="24"/>
                  <w:lang w:val="en-US" w:eastAsia="zh-CN"/>
                </w:rPr>
              </w:pPr>
              <w:r>
                <w:rPr>
                  <w:rFonts w:hint="default" w:ascii="Times New Roman" w:hAnsi="Times New Roman" w:eastAsia="宋体" w:cs="Times New Roman"/>
                  <w:b w:val="0"/>
                  <w:bCs w:val="0"/>
                  <w:szCs w:val="24"/>
                  <w:lang w:val="en-US" w:eastAsia="zh-CN"/>
                </w:rPr>
                <w:t>研发端持续攻坚突破，重点布局新原料开发应用、中药提取工艺优化、产品及提取物功效研究、环境微生物防控等基础研发领域。专项研发团队深耕技术迭代升级，通过优化提取工艺提升功效成分利用率，持续强化功效验证与安全性评估工作，为新品研发、产品升级迭代及生产工艺改进提供技术支撑。</w:t>
              </w:r>
            </w:p>
            <w:p>
              <w:pPr>
                <w:keepNext w:val="0"/>
                <w:keepLines w:val="0"/>
                <w:pageBreakBefore w:val="0"/>
                <w:widowControl/>
                <w:kinsoku/>
                <w:wordWrap/>
                <w:overflowPunct/>
                <w:topLinePunct w:val="0"/>
                <w:autoSpaceDE/>
                <w:autoSpaceDN/>
                <w:bidi w:val="0"/>
                <w:adjustRightInd/>
                <w:snapToGrid/>
                <w:spacing w:beforeLines="0" w:afterLines="0" w:line="400" w:lineRule="exact"/>
                <w:ind w:left="0" w:leftChars="0" w:firstLine="420" w:firstLineChars="200"/>
                <w:textAlignment w:val="auto"/>
                <w:rPr>
                  <w:rFonts w:hint="default" w:ascii="Times New Roman" w:hAnsi="Times New Roman" w:eastAsia="宋体" w:cs="Times New Roman"/>
                  <w:b w:val="0"/>
                  <w:bCs w:val="0"/>
                  <w:szCs w:val="24"/>
                  <w:lang w:val="en-US" w:eastAsia="zh-CN"/>
                </w:rPr>
              </w:pPr>
              <w:r>
                <w:rPr>
                  <w:rFonts w:hint="default" w:ascii="Times New Roman" w:hAnsi="Times New Roman" w:eastAsia="宋体" w:cs="Times New Roman"/>
                  <w:b w:val="0"/>
                  <w:bCs w:val="0"/>
                  <w:szCs w:val="24"/>
                  <w:lang w:val="en-US" w:eastAsia="zh-CN"/>
                </w:rPr>
                <w:t>2025年度公司获得专利4项，其中发明专利1项，实用新型专利1项，外观设计专利2项。报告期内作为主要起草单位参与完成国家标准4项，完成行业标准1项。</w:t>
              </w:r>
            </w:p>
          </w:sdtContent>
        </w:sdt>
        <w:p/>
        <w:p>
          <w:pPr>
            <w:pStyle w:val="56"/>
            <w:numPr>
              <w:ilvl w:val="0"/>
              <w:numId w:val="15"/>
            </w:numPr>
            <w:ind w:firstLineChars="0"/>
            <w:outlineLvl w:val="5"/>
            <w:rPr>
              <w:b/>
            </w:rPr>
          </w:pPr>
          <w:r>
            <w:rPr>
              <w:rFonts w:hint="eastAsia"/>
              <w:b/>
            </w:rPr>
            <w:t>生产工艺与流程</w:t>
          </w:r>
        </w:p>
        <w:sdt>
          <w:sdtPr>
            <w:rPr>
              <w:rFonts w:hint="eastAsia"/>
            </w:rPr>
            <w:alias w:val="是否适用：化工行业生产工艺与流程[双击切换]"/>
            <w:tag w:val="_GBC_160544600adc4d3bafa32fbf696b0c7f"/>
            <w:id w:val="5887"/>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化工行业生产工艺与流程"/>
            <w:tag w:val="_GBC_4c01c84dfdf745a7a2283ec539411919"/>
            <w:id w:val="5888"/>
            <w:placeholder>
              <w:docPart w:val="GBC22222222222222222222222222222"/>
            </w:placeholder>
          </w:sdtPr>
          <w:sdtEndPr>
            <w:rPr>
              <w:rFonts w:hint="eastAsia"/>
            </w:rPr>
          </w:sdtEndPr>
          <w:sdtContent>
            <w:p>
              <w:r>
                <w:drawing>
                  <wp:inline distT="0" distB="0" distL="114300" distR="114300">
                    <wp:extent cx="5619750" cy="5330825"/>
                    <wp:effectExtent l="0" t="0" r="0" b="0"/>
                    <wp:docPr id="1" nam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pic:cNvPicPr>
                              <a:picLocks noChangeAspect="1" noChangeArrowheads="1"/>
                            </pic:cNvPicPr>
                          </pic:nvPicPr>
                          <pic:blipFill>
                            <a:blip r:embed="rId6" cstate="print"/>
                            <a:stretch>
                              <a:fillRect/>
                            </a:stretch>
                          </pic:blipFill>
                          <pic:spPr>
                            <a:xfrm>
                              <a:off x="0" y="0"/>
                              <a:ext cx="5619750" cy="5330988"/>
                            </a:xfrm>
                            <a:prstGeom prst="rect">
                              <a:avLst/>
                            </a:prstGeom>
                            <a:noFill/>
                            <a:ln>
                              <a:noFill/>
                            </a:ln>
                          </pic:spPr>
                        </pic:pic>
                      </a:graphicData>
                    </a:graphic>
                  </wp:inline>
                </w:drawing>
              </w:r>
            </w:p>
          </w:sdtContent>
        </w:sdt>
        <w:p/>
        <w:p>
          <w:pPr>
            <w:pStyle w:val="56"/>
            <w:numPr>
              <w:ilvl w:val="0"/>
              <w:numId w:val="15"/>
            </w:numPr>
            <w:ind w:firstLineChars="0"/>
            <w:outlineLvl w:val="5"/>
            <w:rPr>
              <w:b/>
            </w:rPr>
          </w:pPr>
          <w:r>
            <w:rPr>
              <w:rFonts w:hint="eastAsia"/>
              <w:b/>
            </w:rPr>
            <w:t xml:space="preserve"> 产能与开工情况</w:t>
          </w:r>
        </w:p>
        <w:sdt>
          <w:sdtPr>
            <w:rPr>
              <w:rFonts w:hint="eastAsia"/>
            </w:rPr>
            <w:alias w:val="是否适用：化工行业产能与开工情况[双击切换]"/>
            <w:tag w:val="_GBC_7fcddd3465e74e51a60c044b6840cf90"/>
            <w:id w:val="5889"/>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化工行业产能与开工情况"/>
              <w:tag w:val="_GBC_e0d8a820826949a8a23b28f40e8e17d4"/>
              <w:id w:val="589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rPr>
            </w:sdtEndPr>
            <w:sdtContent>
              <w:r>
                <w:rPr>
                  <w:rFonts w:hint="eastAsia"/>
                </w:rPr>
                <w:t>万元</w:t>
              </w:r>
            </w:sdtContent>
          </w:sdt>
          <w:r>
            <w:rPr>
              <w:rFonts w:hint="eastAsia"/>
            </w:rPr>
            <w:t xml:space="preserve">  币种：</w:t>
          </w:r>
          <w:sdt>
            <w:sdtPr>
              <w:rPr>
                <w:rFonts w:hint="eastAsia"/>
              </w:rPr>
              <w:alias w:val="币种：化工行业产能与开工情况"/>
              <w:tag w:val="_GBC_19d01b6d35ae4fe88697cdba9b6a0683"/>
              <w:id w:val="5891"/>
              <w:placeholder>
                <w:docPart w:val="GBC22222222222222222222222222222"/>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8"/>
            <w:gridCol w:w="1509"/>
            <w:gridCol w:w="1170"/>
            <w:gridCol w:w="1230"/>
            <w:gridCol w:w="1080"/>
            <w:gridCol w:w="1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8" w:type="dxa"/>
                <w:vAlign w:val="center"/>
              </w:tcPr>
              <w:sdt>
                <w:sdtPr>
                  <w:tag w:val="_PLD_fbde564c7ed24cdda815e98c33f4b962"/>
                  <w:id w:val="5892"/>
                </w:sdtPr>
                <w:sdtContent>
                  <w:p>
                    <w:pPr>
                      <w:jc w:val="center"/>
                    </w:pPr>
                    <w:r>
                      <w:rPr>
                        <w:rFonts w:hint="eastAsia"/>
                      </w:rPr>
                      <w:t>主要厂区或项目</w:t>
                    </w:r>
                  </w:p>
                </w:sdtContent>
              </w:sdt>
            </w:tc>
            <w:tc>
              <w:tcPr>
                <w:tcW w:w="1509" w:type="dxa"/>
                <w:vAlign w:val="center"/>
              </w:tcPr>
              <w:sdt>
                <w:sdtPr>
                  <w:tag w:val="_PLD_d6f825bb96404b8688d9002b440ab613"/>
                  <w:id w:val="5893"/>
                </w:sdtPr>
                <w:sdtContent>
                  <w:p>
                    <w:pPr>
                      <w:jc w:val="center"/>
                    </w:pPr>
                    <w:r>
                      <w:rPr>
                        <w:rFonts w:hint="eastAsia"/>
                      </w:rPr>
                      <w:t>设计产能</w:t>
                    </w:r>
                  </w:p>
                </w:sdtContent>
              </w:sdt>
            </w:tc>
            <w:tc>
              <w:tcPr>
                <w:tcW w:w="1170" w:type="dxa"/>
                <w:vAlign w:val="center"/>
              </w:tcPr>
              <w:sdt>
                <w:sdtPr>
                  <w:tag w:val="_PLD_5eec35a8383d467fae7084d5ce960990"/>
                  <w:id w:val="5894"/>
                </w:sdtPr>
                <w:sdtContent>
                  <w:p>
                    <w:pPr>
                      <w:jc w:val="center"/>
                    </w:pPr>
                    <w:r>
                      <w:rPr>
                        <w:rFonts w:hint="eastAsia"/>
                      </w:rPr>
                      <w:t>产能利用率（%）</w:t>
                    </w:r>
                  </w:p>
                </w:sdtContent>
              </w:sdt>
            </w:tc>
            <w:tc>
              <w:tcPr>
                <w:tcW w:w="1230" w:type="dxa"/>
                <w:vAlign w:val="center"/>
              </w:tcPr>
              <w:sdt>
                <w:sdtPr>
                  <w:tag w:val="_PLD_460d126f29a84066872aff7474852db4"/>
                  <w:id w:val="5895"/>
                </w:sdtPr>
                <w:sdtContent>
                  <w:p>
                    <w:pPr>
                      <w:jc w:val="center"/>
                    </w:pPr>
                    <w:r>
                      <w:rPr>
                        <w:rFonts w:hint="eastAsia"/>
                      </w:rPr>
                      <w:t>在建产能</w:t>
                    </w:r>
                  </w:p>
                </w:sdtContent>
              </w:sdt>
            </w:tc>
            <w:tc>
              <w:tcPr>
                <w:tcW w:w="1080" w:type="dxa"/>
                <w:vAlign w:val="center"/>
              </w:tcPr>
              <w:sdt>
                <w:sdtPr>
                  <w:tag w:val="_PLD_b2dd8a456973425d93ed77f0d5a7ede2"/>
                  <w:id w:val="5896"/>
                </w:sdtPr>
                <w:sdtContent>
                  <w:p>
                    <w:pPr>
                      <w:jc w:val="center"/>
                    </w:pPr>
                    <w:r>
                      <w:rPr>
                        <w:rFonts w:hint="eastAsia"/>
                      </w:rPr>
                      <w:t>在建产能已投资额</w:t>
                    </w:r>
                  </w:p>
                </w:sdtContent>
              </w:sdt>
            </w:tc>
            <w:tc>
              <w:tcPr>
                <w:tcW w:w="1459" w:type="dxa"/>
                <w:vAlign w:val="center"/>
              </w:tcPr>
              <w:sdt>
                <w:sdtPr>
                  <w:tag w:val="_PLD_55ffa9d0bf6b40d3b04465b4ab39ae00"/>
                  <w:id w:val="5897"/>
                </w:sdtPr>
                <w:sdtContent>
                  <w:p>
                    <w:pPr>
                      <w:jc w:val="center"/>
                    </w:pPr>
                    <w:r>
                      <w:rPr>
                        <w:rFonts w:hint="eastAsia"/>
                      </w:rPr>
                      <w:t>在建产能预计完工时间</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8" w:type="dxa"/>
                <w:vAlign w:val="center"/>
              </w:tcPr>
              <w:p>
                <w:r>
                  <w:rPr>
                    <w:rFonts w:hint="eastAsia"/>
                    <w:color w:val="auto"/>
                  </w:rPr>
                  <w:t>柳州厂区家用牙膏</w:t>
                </w:r>
              </w:p>
            </w:tc>
            <w:tc>
              <w:tcPr>
                <w:tcW w:w="1509" w:type="dxa"/>
                <w:vAlign w:val="center"/>
              </w:tcPr>
              <w:p>
                <w:r>
                  <w:rPr>
                    <w:rFonts w:hint="eastAsia"/>
                    <w:color w:val="auto"/>
                  </w:rPr>
                  <w:t>1.386亿支/年</w:t>
                </w:r>
              </w:p>
            </w:tc>
            <w:tc>
              <w:tcPr>
                <w:tcW w:w="1170" w:type="dxa"/>
                <w:vAlign w:val="center"/>
              </w:tcPr>
              <w:p>
                <w:pPr>
                  <w:jc w:val="right"/>
                  <w:rPr>
                    <w:rFonts w:hint="eastAsia" w:eastAsia="宋体"/>
                    <w:lang w:val="en-US" w:eastAsia="zh-CN"/>
                  </w:rPr>
                </w:pPr>
                <w:r>
                  <w:rPr>
                    <w:rFonts w:hint="eastAsia"/>
                    <w:color w:val="auto"/>
                  </w:rPr>
                  <w:t>34.5</w:t>
                </w:r>
                <w:r>
                  <w:rPr>
                    <w:rFonts w:hint="eastAsia"/>
                    <w:color w:val="auto"/>
                    <w:lang w:val="en-US" w:eastAsia="zh-CN"/>
                  </w:rPr>
                  <w:t>8</w:t>
                </w:r>
              </w:p>
            </w:tc>
            <w:tc>
              <w:tcPr>
                <w:tcW w:w="1230" w:type="dxa"/>
                <w:tcBorders>
                  <w:bottom w:val="single" w:color="auto" w:sz="4" w:space="0"/>
                </w:tcBorders>
                <w:vAlign w:val="center"/>
              </w:tcPr>
              <w:p>
                <w:pPr>
                  <w:jc w:val="right"/>
                </w:pPr>
                <w:r>
                  <w:rPr>
                    <w:rFonts w:hint="eastAsia"/>
                    <w:color w:val="auto"/>
                  </w:rPr>
                  <w:t>/</w:t>
                </w:r>
              </w:p>
            </w:tc>
            <w:tc>
              <w:tcPr>
                <w:tcW w:w="1080" w:type="dxa"/>
                <w:tcBorders>
                  <w:bottom w:val="single" w:color="auto" w:sz="4" w:space="0"/>
                </w:tcBorders>
                <w:vAlign w:val="center"/>
              </w:tcPr>
              <w:p>
                <w:pPr>
                  <w:jc w:val="right"/>
                </w:pPr>
                <w:r>
                  <w:rPr>
                    <w:rFonts w:hint="eastAsia"/>
                    <w:color w:val="auto"/>
                  </w:rPr>
                  <w:t>/</w:t>
                </w:r>
              </w:p>
            </w:tc>
            <w:tc>
              <w:tcPr>
                <w:tcW w:w="1459" w:type="dxa"/>
                <w:tcBorders>
                  <w:bottom w:val="single" w:color="auto" w:sz="4" w:space="0"/>
                </w:tcBorders>
                <w:vAlign w:val="center"/>
              </w:tcPr>
              <w:p>
                <w:pPr>
                  <w:jc w:val="right"/>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8" w:type="dxa"/>
                <w:vAlign w:val="center"/>
              </w:tcPr>
              <w:p>
                <w:r>
                  <w:rPr>
                    <w:rFonts w:hint="eastAsia"/>
                    <w:color w:val="auto"/>
                  </w:rPr>
                  <w:t>酒店用品-牙膏车间</w:t>
                </w:r>
              </w:p>
            </w:tc>
            <w:tc>
              <w:tcPr>
                <w:tcW w:w="1509" w:type="dxa"/>
                <w:vAlign w:val="center"/>
              </w:tcPr>
              <w:p>
                <w:r>
                  <w:rPr>
                    <w:rFonts w:hint="eastAsia"/>
                    <w:color w:val="auto"/>
                  </w:rPr>
                  <w:t>20亿支/年</w:t>
                </w:r>
              </w:p>
            </w:tc>
            <w:tc>
              <w:tcPr>
                <w:tcW w:w="1170" w:type="dxa"/>
                <w:vAlign w:val="center"/>
              </w:tcPr>
              <w:p>
                <w:pPr>
                  <w:jc w:val="right"/>
                  <w:rPr>
                    <w:highlight w:val="none"/>
                  </w:rPr>
                </w:pPr>
                <w:r>
                  <w:rPr>
                    <w:rFonts w:hint="eastAsia"/>
                    <w:color w:val="auto"/>
                    <w:highlight w:val="none"/>
                  </w:rPr>
                  <w:t>90.21</w:t>
                </w:r>
              </w:p>
            </w:tc>
            <w:tc>
              <w:tcPr>
                <w:tcW w:w="1230" w:type="dxa"/>
                <w:tcBorders>
                  <w:bottom w:val="single" w:color="auto" w:sz="4" w:space="0"/>
                </w:tcBorders>
                <w:vAlign w:val="center"/>
              </w:tcPr>
              <w:p>
                <w:pPr>
                  <w:jc w:val="right"/>
                  <w:rPr>
                    <w:highlight w:val="none"/>
                  </w:rPr>
                </w:pPr>
                <w:r>
                  <w:rPr>
                    <w:rFonts w:hint="eastAsia"/>
                    <w:color w:val="auto"/>
                    <w:highlight w:val="none"/>
                  </w:rPr>
                  <w:t>15亿支/年</w:t>
                </w:r>
              </w:p>
            </w:tc>
            <w:tc>
              <w:tcPr>
                <w:tcW w:w="1080" w:type="dxa"/>
                <w:tcBorders>
                  <w:bottom w:val="single" w:color="auto" w:sz="4" w:space="0"/>
                </w:tcBorders>
                <w:vAlign w:val="center"/>
              </w:tcPr>
              <w:p>
                <w:pPr>
                  <w:jc w:val="right"/>
                  <w:rPr>
                    <w:highlight w:val="none"/>
                  </w:rPr>
                </w:pPr>
                <w:r>
                  <w:rPr>
                    <w:rFonts w:hint="eastAsia"/>
                    <w:color w:val="auto"/>
                    <w:highlight w:val="none"/>
                  </w:rPr>
                  <w:t>1,300</w:t>
                </w:r>
              </w:p>
            </w:tc>
            <w:tc>
              <w:tcPr>
                <w:tcW w:w="1459" w:type="dxa"/>
                <w:tcBorders>
                  <w:bottom w:val="single" w:color="auto" w:sz="4" w:space="0"/>
                </w:tcBorders>
                <w:vAlign w:val="center"/>
              </w:tcPr>
              <w:p>
                <w:pPr>
                  <w:jc w:val="right"/>
                  <w:rPr>
                    <w:rFonts w:hint="default" w:eastAsia="宋体"/>
                    <w:highlight w:val="none"/>
                    <w:lang w:val="en-US" w:eastAsia="zh-CN"/>
                  </w:rPr>
                </w:pPr>
                <w:r>
                  <w:rPr>
                    <w:rFonts w:hint="eastAsia"/>
                    <w:highlight w:val="none"/>
                    <w:lang w:val="en-US" w:eastAsia="zh-CN"/>
                  </w:rPr>
                  <w:t>2026.12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8" w:type="dxa"/>
                <w:vAlign w:val="center"/>
              </w:tcPr>
              <w:p>
                <w:r>
                  <w:rPr>
                    <w:rFonts w:hint="eastAsia"/>
                    <w:color w:val="auto"/>
                  </w:rPr>
                  <w:t>酒店用品-洗化车间（软管）</w:t>
                </w:r>
              </w:p>
            </w:tc>
            <w:tc>
              <w:tcPr>
                <w:tcW w:w="1509" w:type="dxa"/>
                <w:vAlign w:val="center"/>
              </w:tcPr>
              <w:p>
                <w:r>
                  <w:rPr>
                    <w:rFonts w:hint="eastAsia"/>
                    <w:color w:val="auto"/>
                  </w:rPr>
                  <w:t>8,970万支/年</w:t>
                </w:r>
              </w:p>
            </w:tc>
            <w:tc>
              <w:tcPr>
                <w:tcW w:w="1170" w:type="dxa"/>
                <w:vAlign w:val="center"/>
              </w:tcPr>
              <w:p>
                <w:pPr>
                  <w:jc w:val="right"/>
                </w:pPr>
                <w:r>
                  <w:rPr>
                    <w:rFonts w:hint="eastAsia"/>
                    <w:color w:val="auto"/>
                  </w:rPr>
                  <w:t>53.03</w:t>
                </w:r>
              </w:p>
            </w:tc>
            <w:tc>
              <w:tcPr>
                <w:tcW w:w="1230" w:type="dxa"/>
                <w:tcBorders>
                  <w:bottom w:val="single" w:color="auto" w:sz="4" w:space="0"/>
                </w:tcBorders>
                <w:vAlign w:val="center"/>
              </w:tcPr>
              <w:p>
                <w:pPr>
                  <w:jc w:val="right"/>
                </w:pPr>
                <w:r>
                  <w:rPr>
                    <w:rFonts w:hint="eastAsia"/>
                    <w:color w:val="auto"/>
                  </w:rPr>
                  <w:t>/</w:t>
                </w:r>
              </w:p>
            </w:tc>
            <w:tc>
              <w:tcPr>
                <w:tcW w:w="1080" w:type="dxa"/>
                <w:tcBorders>
                  <w:bottom w:val="single" w:color="auto" w:sz="4" w:space="0"/>
                </w:tcBorders>
                <w:vAlign w:val="center"/>
              </w:tcPr>
              <w:p>
                <w:pPr>
                  <w:jc w:val="right"/>
                </w:pPr>
                <w:r>
                  <w:rPr>
                    <w:rFonts w:hint="eastAsia"/>
                    <w:color w:val="auto"/>
                  </w:rPr>
                  <w:t>/</w:t>
                </w:r>
              </w:p>
            </w:tc>
            <w:tc>
              <w:tcPr>
                <w:tcW w:w="1459" w:type="dxa"/>
                <w:tcBorders>
                  <w:bottom w:val="single" w:color="auto" w:sz="4" w:space="0"/>
                </w:tcBorders>
                <w:vAlign w:val="center"/>
              </w:tcPr>
              <w:p>
                <w:pPr>
                  <w:jc w:val="right"/>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8" w:type="dxa"/>
                <w:vAlign w:val="center"/>
              </w:tcPr>
              <w:p>
                <w:r>
                  <w:rPr>
                    <w:rFonts w:hint="eastAsia"/>
                    <w:color w:val="auto"/>
                  </w:rPr>
                  <w:t>酒店用品-洗化车间（软管）</w:t>
                </w:r>
              </w:p>
            </w:tc>
            <w:tc>
              <w:tcPr>
                <w:tcW w:w="1509" w:type="dxa"/>
                <w:vAlign w:val="center"/>
              </w:tcPr>
              <w:p>
                <w:r>
                  <w:rPr>
                    <w:rFonts w:hint="eastAsia"/>
                    <w:color w:val="auto"/>
                  </w:rPr>
                  <w:t>1亿支/年</w:t>
                </w:r>
              </w:p>
            </w:tc>
            <w:tc>
              <w:tcPr>
                <w:tcW w:w="1170" w:type="dxa"/>
                <w:vAlign w:val="center"/>
              </w:tcPr>
              <w:p>
                <w:pPr>
                  <w:jc w:val="right"/>
                </w:pPr>
                <w:r>
                  <w:rPr>
                    <w:rFonts w:hint="eastAsia"/>
                    <w:color w:val="auto"/>
                  </w:rPr>
                  <w:t>56.70</w:t>
                </w:r>
              </w:p>
            </w:tc>
            <w:tc>
              <w:tcPr>
                <w:tcW w:w="1230" w:type="dxa"/>
                <w:tcBorders>
                  <w:bottom w:val="single" w:color="auto" w:sz="4" w:space="0"/>
                </w:tcBorders>
                <w:vAlign w:val="center"/>
              </w:tcPr>
              <w:p>
                <w:pPr>
                  <w:jc w:val="right"/>
                </w:pPr>
                <w:r>
                  <w:rPr>
                    <w:rFonts w:hint="eastAsia"/>
                    <w:color w:val="auto"/>
                  </w:rPr>
                  <w:t>/</w:t>
                </w:r>
              </w:p>
            </w:tc>
            <w:tc>
              <w:tcPr>
                <w:tcW w:w="1080" w:type="dxa"/>
                <w:tcBorders>
                  <w:bottom w:val="single" w:color="auto" w:sz="4" w:space="0"/>
                </w:tcBorders>
                <w:vAlign w:val="center"/>
              </w:tcPr>
              <w:p>
                <w:pPr>
                  <w:jc w:val="right"/>
                </w:pPr>
                <w:r>
                  <w:rPr>
                    <w:rFonts w:hint="eastAsia"/>
                    <w:color w:val="auto"/>
                  </w:rPr>
                  <w:t>/</w:t>
                </w:r>
              </w:p>
            </w:tc>
            <w:tc>
              <w:tcPr>
                <w:tcW w:w="1459" w:type="dxa"/>
                <w:tcBorders>
                  <w:bottom w:val="single" w:color="auto" w:sz="4" w:space="0"/>
                </w:tcBorders>
                <w:vAlign w:val="center"/>
              </w:tcPr>
              <w:p>
                <w:pPr>
                  <w:jc w:val="right"/>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8" w:type="dxa"/>
                <w:vAlign w:val="center"/>
              </w:tcPr>
              <w:p>
                <w:r>
                  <w:rPr>
                    <w:rFonts w:hint="eastAsia"/>
                    <w:color w:val="auto"/>
                  </w:rPr>
                  <w:t>医药-胶囊剂生产线</w:t>
                </w:r>
              </w:p>
            </w:tc>
            <w:tc>
              <w:tcPr>
                <w:tcW w:w="1509" w:type="dxa"/>
                <w:vAlign w:val="center"/>
              </w:tcPr>
              <w:p>
                <w:r>
                  <w:rPr>
                    <w:rFonts w:hint="eastAsia"/>
                    <w:color w:val="auto"/>
                  </w:rPr>
                  <w:t>60,000万粒/年</w:t>
                </w:r>
              </w:p>
            </w:tc>
            <w:tc>
              <w:tcPr>
                <w:tcW w:w="1170" w:type="dxa"/>
                <w:vAlign w:val="center"/>
              </w:tcPr>
              <w:p>
                <w:pPr>
                  <w:jc w:val="right"/>
                </w:pPr>
                <w:r>
                  <w:rPr>
                    <w:rFonts w:hint="eastAsia"/>
                    <w:color w:val="auto"/>
                  </w:rPr>
                  <w:t>36.84</w:t>
                </w:r>
              </w:p>
            </w:tc>
            <w:tc>
              <w:tcPr>
                <w:tcW w:w="1230" w:type="dxa"/>
                <w:tcBorders>
                  <w:bottom w:val="single" w:color="auto" w:sz="4" w:space="0"/>
                </w:tcBorders>
                <w:vAlign w:val="center"/>
              </w:tcPr>
              <w:p>
                <w:pPr>
                  <w:jc w:val="right"/>
                </w:pPr>
                <w:r>
                  <w:rPr>
                    <w:rFonts w:hint="eastAsia"/>
                    <w:color w:val="auto"/>
                  </w:rPr>
                  <w:t>/</w:t>
                </w:r>
              </w:p>
            </w:tc>
            <w:tc>
              <w:tcPr>
                <w:tcW w:w="1080" w:type="dxa"/>
                <w:tcBorders>
                  <w:bottom w:val="single" w:color="auto" w:sz="4" w:space="0"/>
                </w:tcBorders>
                <w:vAlign w:val="center"/>
              </w:tcPr>
              <w:p>
                <w:pPr>
                  <w:jc w:val="right"/>
                </w:pPr>
                <w:r>
                  <w:rPr>
                    <w:rFonts w:hint="eastAsia"/>
                    <w:color w:val="auto"/>
                  </w:rPr>
                  <w:t>/</w:t>
                </w:r>
              </w:p>
            </w:tc>
            <w:tc>
              <w:tcPr>
                <w:tcW w:w="1459" w:type="dxa"/>
                <w:tcBorders>
                  <w:bottom w:val="single" w:color="auto" w:sz="4" w:space="0"/>
                </w:tcBorders>
                <w:vAlign w:val="center"/>
              </w:tcPr>
              <w:p>
                <w:pPr>
                  <w:jc w:val="right"/>
                </w:pPr>
                <w:r>
                  <w:rPr>
                    <w:rFonts w:hint="eastAsia"/>
                    <w:color w:val="auto"/>
                  </w:rPr>
                  <w:t>/</w:t>
                </w:r>
              </w:p>
            </w:tc>
          </w:tr>
        </w:tbl>
        <w:p/>
        <w:p>
          <w:pPr>
            <w:rPr>
              <w:b/>
            </w:rPr>
          </w:pPr>
          <w:r>
            <w:rPr>
              <w:rFonts w:hint="eastAsia"/>
              <w:b/>
            </w:rPr>
            <w:t>生产能力的增减情况</w:t>
          </w:r>
        </w:p>
        <w:sdt>
          <w:sdtPr>
            <w:rPr>
              <w:rFonts w:hint="eastAsia"/>
            </w:rPr>
            <w:alias w:val="是否适用：化工行业生产能力的增减情况[双击切换]"/>
            <w:tag w:val="_GBC_ce3d5f34e62c4c0baaffbe7945201f7d"/>
            <w:id w:val="5898"/>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rPr>
              <w:rFonts w:hint="eastAsia"/>
              <w:b/>
            </w:rPr>
            <w:t>产品线及产能结构优化的调整情况</w:t>
          </w:r>
        </w:p>
        <w:sdt>
          <w:sdtPr>
            <w:rPr>
              <w:rFonts w:hint="eastAsia"/>
            </w:rPr>
            <w:alias w:val="是否适用：化工行业产品线及产能结构优化的调整情况[双击切换]"/>
            <w:tag w:val="_GBC_8c2fa0443c2943a2a9acb61b5eb34853"/>
            <w:id w:val="5899"/>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化工行业产品线及产能结构优化的调整情况"/>
            <w:tag w:val="_GBC_e3a38619eef24917acfacb410bbbca99"/>
            <w:id w:val="5900"/>
            <w:placeholder>
              <w:docPart w:val="GBC22222222222222222222222222222"/>
            </w:placeholder>
          </w:sdtPr>
          <w:sdtEndPr>
            <w:rPr>
              <w:rFonts w:hint="eastAsia"/>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pPr>
              <w:r>
                <w:t>报告期内，公司持续推动整个生产系统技术改造工作。母公司完成了洗化车间、洗化设备及仓储升级改造并投入运行，亿康药业颗粒剂生产线完成智能化改造，江苏实业公司推动自动化与精益生产改进。生产技术改造工作进一步提升了生产效率、智能化水平，有效降低生产成本。</w:t>
              </w:r>
            </w:p>
          </w:sdtContent>
        </w:sdt>
        <w:p/>
        <w:p>
          <w:pPr>
            <w:rPr>
              <w:b/>
            </w:rPr>
          </w:pPr>
          <w:r>
            <w:rPr>
              <w:rFonts w:hint="eastAsia"/>
              <w:b/>
            </w:rPr>
            <w:t>非正常停产情况</w:t>
          </w:r>
        </w:p>
        <w:sdt>
          <w:sdtPr>
            <w:rPr>
              <w:rFonts w:hint="eastAsia"/>
            </w:rPr>
            <w:alias w:val="是否适用：化工行业非正常停产情况[双击切换]"/>
            <w:tag w:val="_GBC_d2f5ce48ddda4523a292e8d473bd29bb"/>
            <w:id w:val="5901"/>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sdtContent>
    </w:sdt>
    <w:sdt>
      <w:sdtPr>
        <w:rPr>
          <w:rFonts w:hint="eastAsia" w:ascii="宋体" w:hAnsi="宋体" w:cs="宋体"/>
          <w:kern w:val="0"/>
          <w:szCs w:val="24"/>
        </w:rPr>
        <w:alias w:val="模块:原材料采购"/>
        <w:tag w:val="_SEC_9988bcefa412451a84734305c165948c"/>
        <w:id w:val="5902"/>
        <w:placeholder>
          <w:docPart w:val="GBC22222222222222222222222222222"/>
        </w:placeholder>
      </w:sdtPr>
      <w:sdtEndPr>
        <w:rPr>
          <w:rFonts w:hint="eastAsia" w:ascii="Times New Roman" w:hAnsi="Times New Roman" w:cs="Times New Roman"/>
          <w:kern w:val="0"/>
          <w:szCs w:val="20"/>
        </w:rPr>
      </w:sdtEndPr>
      <w:sdtContent>
        <w:p>
          <w:pPr>
            <w:pStyle w:val="56"/>
            <w:numPr>
              <w:ilvl w:val="0"/>
              <w:numId w:val="13"/>
            </w:numPr>
            <w:spacing w:before="60" w:after="60"/>
            <w:ind w:firstLineChars="0"/>
            <w:outlineLvl w:val="4"/>
            <w:rPr>
              <w:b/>
            </w:rPr>
          </w:pPr>
          <w:r>
            <w:rPr>
              <w:rFonts w:hint="eastAsia"/>
              <w:b/>
            </w:rPr>
            <w:t>原材料采购</w:t>
          </w:r>
        </w:p>
        <w:p>
          <w:pPr>
            <w:pStyle w:val="56"/>
            <w:numPr>
              <w:ilvl w:val="0"/>
              <w:numId w:val="16"/>
            </w:numPr>
            <w:ind w:firstLineChars="0"/>
            <w:outlineLvl w:val="5"/>
            <w:rPr>
              <w:b/>
            </w:rPr>
          </w:pPr>
          <w:r>
            <w:rPr>
              <w:rFonts w:hint="eastAsia"/>
              <w:b/>
            </w:rPr>
            <w:t>主要原材料的基本情况</w:t>
          </w:r>
        </w:p>
        <w:sdt>
          <w:sdtPr>
            <w:rPr>
              <w:rFonts w:hint="eastAsia"/>
            </w:rPr>
            <w:alias w:val="是否适用：化工行业主要原材料的基本情况[双击切换]"/>
            <w:tag w:val="_GBC_6b1034a948704fff974a92cdf60af8fd"/>
            <w:id w:val="5903"/>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9"/>
            <w:gridCol w:w="1478"/>
            <w:gridCol w:w="1473"/>
            <w:gridCol w:w="1473"/>
            <w:gridCol w:w="1473"/>
            <w:gridCol w:w="1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9" w:type="dxa"/>
                <w:vAlign w:val="center"/>
              </w:tcPr>
              <w:sdt>
                <w:sdtPr>
                  <w:tag w:val="_PLD_17b8a770ee1e44f8a07e602b4c0fd3c2"/>
                  <w:id w:val="5904"/>
                </w:sdtPr>
                <w:sdtContent>
                  <w:p>
                    <w:pPr>
                      <w:jc w:val="center"/>
                    </w:pPr>
                    <w:r>
                      <w:rPr>
                        <w:rFonts w:hint="eastAsia"/>
                      </w:rPr>
                      <w:t>主要原材料</w:t>
                    </w:r>
                  </w:p>
                </w:sdtContent>
              </w:sdt>
            </w:tc>
            <w:tc>
              <w:tcPr>
                <w:tcW w:w="1478" w:type="dxa"/>
                <w:vAlign w:val="center"/>
              </w:tcPr>
              <w:sdt>
                <w:sdtPr>
                  <w:tag w:val="_PLD_a25a2d9512d7476aa19ff9940ea1c6af"/>
                  <w:id w:val="5905"/>
                </w:sdtPr>
                <w:sdtContent>
                  <w:p>
                    <w:pPr>
                      <w:jc w:val="center"/>
                    </w:pPr>
                    <w:r>
                      <w:rPr>
                        <w:rFonts w:hint="eastAsia"/>
                      </w:rPr>
                      <w:t>采购模式</w:t>
                    </w:r>
                  </w:p>
                </w:sdtContent>
              </w:sdt>
            </w:tc>
            <w:tc>
              <w:tcPr>
                <w:tcW w:w="1473" w:type="dxa"/>
                <w:vAlign w:val="center"/>
              </w:tcPr>
              <w:sdt>
                <w:sdtPr>
                  <w:tag w:val="_PLD_2c9ded6ced2745e786e31481984f59e9"/>
                  <w:id w:val="5906"/>
                </w:sdtPr>
                <w:sdtContent>
                  <w:p>
                    <w:pPr>
                      <w:jc w:val="center"/>
                    </w:pPr>
                    <w:r>
                      <w:t>结算方式</w:t>
                    </w:r>
                  </w:p>
                </w:sdtContent>
              </w:sdt>
            </w:tc>
            <w:tc>
              <w:tcPr>
                <w:tcW w:w="1473" w:type="dxa"/>
                <w:vAlign w:val="center"/>
              </w:tcPr>
              <w:sdt>
                <w:sdtPr>
                  <w:tag w:val="_PLD_cbf88684848343949991bcfc6a056a9e"/>
                  <w:id w:val="5907"/>
                </w:sdtPr>
                <w:sdtContent>
                  <w:p>
                    <w:pPr>
                      <w:jc w:val="center"/>
                    </w:pPr>
                    <w:r>
                      <w:t>价格同比变动比率（%）</w:t>
                    </w:r>
                  </w:p>
                </w:sdtContent>
              </w:sdt>
            </w:tc>
            <w:tc>
              <w:tcPr>
                <w:tcW w:w="1473" w:type="dxa"/>
                <w:vAlign w:val="center"/>
              </w:tcPr>
              <w:sdt>
                <w:sdtPr>
                  <w:tag w:val="_PLD_79fe1c8aa0f34bb885a48dd9837c0619"/>
                  <w:id w:val="5908"/>
                </w:sdtPr>
                <w:sdtContent>
                  <w:p>
                    <w:pPr>
                      <w:jc w:val="center"/>
                    </w:pPr>
                    <w:r>
                      <w:rPr>
                        <w:rFonts w:hint="eastAsia"/>
                      </w:rPr>
                      <w:t>采购量</w:t>
                    </w:r>
                  </w:p>
                </w:sdtContent>
              </w:sdt>
            </w:tc>
            <w:tc>
              <w:tcPr>
                <w:tcW w:w="1473" w:type="dxa"/>
                <w:vAlign w:val="center"/>
              </w:tcPr>
              <w:sdt>
                <w:sdtPr>
                  <w:tag w:val="_PLD_2c0426295ad74e2ca029b4099b9abd8a"/>
                  <w:id w:val="5909"/>
                </w:sdtPr>
                <w:sdtContent>
                  <w:p>
                    <w:pPr>
                      <w:jc w:val="center"/>
                    </w:pPr>
                    <w:r>
                      <w:rPr>
                        <w:rFonts w:hint="eastAsia"/>
                      </w:rPr>
                      <w:t>耗用量</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9" w:type="dxa"/>
                <w:vAlign w:val="center"/>
              </w:tcPr>
              <w:p>
                <w:r>
                  <w:rPr>
                    <w:rFonts w:hint="eastAsia"/>
                    <w:color w:val="auto"/>
                  </w:rPr>
                  <w:t>二氧化硅</w:t>
                </w:r>
              </w:p>
            </w:tc>
            <w:tc>
              <w:tcPr>
                <w:tcW w:w="1478" w:type="dxa"/>
                <w:vAlign w:val="center"/>
              </w:tcPr>
              <w:p>
                <w:r>
                  <w:rPr>
                    <w:rFonts w:hint="eastAsia"/>
                    <w:color w:val="auto"/>
                  </w:rPr>
                  <w:t>竞争性谈判</w:t>
                </w:r>
              </w:p>
            </w:tc>
            <w:tc>
              <w:tcPr>
                <w:tcW w:w="1473" w:type="dxa"/>
                <w:vAlign w:val="center"/>
              </w:tcPr>
              <w:p>
                <w:r>
                  <w:rPr>
                    <w:rFonts w:hint="eastAsia"/>
                    <w:color w:val="auto"/>
                  </w:rPr>
                  <w:t>货到后按约定账期结算</w:t>
                </w:r>
              </w:p>
            </w:tc>
            <w:tc>
              <w:tcPr>
                <w:tcW w:w="1473" w:type="dxa"/>
                <w:vAlign w:val="center"/>
              </w:tcPr>
              <w:p>
                <w:pPr>
                  <w:jc w:val="right"/>
                </w:pPr>
                <w:r>
                  <w:rPr>
                    <w:rFonts w:hint="eastAsia"/>
                    <w:color w:val="auto"/>
                  </w:rPr>
                  <w:t>-6.00</w:t>
                </w:r>
              </w:p>
            </w:tc>
            <w:tc>
              <w:tcPr>
                <w:tcW w:w="1473" w:type="dxa"/>
                <w:vAlign w:val="center"/>
              </w:tcPr>
              <w:p>
                <w:pPr>
                  <w:jc w:val="right"/>
                </w:pPr>
                <w:r>
                  <w:rPr>
                    <w:rFonts w:hint="eastAsia"/>
                    <w:color w:val="auto"/>
                  </w:rPr>
                  <w:t>约1600吨/年</w:t>
                </w:r>
              </w:p>
            </w:tc>
            <w:tc>
              <w:tcPr>
                <w:tcW w:w="1473" w:type="dxa"/>
                <w:vAlign w:val="center"/>
              </w:tcPr>
              <w:p>
                <w:pPr>
                  <w:jc w:val="right"/>
                </w:pPr>
                <w:r>
                  <w:rPr>
                    <w:rFonts w:hint="eastAsia"/>
                    <w:color w:val="auto"/>
                  </w:rPr>
                  <w:t>约1500吨/年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9" w:type="dxa"/>
                <w:vAlign w:val="center"/>
              </w:tcPr>
              <w:p>
                <w:r>
                  <w:rPr>
                    <w:rFonts w:hint="eastAsia"/>
                    <w:color w:val="auto"/>
                  </w:rPr>
                  <w:t>山梨醇</w:t>
                </w:r>
              </w:p>
            </w:tc>
            <w:tc>
              <w:tcPr>
                <w:tcW w:w="1478" w:type="dxa"/>
                <w:vAlign w:val="center"/>
              </w:tcPr>
              <w:p>
                <w:r>
                  <w:rPr>
                    <w:rFonts w:hint="eastAsia"/>
                    <w:color w:val="auto"/>
                  </w:rPr>
                  <w:t>厂家代理商供货/招标</w:t>
                </w:r>
              </w:p>
            </w:tc>
            <w:tc>
              <w:tcPr>
                <w:tcW w:w="1473" w:type="dxa"/>
                <w:vAlign w:val="center"/>
              </w:tcPr>
              <w:p>
                <w:r>
                  <w:rPr>
                    <w:rFonts w:hint="eastAsia"/>
                    <w:color w:val="auto"/>
                  </w:rPr>
                  <w:t>货到后按约定账期结算</w:t>
                </w:r>
              </w:p>
            </w:tc>
            <w:tc>
              <w:tcPr>
                <w:tcW w:w="1473" w:type="dxa"/>
                <w:vAlign w:val="center"/>
              </w:tcPr>
              <w:p>
                <w:pPr>
                  <w:jc w:val="right"/>
                </w:pPr>
                <w:r>
                  <w:rPr>
                    <w:rFonts w:hint="eastAsia"/>
                    <w:color w:val="auto"/>
                  </w:rPr>
                  <w:t>-5.40</w:t>
                </w:r>
              </w:p>
            </w:tc>
            <w:tc>
              <w:tcPr>
                <w:tcW w:w="1473" w:type="dxa"/>
                <w:vAlign w:val="center"/>
              </w:tcPr>
              <w:p>
                <w:pPr>
                  <w:jc w:val="right"/>
                </w:pPr>
                <w:r>
                  <w:rPr>
                    <w:rFonts w:hint="eastAsia"/>
                    <w:color w:val="auto"/>
                  </w:rPr>
                  <w:t>约8000吨/年</w:t>
                </w:r>
              </w:p>
            </w:tc>
            <w:tc>
              <w:tcPr>
                <w:tcW w:w="1473" w:type="dxa"/>
                <w:vAlign w:val="center"/>
              </w:tcPr>
              <w:p>
                <w:pPr>
                  <w:jc w:val="right"/>
                </w:pPr>
                <w:r>
                  <w:rPr>
                    <w:rFonts w:hint="eastAsia"/>
                    <w:color w:val="auto"/>
                  </w:rPr>
                  <w:t>约7500吨/年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9" w:type="dxa"/>
                <w:vAlign w:val="center"/>
              </w:tcPr>
              <w:p>
                <w:r>
                  <w:rPr>
                    <w:rFonts w:hint="eastAsia"/>
                    <w:color w:val="auto"/>
                  </w:rPr>
                  <w:t>普通聚丙烯</w:t>
                </w:r>
              </w:p>
            </w:tc>
            <w:tc>
              <w:tcPr>
                <w:tcW w:w="1478" w:type="dxa"/>
                <w:vAlign w:val="center"/>
              </w:tcPr>
              <w:p>
                <w:r>
                  <w:rPr>
                    <w:rFonts w:hint="eastAsia"/>
                    <w:color w:val="auto"/>
                  </w:rPr>
                  <w:t>厂家直供</w:t>
                </w:r>
              </w:p>
            </w:tc>
            <w:tc>
              <w:tcPr>
                <w:tcW w:w="1473" w:type="dxa"/>
                <w:vAlign w:val="center"/>
              </w:tcPr>
              <w:p>
                <w:r>
                  <w:rPr>
                    <w:rFonts w:hint="eastAsia"/>
                    <w:color w:val="auto"/>
                  </w:rPr>
                  <w:t>款到发货</w:t>
                </w:r>
              </w:p>
            </w:tc>
            <w:tc>
              <w:tcPr>
                <w:tcW w:w="1473" w:type="dxa"/>
                <w:vAlign w:val="center"/>
              </w:tcPr>
              <w:p>
                <w:pPr>
                  <w:jc w:val="right"/>
                </w:pPr>
                <w:r>
                  <w:rPr>
                    <w:rFonts w:hint="eastAsia"/>
                    <w:color w:val="auto"/>
                  </w:rPr>
                  <w:t>-7.32</w:t>
                </w:r>
              </w:p>
            </w:tc>
            <w:tc>
              <w:tcPr>
                <w:tcW w:w="1473" w:type="dxa"/>
                <w:vAlign w:val="center"/>
              </w:tcPr>
              <w:p>
                <w:pPr>
                  <w:jc w:val="right"/>
                </w:pPr>
                <w:r>
                  <w:rPr>
                    <w:rFonts w:hint="eastAsia"/>
                    <w:color w:val="auto"/>
                  </w:rPr>
                  <w:t>约2880吨/年</w:t>
                </w:r>
              </w:p>
            </w:tc>
            <w:tc>
              <w:tcPr>
                <w:tcW w:w="1473" w:type="dxa"/>
                <w:vAlign w:val="center"/>
              </w:tcPr>
              <w:p>
                <w:pPr>
                  <w:jc w:val="right"/>
                </w:pPr>
                <w:r>
                  <w:rPr>
                    <w:rFonts w:hint="eastAsia"/>
                    <w:color w:val="auto"/>
                  </w:rPr>
                  <w:t>约2800吨/年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9" w:type="dxa"/>
                <w:vAlign w:val="center"/>
              </w:tcPr>
              <w:p>
                <w:r>
                  <w:rPr>
                    <w:rFonts w:hint="eastAsia"/>
                    <w:color w:val="auto"/>
                  </w:rPr>
                  <w:t>皂粒</w:t>
                </w:r>
              </w:p>
            </w:tc>
            <w:tc>
              <w:tcPr>
                <w:tcW w:w="1478" w:type="dxa"/>
                <w:vAlign w:val="center"/>
              </w:tcPr>
              <w:p>
                <w:r>
                  <w:rPr>
                    <w:rFonts w:hint="eastAsia"/>
                    <w:color w:val="auto"/>
                  </w:rPr>
                  <w:t>厂家直供</w:t>
                </w:r>
              </w:p>
            </w:tc>
            <w:tc>
              <w:tcPr>
                <w:tcW w:w="1473" w:type="dxa"/>
                <w:vAlign w:val="center"/>
              </w:tcPr>
              <w:p>
                <w:r>
                  <w:rPr>
                    <w:rFonts w:hint="eastAsia"/>
                    <w:color w:val="auto"/>
                  </w:rPr>
                  <w:t>货到后按约定账期结算</w:t>
                </w:r>
              </w:p>
            </w:tc>
            <w:tc>
              <w:tcPr>
                <w:tcW w:w="1473" w:type="dxa"/>
                <w:vAlign w:val="center"/>
              </w:tcPr>
              <w:p>
                <w:pPr>
                  <w:jc w:val="right"/>
                </w:pPr>
                <w:r>
                  <w:rPr>
                    <w:rFonts w:hint="eastAsia"/>
                    <w:color w:val="auto"/>
                  </w:rPr>
                  <w:t>15.3</w:t>
                </w:r>
              </w:p>
            </w:tc>
            <w:tc>
              <w:tcPr>
                <w:tcW w:w="1473" w:type="dxa"/>
                <w:vAlign w:val="center"/>
              </w:tcPr>
              <w:p>
                <w:pPr>
                  <w:jc w:val="right"/>
                </w:pPr>
                <w:r>
                  <w:rPr>
                    <w:rFonts w:hint="eastAsia"/>
                    <w:color w:val="auto"/>
                  </w:rPr>
                  <w:t>约600吨/年</w:t>
                </w:r>
              </w:p>
            </w:tc>
            <w:tc>
              <w:tcPr>
                <w:tcW w:w="1473" w:type="dxa"/>
                <w:vAlign w:val="center"/>
              </w:tcPr>
              <w:p>
                <w:pPr>
                  <w:jc w:val="right"/>
                </w:pPr>
                <w:r>
                  <w:rPr>
                    <w:rFonts w:hint="eastAsia"/>
                    <w:color w:val="auto"/>
                  </w:rPr>
                  <w:t>约570吨/年</w:t>
                </w:r>
              </w:p>
            </w:tc>
          </w:tr>
        </w:tbl>
        <w:p>
          <w:pPr>
            <w:rPr>
              <w:rFonts w:hint="eastAsia"/>
            </w:rPr>
          </w:pPr>
          <w:r>
            <w:rPr>
              <w:rFonts w:hint="eastAsia"/>
            </w:rPr>
            <w:t>主要原材料价格变化对公司营业成本的影响</w:t>
          </w:r>
        </w:p>
        <w:p>
          <w:pPr>
            <w:rPr>
              <w:color w:val="333399"/>
            </w:rPr>
          </w:pPr>
          <w:sdt>
            <w:sdtPr>
              <w:rPr>
                <w:rFonts w:hint="eastAsia"/>
              </w:rPr>
              <w:alias w:val="主要原材料价格变化对公司营业成本的影响"/>
              <w:tag w:val="_GBC_be27a88fbc1c467aab20e44d1c8b6afd"/>
              <w:id w:val="5910"/>
              <w:placeholder>
                <w:docPart w:val="GBC22222222222222222222222222222"/>
              </w:placeholder>
            </w:sdtPr>
            <w:sdtEndPr>
              <w:rPr>
                <w:rFonts w:hint="eastAsia"/>
              </w:rPr>
            </w:sdtEndPr>
            <w:sdtContent>
              <w:r>
                <w:rPr>
                  <w:rFonts w:hint="eastAsia"/>
                </w:rPr>
                <w:t>无</w:t>
              </w:r>
            </w:sdtContent>
          </w:sdt>
        </w:p>
        <w:p/>
        <w:p>
          <w:pPr>
            <w:pStyle w:val="56"/>
            <w:numPr>
              <w:ilvl w:val="0"/>
              <w:numId w:val="16"/>
            </w:numPr>
            <w:ind w:firstLineChars="0"/>
            <w:outlineLvl w:val="5"/>
            <w:rPr>
              <w:b/>
            </w:rPr>
          </w:pPr>
          <w:r>
            <w:rPr>
              <w:rFonts w:hint="eastAsia"/>
              <w:b/>
            </w:rPr>
            <w:t>主要能源的基本情况</w:t>
          </w:r>
        </w:p>
        <w:sdt>
          <w:sdtPr>
            <w:alias w:val="是否适用：主要能源的基本情况[双击切换]"/>
            <w:tag w:val="_GBC_cc4eb794a45d49b7893c62128e0fc77e"/>
            <w:id w:val="5911"/>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6"/>
            <w:numPr>
              <w:ilvl w:val="0"/>
              <w:numId w:val="16"/>
            </w:numPr>
            <w:ind w:firstLineChars="0"/>
            <w:outlineLvl w:val="5"/>
            <w:rPr>
              <w:b/>
            </w:rPr>
          </w:pPr>
          <w:r>
            <w:rPr>
              <w:rFonts w:hint="eastAsia"/>
              <w:b/>
            </w:rPr>
            <w:t>原材料价格波动风险应对措施</w:t>
          </w:r>
        </w:p>
        <w:p>
          <w:pPr>
            <w:rPr>
              <w:b/>
            </w:rPr>
          </w:pPr>
          <w:r>
            <w:rPr>
              <w:rFonts w:hint="eastAsia"/>
              <w:b/>
            </w:rPr>
            <w:t>持有衍生品等金融产品的主要情况</w:t>
          </w:r>
        </w:p>
        <w:sdt>
          <w:sdtPr>
            <w:rPr>
              <w:rFonts w:hint="eastAsia"/>
            </w:rPr>
            <w:alias w:val="是否适用：化工行业持有衍生品等金融产品的主要情况[双击切换]"/>
            <w:tag w:val="_GBC_9b379411fcb548b994a0428872d2bce6"/>
            <w:id w:val="5912"/>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6"/>
            <w:numPr>
              <w:ilvl w:val="0"/>
              <w:numId w:val="16"/>
            </w:numPr>
            <w:ind w:firstLineChars="0"/>
            <w:outlineLvl w:val="5"/>
            <w:rPr>
              <w:b/>
            </w:rPr>
          </w:pPr>
          <w:r>
            <w:rPr>
              <w:rFonts w:hint="eastAsia"/>
              <w:b/>
            </w:rPr>
            <w:t>采用阶段性储备等其他方式的基本情况</w:t>
          </w:r>
        </w:p>
        <w:sdt>
          <w:sdtPr>
            <w:rPr>
              <w:rFonts w:hint="eastAsia"/>
            </w:rPr>
            <w:alias w:val="是否适用：采用阶段性储备等其他方式的基本情况[双击切换]"/>
            <w:tag w:val="_GBC_45c8ae2aaac24573a0544c1a06d2a8c8"/>
            <w:id w:val="5913"/>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sdtContent>
    </w:sdt>
    <w:sdt>
      <w:sdtPr>
        <w:rPr>
          <w:rFonts w:hint="eastAsia" w:ascii="宋体" w:hAnsi="宋体" w:cs="宋体"/>
          <w:kern w:val="0"/>
          <w:szCs w:val="24"/>
        </w:rPr>
        <w:alias w:val="模块:产品销售情况"/>
        <w:tag w:val="_SEC_7ef3cdb19553404bb0f23ca3314d94a5"/>
        <w:id w:val="5914"/>
        <w:placeholder>
          <w:docPart w:val="GBC22222222222222222222222222222"/>
        </w:placeholder>
      </w:sdtPr>
      <w:sdtEndPr>
        <w:rPr>
          <w:rFonts w:hint="eastAsia" w:ascii="Times New Roman" w:hAnsi="Times New Roman" w:cs="Times New Roman"/>
          <w:kern w:val="0"/>
          <w:szCs w:val="20"/>
        </w:rPr>
      </w:sdtEndPr>
      <w:sdtContent>
        <w:p>
          <w:pPr>
            <w:pStyle w:val="56"/>
            <w:numPr>
              <w:ilvl w:val="0"/>
              <w:numId w:val="13"/>
            </w:numPr>
            <w:spacing w:before="60" w:after="60"/>
            <w:ind w:firstLineChars="0"/>
            <w:outlineLvl w:val="4"/>
            <w:rPr>
              <w:b/>
            </w:rPr>
          </w:pPr>
          <w:r>
            <w:rPr>
              <w:rFonts w:hint="eastAsia"/>
              <w:b/>
            </w:rPr>
            <w:t>产品销售情况</w:t>
          </w:r>
        </w:p>
        <w:p>
          <w:pPr>
            <w:pStyle w:val="56"/>
            <w:numPr>
              <w:ilvl w:val="0"/>
              <w:numId w:val="17"/>
            </w:numPr>
            <w:ind w:firstLineChars="0"/>
            <w:outlineLvl w:val="5"/>
            <w:rPr>
              <w:b/>
            </w:rPr>
          </w:pPr>
          <w:r>
            <w:rPr>
              <w:rFonts w:hint="eastAsia"/>
              <w:b/>
            </w:rPr>
            <w:t>按细分行业划分的公司主营业务基本情况</w:t>
          </w:r>
        </w:p>
        <w:sdt>
          <w:sdtPr>
            <w:rPr>
              <w:rFonts w:hint="eastAsia"/>
            </w:rPr>
            <w:alias w:val="是否适用：化工行业按细分行业划分的公司主营业务基本情况[双击切换]"/>
            <w:tag w:val="_GBC_7219b5925af04d32ab834568fa0f3fbd"/>
            <w:id w:val="5915"/>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化工行业按细分行业划分的公司主营业务基本情况"/>
              <w:tag w:val="_GBC_7f298cbd8e564771b396648324cbf0d3"/>
              <w:id w:val="591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化工行业按细分行业划分的公司主营业务基本情况"/>
              <w:tag w:val="_GBC_8aa2c635565c4ae499e2c5724bab8575"/>
              <w:id w:val="591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612"/>
            <w:gridCol w:w="1669"/>
            <w:gridCol w:w="829"/>
            <w:gridCol w:w="1080"/>
            <w:gridCol w:w="884"/>
            <w:gridCol w:w="1058"/>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sdt>
                <w:sdtPr>
                  <w:tag w:val="_PLD_33bfef2deda0478086a41a1526956bd0"/>
                  <w:id w:val="5918"/>
                </w:sdtPr>
                <w:sdtContent>
                  <w:p>
                    <w:pPr>
                      <w:jc w:val="center"/>
                    </w:pPr>
                    <w:r>
                      <w:rPr>
                        <w:rFonts w:hint="eastAsia"/>
                      </w:rPr>
                      <w:t>细分行业</w:t>
                    </w:r>
                  </w:p>
                </w:sdtContent>
              </w:sdt>
            </w:tc>
            <w:tc>
              <w:tcPr>
                <w:tcW w:w="1612" w:type="dxa"/>
                <w:vAlign w:val="center"/>
              </w:tcPr>
              <w:sdt>
                <w:sdtPr>
                  <w:tag w:val="_PLD_42e7290d6b51465483cd9dcac356b8ca"/>
                  <w:id w:val="5919"/>
                </w:sdtPr>
                <w:sdtContent>
                  <w:p>
                    <w:pPr>
                      <w:jc w:val="center"/>
                    </w:pPr>
                    <w:r>
                      <w:rPr>
                        <w:rFonts w:hint="eastAsia"/>
                      </w:rPr>
                      <w:t>营业收入</w:t>
                    </w:r>
                  </w:p>
                </w:sdtContent>
              </w:sdt>
            </w:tc>
            <w:tc>
              <w:tcPr>
                <w:tcW w:w="1669" w:type="dxa"/>
                <w:vAlign w:val="center"/>
              </w:tcPr>
              <w:sdt>
                <w:sdtPr>
                  <w:tag w:val="_PLD_5ff4e46af8094b0994f908d5220ee12b"/>
                  <w:id w:val="5920"/>
                </w:sdtPr>
                <w:sdtContent>
                  <w:p>
                    <w:pPr>
                      <w:jc w:val="center"/>
                    </w:pPr>
                    <w:r>
                      <w:rPr>
                        <w:rFonts w:hint="eastAsia"/>
                      </w:rPr>
                      <w:t>营业成本</w:t>
                    </w:r>
                  </w:p>
                </w:sdtContent>
              </w:sdt>
            </w:tc>
            <w:tc>
              <w:tcPr>
                <w:tcW w:w="829" w:type="dxa"/>
                <w:vAlign w:val="center"/>
              </w:tcPr>
              <w:sdt>
                <w:sdtPr>
                  <w:tag w:val="_PLD_3ca4a96652eb47b492e14b97ee7412e3"/>
                  <w:id w:val="5921"/>
                </w:sdtPr>
                <w:sdtContent>
                  <w:p>
                    <w:pPr>
                      <w:jc w:val="center"/>
                    </w:pPr>
                    <w:r>
                      <w:rPr>
                        <w:rFonts w:hint="eastAsia"/>
                      </w:rPr>
                      <w:t>毛利率(%)</w:t>
                    </w:r>
                  </w:p>
                </w:sdtContent>
              </w:sdt>
            </w:tc>
            <w:tc>
              <w:tcPr>
                <w:tcW w:w="1080" w:type="dxa"/>
                <w:vAlign w:val="center"/>
              </w:tcPr>
              <w:sdt>
                <w:sdtPr>
                  <w:tag w:val="_PLD_283997e4d7e243eeb6aa838ce9c6e32b"/>
                  <w:id w:val="5922"/>
                </w:sdtPr>
                <w:sdtContent>
                  <w:p>
                    <w:pPr>
                      <w:jc w:val="center"/>
                    </w:pPr>
                    <w:r>
                      <w:rPr>
                        <w:rFonts w:hint="eastAsia"/>
                      </w:rPr>
                      <w:t>营业收入比上年增减（%）</w:t>
                    </w:r>
                  </w:p>
                </w:sdtContent>
              </w:sdt>
            </w:tc>
            <w:tc>
              <w:tcPr>
                <w:tcW w:w="884" w:type="dxa"/>
                <w:vAlign w:val="center"/>
              </w:tcPr>
              <w:sdt>
                <w:sdtPr>
                  <w:tag w:val="_PLD_ff4ebc0ac95545c38dc343fb34e5b428"/>
                  <w:id w:val="5923"/>
                </w:sdtPr>
                <w:sdtContent>
                  <w:p>
                    <w:pPr>
                      <w:jc w:val="center"/>
                    </w:pPr>
                    <w:r>
                      <w:rPr>
                        <w:rFonts w:hint="eastAsia"/>
                      </w:rPr>
                      <w:t>营业成本比上年增减（%）</w:t>
                    </w:r>
                  </w:p>
                </w:sdtContent>
              </w:sdt>
            </w:tc>
            <w:tc>
              <w:tcPr>
                <w:tcW w:w="1058" w:type="dxa"/>
                <w:vAlign w:val="center"/>
              </w:tcPr>
              <w:sdt>
                <w:sdtPr>
                  <w:tag w:val="_PLD_133ae5a657f14c6287d04a20b812ed20"/>
                  <w:id w:val="5924"/>
                </w:sdtPr>
                <w:sdtContent>
                  <w:p>
                    <w:pPr>
                      <w:jc w:val="center"/>
                    </w:pPr>
                    <w:r>
                      <w:rPr>
                        <w:rFonts w:hint="eastAsia"/>
                      </w:rPr>
                      <w:t>毛利率比上年增减（%）</w:t>
                    </w:r>
                  </w:p>
                </w:sdtContent>
              </w:sdt>
            </w:tc>
            <w:tc>
              <w:tcPr>
                <w:tcW w:w="1102" w:type="dxa"/>
                <w:vAlign w:val="center"/>
              </w:tcPr>
              <w:sdt>
                <w:sdtPr>
                  <w:tag w:val="_PLD_34cdc52b87fa4e7b92cd903d02fb1217"/>
                  <w:id w:val="5925"/>
                </w:sdtPr>
                <w:sdtContent>
                  <w:p>
                    <w:pPr>
                      <w:jc w:val="center"/>
                    </w:pPr>
                    <w:r>
                      <w:rPr>
                        <w:rFonts w:hint="eastAsia"/>
                      </w:rPr>
                      <w:t>同行业同领域产品毛利率情况</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jc w:val="center"/>
                </w:pPr>
                <w:r>
                  <w:rPr>
                    <w:rFonts w:hint="eastAsia"/>
                    <w:color w:val="auto"/>
                  </w:rPr>
                  <w:t>日化产品</w:t>
                </w:r>
              </w:p>
            </w:tc>
            <w:tc>
              <w:tcPr>
                <w:tcW w:w="1612" w:type="dxa"/>
                <w:vAlign w:val="center"/>
              </w:tcPr>
              <w:p>
                <w:pPr>
                  <w:jc w:val="right"/>
                </w:pPr>
                <w:r>
                  <w:rPr>
                    <w:rFonts w:hint="eastAsia"/>
                    <w:color w:val="auto"/>
                  </w:rPr>
                  <w:t>932,781,847.95</w:t>
                </w:r>
              </w:p>
            </w:tc>
            <w:tc>
              <w:tcPr>
                <w:tcW w:w="1669" w:type="dxa"/>
                <w:vAlign w:val="center"/>
              </w:tcPr>
              <w:p>
                <w:pPr>
                  <w:jc w:val="right"/>
                </w:pPr>
                <w:r>
                  <w:rPr>
                    <w:rFonts w:hint="eastAsia"/>
                    <w:color w:val="auto"/>
                  </w:rPr>
                  <w:t>807,292,570.31</w:t>
                </w:r>
              </w:p>
            </w:tc>
            <w:tc>
              <w:tcPr>
                <w:tcW w:w="829" w:type="dxa"/>
                <w:vAlign w:val="center"/>
              </w:tcPr>
              <w:p>
                <w:pPr>
                  <w:jc w:val="right"/>
                </w:pPr>
                <w:r>
                  <w:rPr>
                    <w:rFonts w:hint="eastAsia"/>
                    <w:color w:val="auto"/>
                  </w:rPr>
                  <w:t>13.45</w:t>
                </w:r>
              </w:p>
            </w:tc>
            <w:tc>
              <w:tcPr>
                <w:tcW w:w="1080" w:type="dxa"/>
                <w:vAlign w:val="center"/>
              </w:tcPr>
              <w:p>
                <w:pPr>
                  <w:jc w:val="right"/>
                </w:pPr>
                <w:r>
                  <w:rPr>
                    <w:rFonts w:hint="eastAsia"/>
                    <w:color w:val="auto"/>
                  </w:rPr>
                  <w:t>0.42</w:t>
                </w:r>
              </w:p>
            </w:tc>
            <w:tc>
              <w:tcPr>
                <w:tcW w:w="884" w:type="dxa"/>
                <w:vAlign w:val="center"/>
              </w:tcPr>
              <w:p>
                <w:pPr>
                  <w:jc w:val="right"/>
                </w:pPr>
                <w:r>
                  <w:rPr>
                    <w:rFonts w:hint="eastAsia"/>
                    <w:color w:val="auto"/>
                  </w:rPr>
                  <w:t>0.87</w:t>
                </w:r>
              </w:p>
            </w:tc>
            <w:tc>
              <w:tcPr>
                <w:tcW w:w="1058" w:type="dxa"/>
                <w:vAlign w:val="center"/>
              </w:tcPr>
              <w:p>
                <w:pPr>
                  <w:jc w:val="right"/>
                </w:pPr>
                <w:r>
                  <w:rPr>
                    <w:rFonts w:hint="eastAsia"/>
                    <w:color w:val="auto"/>
                  </w:rPr>
                  <w:t>-0.39</w:t>
                </w:r>
              </w:p>
            </w:tc>
            <w:tc>
              <w:tcPr>
                <w:tcW w:w="1102" w:type="dxa"/>
                <w:vAlign w:val="center"/>
              </w:tcPr>
              <w:p>
                <w:pPr>
                  <w:jc w:val="center"/>
                </w:pPr>
                <w:r>
                  <w:rPr>
                    <w:rFonts w:hint="eastAsia"/>
                    <w:color w:val="auto"/>
                  </w:rPr>
                  <w:t>未知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jc w:val="center"/>
                </w:pPr>
                <w:r>
                  <w:rPr>
                    <w:rFonts w:hint="eastAsia"/>
                    <w:color w:val="auto"/>
                  </w:rPr>
                  <w:t>药品</w:t>
                </w:r>
              </w:p>
            </w:tc>
            <w:tc>
              <w:tcPr>
                <w:tcW w:w="1612" w:type="dxa"/>
                <w:vAlign w:val="center"/>
              </w:tcPr>
              <w:p>
                <w:pPr>
                  <w:jc w:val="right"/>
                </w:pPr>
                <w:r>
                  <w:rPr>
                    <w:rFonts w:hint="eastAsia"/>
                    <w:color w:val="auto"/>
                  </w:rPr>
                  <w:t>102,707,247.43</w:t>
                </w:r>
              </w:p>
            </w:tc>
            <w:tc>
              <w:tcPr>
                <w:tcW w:w="1669" w:type="dxa"/>
                <w:vAlign w:val="center"/>
              </w:tcPr>
              <w:p>
                <w:pPr>
                  <w:jc w:val="right"/>
                </w:pPr>
                <w:r>
                  <w:rPr>
                    <w:rFonts w:hint="eastAsia"/>
                    <w:color w:val="auto"/>
                  </w:rPr>
                  <w:t>59,337,598.10</w:t>
                </w:r>
              </w:p>
            </w:tc>
            <w:tc>
              <w:tcPr>
                <w:tcW w:w="829" w:type="dxa"/>
                <w:vAlign w:val="center"/>
              </w:tcPr>
              <w:p>
                <w:pPr>
                  <w:jc w:val="right"/>
                </w:pPr>
                <w:r>
                  <w:rPr>
                    <w:rFonts w:hint="eastAsia"/>
                    <w:color w:val="auto"/>
                  </w:rPr>
                  <w:t>42.23</w:t>
                </w:r>
              </w:p>
            </w:tc>
            <w:tc>
              <w:tcPr>
                <w:tcW w:w="1080" w:type="dxa"/>
                <w:vAlign w:val="center"/>
              </w:tcPr>
              <w:p>
                <w:pPr>
                  <w:jc w:val="right"/>
                </w:pPr>
                <w:r>
                  <w:rPr>
                    <w:rFonts w:hint="eastAsia"/>
                    <w:color w:val="auto"/>
                  </w:rPr>
                  <w:t>-1.11</w:t>
                </w:r>
              </w:p>
            </w:tc>
            <w:tc>
              <w:tcPr>
                <w:tcW w:w="884" w:type="dxa"/>
                <w:vAlign w:val="center"/>
              </w:tcPr>
              <w:p>
                <w:pPr>
                  <w:jc w:val="right"/>
                </w:pPr>
                <w:r>
                  <w:rPr>
                    <w:rFonts w:hint="eastAsia"/>
                    <w:color w:val="auto"/>
                  </w:rPr>
                  <w:t>-4.91</w:t>
                </w:r>
              </w:p>
            </w:tc>
            <w:tc>
              <w:tcPr>
                <w:tcW w:w="1058" w:type="dxa"/>
                <w:vAlign w:val="center"/>
              </w:tcPr>
              <w:p>
                <w:pPr>
                  <w:jc w:val="right"/>
                </w:pPr>
                <w:r>
                  <w:rPr>
                    <w:rFonts w:hint="eastAsia"/>
                    <w:color w:val="auto"/>
                  </w:rPr>
                  <w:t>2.32</w:t>
                </w:r>
              </w:p>
            </w:tc>
            <w:tc>
              <w:tcPr>
                <w:tcW w:w="1102" w:type="dxa"/>
                <w:vAlign w:val="center"/>
              </w:tcPr>
              <w:p>
                <w:pPr>
                  <w:jc w:val="center"/>
                </w:pPr>
                <w:r>
                  <w:rPr>
                    <w:rFonts w:hint="eastAsia"/>
                    <w:color w:val="auto"/>
                  </w:rPr>
                  <w:t>未知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jc w:val="center"/>
                </w:pPr>
                <w:r>
                  <w:rPr>
                    <w:rFonts w:hint="eastAsia" w:ascii="宋体" w:hAnsi="宋体" w:eastAsia="宋体" w:cs="宋体"/>
                    <w:szCs w:val="24"/>
                  </w:rPr>
                  <w:t>商业贸易</w:t>
                </w:r>
              </w:p>
            </w:tc>
            <w:tc>
              <w:tcPr>
                <w:tcW w:w="1612" w:type="dxa"/>
                <w:vAlign w:val="center"/>
              </w:tcPr>
              <w:p>
                <w:pPr>
                  <w:jc w:val="right"/>
                </w:pPr>
                <w:r>
                  <w:rPr>
                    <w:rFonts w:hint="eastAsia"/>
                    <w:color w:val="auto"/>
                  </w:rPr>
                  <w:t>12,718,788.08</w:t>
                </w:r>
              </w:p>
            </w:tc>
            <w:tc>
              <w:tcPr>
                <w:tcW w:w="1669" w:type="dxa"/>
                <w:vAlign w:val="center"/>
              </w:tcPr>
              <w:p>
                <w:pPr>
                  <w:jc w:val="right"/>
                </w:pPr>
                <w:r>
                  <w:rPr>
                    <w:rFonts w:hint="eastAsia"/>
                    <w:color w:val="auto"/>
                  </w:rPr>
                  <w:t>10,824,642.37</w:t>
                </w:r>
              </w:p>
            </w:tc>
            <w:tc>
              <w:tcPr>
                <w:tcW w:w="829" w:type="dxa"/>
                <w:vAlign w:val="center"/>
              </w:tcPr>
              <w:p>
                <w:pPr>
                  <w:jc w:val="right"/>
                </w:pPr>
                <w:r>
                  <w:rPr>
                    <w:rFonts w:hint="eastAsia"/>
                    <w:color w:val="auto"/>
                  </w:rPr>
                  <w:t>14.89</w:t>
                </w:r>
              </w:p>
            </w:tc>
            <w:tc>
              <w:tcPr>
                <w:tcW w:w="1080" w:type="dxa"/>
                <w:vAlign w:val="center"/>
              </w:tcPr>
              <w:p>
                <w:pPr>
                  <w:jc w:val="right"/>
                </w:pPr>
                <w:r>
                  <w:rPr>
                    <w:rFonts w:hint="eastAsia"/>
                    <w:color w:val="auto"/>
                  </w:rPr>
                  <w:t>62.09</w:t>
                </w:r>
              </w:p>
            </w:tc>
            <w:tc>
              <w:tcPr>
                <w:tcW w:w="884" w:type="dxa"/>
                <w:vAlign w:val="center"/>
              </w:tcPr>
              <w:p>
                <w:pPr>
                  <w:jc w:val="right"/>
                </w:pPr>
                <w:r>
                  <w:rPr>
                    <w:rFonts w:hint="eastAsia"/>
                    <w:color w:val="auto"/>
                  </w:rPr>
                  <w:t>48.30</w:t>
                </w:r>
              </w:p>
            </w:tc>
            <w:tc>
              <w:tcPr>
                <w:tcW w:w="1058" w:type="dxa"/>
                <w:vAlign w:val="center"/>
              </w:tcPr>
              <w:p>
                <w:pPr>
                  <w:jc w:val="right"/>
                </w:pPr>
                <w:r>
                  <w:rPr>
                    <w:rFonts w:hint="eastAsia"/>
                    <w:color w:val="auto"/>
                  </w:rPr>
                  <w:t>7.91</w:t>
                </w:r>
              </w:p>
            </w:tc>
            <w:tc>
              <w:tcPr>
                <w:tcW w:w="1102" w:type="dxa"/>
                <w:vAlign w:val="center"/>
              </w:tcPr>
              <w:p>
                <w:pPr>
                  <w:jc w:val="center"/>
                </w:pPr>
                <w:r>
                  <w:rPr>
                    <w:rFonts w:hint="eastAsia"/>
                    <w:color w:val="auto"/>
                  </w:rPr>
                  <w:t>未知</w:t>
                </w:r>
              </w:p>
            </w:tc>
          </w:tr>
        </w:tbl>
        <w:p/>
        <w:p>
          <w:pPr>
            <w:pStyle w:val="56"/>
            <w:numPr>
              <w:ilvl w:val="0"/>
              <w:numId w:val="17"/>
            </w:numPr>
            <w:ind w:firstLineChars="0"/>
            <w:outlineLvl w:val="5"/>
            <w:rPr>
              <w:b/>
            </w:rPr>
          </w:pPr>
          <w:r>
            <w:rPr>
              <w:rFonts w:hint="eastAsia"/>
              <w:b/>
            </w:rPr>
            <w:t>按销售渠道划分的公司主营业务基本情况</w:t>
          </w:r>
        </w:p>
        <w:sdt>
          <w:sdtPr>
            <w:rPr>
              <w:rFonts w:hint="eastAsia"/>
            </w:rPr>
            <w:alias w:val="是否适用：化工行业按销售渠道划分的公司主营业务基本情况[双击切换]"/>
            <w:tag w:val="_GBC_46117592b8f8455f90542f25e14787d5"/>
            <w:id w:val="5926"/>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化工行业按销售渠道划分的公司主营业务基本情况"/>
              <w:tag w:val="_GBC_b55d2ed214b94a66976be9e91a0cd4a6"/>
              <w:id w:val="592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化工行业按销售渠道划分的公司主营业务基本情况"/>
              <w:tag w:val="_GBC_dc0f7d624f6c46088c9bbb104378298e"/>
              <w:id w:val="59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1"/>
            <w:gridCol w:w="3357"/>
            <w:gridCol w:w="3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1" w:type="dxa"/>
                <w:vAlign w:val="center"/>
              </w:tcPr>
              <w:sdt>
                <w:sdtPr>
                  <w:tag w:val="_PLD_96020b9101234d1f877b6d22bef1dfb5"/>
                  <w:id w:val="5929"/>
                </w:sdtPr>
                <w:sdtContent>
                  <w:p>
                    <w:pPr>
                      <w:jc w:val="center"/>
                    </w:pPr>
                    <w:r>
                      <w:rPr>
                        <w:rFonts w:hint="eastAsia"/>
                      </w:rPr>
                      <w:t>销售渠道</w:t>
                    </w:r>
                  </w:p>
                </w:sdtContent>
              </w:sdt>
            </w:tc>
            <w:tc>
              <w:tcPr>
                <w:tcW w:w="3357" w:type="dxa"/>
                <w:vAlign w:val="center"/>
              </w:tcPr>
              <w:sdt>
                <w:sdtPr>
                  <w:tag w:val="_PLD_c5223761afbb454484956a14c082eb3b"/>
                  <w:id w:val="5930"/>
                </w:sdtPr>
                <w:sdtContent>
                  <w:p>
                    <w:pPr>
                      <w:jc w:val="center"/>
                    </w:pPr>
                    <w:r>
                      <w:rPr>
                        <w:rFonts w:hint="eastAsia"/>
                      </w:rPr>
                      <w:t>营业收入</w:t>
                    </w:r>
                  </w:p>
                </w:sdtContent>
              </w:sdt>
            </w:tc>
            <w:tc>
              <w:tcPr>
                <w:tcW w:w="3188" w:type="dxa"/>
                <w:vAlign w:val="center"/>
              </w:tcPr>
              <w:sdt>
                <w:sdtPr>
                  <w:tag w:val="_PLD_6745044c50044d6980b33fbfdce87b4c"/>
                  <w:id w:val="5931"/>
                </w:sdtPr>
                <w:sdtContent>
                  <w:p>
                    <w:pPr>
                      <w:jc w:val="center"/>
                    </w:pPr>
                    <w:r>
                      <w:rPr>
                        <w:rFonts w:hint="eastAsia"/>
                      </w:rPr>
                      <w:t>营业收入比上年增减（%）</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1" w:type="dxa"/>
                <w:vAlign w:val="center"/>
              </w:tcPr>
              <w:p>
                <w:r>
                  <w:rPr>
                    <w:rFonts w:hint="eastAsia"/>
                    <w:color w:val="auto"/>
                  </w:rPr>
                  <w:t>线上</w:t>
                </w:r>
              </w:p>
            </w:tc>
            <w:tc>
              <w:tcPr>
                <w:tcW w:w="3357" w:type="dxa"/>
                <w:vAlign w:val="center"/>
              </w:tcPr>
              <w:p>
                <w:pPr>
                  <w:jc w:val="right"/>
                </w:pPr>
                <w:r>
                  <w:rPr>
                    <w:rFonts w:hint="eastAsia"/>
                    <w:color w:val="auto"/>
                  </w:rPr>
                  <w:t>63,527,338.60</w:t>
                </w:r>
              </w:p>
            </w:tc>
            <w:tc>
              <w:tcPr>
                <w:tcW w:w="3188" w:type="dxa"/>
                <w:vAlign w:val="center"/>
              </w:tcPr>
              <w:p>
                <w:pPr>
                  <w:jc w:val="right"/>
                </w:pPr>
                <w:r>
                  <w:rPr>
                    <w:rFonts w:hint="eastAsia"/>
                    <w:color w:val="auto"/>
                  </w:rPr>
                  <w:t>-9.02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1" w:type="dxa"/>
                <w:vAlign w:val="center"/>
              </w:tcPr>
              <w:p>
                <w:r>
                  <w:rPr>
                    <w:rFonts w:hint="eastAsia"/>
                    <w:color w:val="auto"/>
                  </w:rPr>
                  <w:t>线下</w:t>
                </w:r>
              </w:p>
            </w:tc>
            <w:tc>
              <w:tcPr>
                <w:tcW w:w="3357" w:type="dxa"/>
                <w:vAlign w:val="center"/>
              </w:tcPr>
              <w:p>
                <w:pPr>
                  <w:jc w:val="right"/>
                </w:pPr>
                <w:r>
                  <w:rPr>
                    <w:rFonts w:hint="eastAsia"/>
                    <w:color w:val="auto"/>
                  </w:rPr>
                  <w:t>984,680,544.86</w:t>
                </w:r>
              </w:p>
            </w:tc>
            <w:tc>
              <w:tcPr>
                <w:tcW w:w="3188" w:type="dxa"/>
                <w:vAlign w:val="center"/>
              </w:tcPr>
              <w:p>
                <w:pPr>
                  <w:jc w:val="right"/>
                </w:pPr>
                <w:r>
                  <w:rPr>
                    <w:rFonts w:hint="eastAsia"/>
                    <w:color w:val="auto"/>
                  </w:rPr>
                  <w:t>1.44</w:t>
                </w:r>
              </w:p>
            </w:tc>
          </w:tr>
        </w:tbl>
        <w:p/>
        <w:p>
          <w:pPr>
            <w:rPr>
              <w:b/>
              <w:szCs w:val="21"/>
            </w:rPr>
          </w:pPr>
          <w:r>
            <w:rPr>
              <w:rFonts w:hint="eastAsia"/>
              <w:b/>
              <w:szCs w:val="21"/>
            </w:rPr>
            <w:t>会计政策说明</w:t>
          </w:r>
        </w:p>
        <w:sdt>
          <w:sdtPr>
            <w:rPr>
              <w:rFonts w:hint="eastAsia"/>
            </w:rPr>
            <w:alias w:val="是否适用：化工行业会计政策说明[双击切换]"/>
            <w:tag w:val="_GBC_3c948566226d4a9481555c3321c45549"/>
            <w:id w:val="5932"/>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sdtContent>
    </w:sdt>
    <w:sdt>
      <w:sdtPr>
        <w:rPr>
          <w:rFonts w:hint="eastAsia" w:ascii="宋体" w:hAnsi="宋体" w:cs="宋体"/>
          <w:kern w:val="0"/>
          <w:szCs w:val="24"/>
        </w:rPr>
        <w:alias w:val="模块:环保与安全情况"/>
        <w:tag w:val="_SEC_420ea523272548c9b7531bb4c35e472e"/>
        <w:id w:val="5933"/>
        <w:placeholder>
          <w:docPart w:val="GBC22222222222222222222222222222"/>
        </w:placeholder>
      </w:sdtPr>
      <w:sdtEndPr>
        <w:rPr>
          <w:rFonts w:hint="eastAsia" w:ascii="Times New Roman" w:hAnsi="Times New Roman" w:cs="Times New Roman"/>
          <w:kern w:val="0"/>
          <w:szCs w:val="20"/>
        </w:rPr>
      </w:sdtEndPr>
      <w:sdtContent>
        <w:p>
          <w:pPr>
            <w:pStyle w:val="56"/>
            <w:numPr>
              <w:ilvl w:val="0"/>
              <w:numId w:val="13"/>
            </w:numPr>
            <w:spacing w:before="60" w:after="60"/>
            <w:ind w:firstLineChars="0"/>
            <w:outlineLvl w:val="4"/>
            <w:rPr>
              <w:b/>
            </w:rPr>
          </w:pPr>
          <w:r>
            <w:rPr>
              <w:rFonts w:hint="eastAsia"/>
              <w:b/>
            </w:rPr>
            <w:t>环保与安全情况</w:t>
          </w:r>
        </w:p>
        <w:p>
          <w:pPr>
            <w:pStyle w:val="56"/>
            <w:numPr>
              <w:ilvl w:val="0"/>
              <w:numId w:val="18"/>
            </w:numPr>
            <w:ind w:firstLineChars="0"/>
            <w:outlineLvl w:val="5"/>
            <w:rPr>
              <w:b/>
            </w:rPr>
          </w:pPr>
          <w:r>
            <w:rPr>
              <w:b/>
            </w:rPr>
            <w:t>公司报告期内重大安全生产事故基本情况</w:t>
          </w:r>
        </w:p>
        <w:sdt>
          <w:sdtPr>
            <w:rPr>
              <w:rFonts w:hint="eastAsia"/>
            </w:rPr>
            <w:alias w:val="是否适用：公司报告期内重大安全生产事故基本情况[双击切换]"/>
            <w:tag w:val="_GBC_6fc8e9f283224af49305e65272777278"/>
            <w:id w:val="5934"/>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b/>
            </w:rPr>
          </w:pPr>
        </w:p>
        <w:p>
          <w:pPr>
            <w:pStyle w:val="56"/>
            <w:numPr>
              <w:ilvl w:val="0"/>
              <w:numId w:val="18"/>
            </w:numPr>
            <w:ind w:firstLineChars="0"/>
            <w:outlineLvl w:val="5"/>
            <w:rPr>
              <w:b/>
              <w:bCs/>
              <w:szCs w:val="21"/>
            </w:rPr>
          </w:pPr>
          <w:r>
            <w:rPr>
              <w:rFonts w:hint="eastAsia"/>
              <w:b/>
              <w:bCs/>
              <w:szCs w:val="21"/>
            </w:rPr>
            <w:t>重大环保违规情况</w:t>
          </w:r>
        </w:p>
        <w:sdt>
          <w:sdtPr>
            <w:rPr>
              <w:rFonts w:hint="eastAsia"/>
            </w:rPr>
            <w:alias w:val="是否适用：环保与安全其他情况说明[双击切换]"/>
            <w:tag w:val="_GBC_7fbc6bc0b93a42f69883dde3c701c014"/>
            <w:id w:val="5935"/>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sdtContent>
    </w:sdt>
    <w:p>
      <w:pPr>
        <w:pStyle w:val="4"/>
        <w:numPr>
          <w:ilvl w:val="0"/>
          <w:numId w:val="8"/>
        </w:numPr>
        <w:rPr>
          <w:szCs w:val="21"/>
        </w:rPr>
      </w:pPr>
      <w:bookmarkStart w:id="69" w:name="_Hlk533667031"/>
      <w:bookmarkEnd w:id="69"/>
      <w:bookmarkStart w:id="70" w:name="_Hlk41836274"/>
      <w:bookmarkEnd w:id="70"/>
      <w:bookmarkStart w:id="71" w:name="_Hlk533435467"/>
      <w:bookmarkEnd w:id="71"/>
      <w:bookmarkStart w:id="72" w:name="_Hlk533434947"/>
      <w:bookmarkEnd w:id="72"/>
      <w:bookmarkStart w:id="73" w:name="_Hlk41835872"/>
      <w:bookmarkEnd w:id="73"/>
      <w:bookmarkStart w:id="74" w:name="_Hlk41835841"/>
      <w:bookmarkEnd w:id="74"/>
      <w:bookmarkStart w:id="75" w:name="_Hlk533433706"/>
      <w:bookmarkEnd w:id="75"/>
      <w:bookmarkStart w:id="76" w:name="_Hlk533436182"/>
      <w:bookmarkEnd w:id="76"/>
      <w:bookmarkStart w:id="77" w:name="_Hlk533435176"/>
      <w:bookmarkEnd w:id="77"/>
      <w:bookmarkStart w:id="78" w:name="_Hlk533435074"/>
      <w:bookmarkEnd w:id="78"/>
      <w:bookmarkStart w:id="79" w:name="_Hlk533435027"/>
      <w:bookmarkEnd w:id="79"/>
      <w:bookmarkStart w:id="80" w:name="_Hlk533435130"/>
      <w:bookmarkEnd w:id="80"/>
      <w:bookmarkStart w:id="81" w:name="_Hlk533666971"/>
      <w:bookmarkEnd w:id="81"/>
      <w:bookmarkStart w:id="82" w:name="_Hlk533435360"/>
      <w:bookmarkEnd w:id="82"/>
      <w:bookmarkStart w:id="83" w:name="_Hlk533666837"/>
      <w:bookmarkEnd w:id="83"/>
      <w:r>
        <w:rPr>
          <w:rFonts w:hint="eastAsia"/>
          <w:szCs w:val="21"/>
        </w:rPr>
        <w:t>投资状况分析</w:t>
      </w:r>
    </w:p>
    <w:p>
      <w:pPr>
        <w:rPr>
          <w:b/>
          <w:bCs/>
        </w:rPr>
      </w:pPr>
      <w:r>
        <w:rPr>
          <w:b/>
          <w:bCs/>
        </w:rPr>
        <w:t>对外股权投资总体分析</w:t>
      </w:r>
    </w:p>
    <w:sdt>
      <w:sdtPr>
        <w:rPr>
          <w:szCs w:val="21"/>
        </w:rPr>
        <w:alias w:val="是否适用：对外股权投资总体分析[双击切换]"/>
        <w:tag w:val="_GBC_cfb706fadf2c47bbbaf1bf90c054ccaf"/>
        <w:id w:val="5936"/>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default" w:ascii="Times New Roman" w:hAnsi="Times New Roman" w:eastAsia="宋体" w:cs="Times New Roman"/>
          <w:szCs w:val="21"/>
          <w:lang w:val="en-US" w:eastAsia="zh-CN"/>
        </w:rPr>
        <w:alias w:val="对外股权投资总体分析"/>
        <w:tag w:val="_GBC_fe6d59343f314ea694416d2e9d0fcf01"/>
        <w:id w:val="5937"/>
        <w:placeholder>
          <w:docPart w:val="GBC22222222222222222222222222222"/>
        </w:placeholder>
      </w:sdtPr>
      <w:sdtEndPr>
        <w:rPr>
          <w:rFonts w:hint="default" w:ascii="Times New Roman" w:hAnsi="Times New Roman" w:eastAsia="宋体" w:cs="Times New Roman"/>
          <w:szCs w:val="21"/>
          <w:lang w:val="en-US" w:eastAsia="zh-CN"/>
        </w:rPr>
      </w:sdtEndPr>
      <w:sdtContent>
        <w:p>
          <w:pPr>
            <w:keepNext w:val="0"/>
            <w:keepLines w:val="0"/>
            <w:pageBreakBefore w:val="0"/>
            <w:widowControl/>
            <w:kinsoku/>
            <w:wordWrap/>
            <w:overflowPunct/>
            <w:topLinePunct w:val="0"/>
            <w:autoSpaceDE/>
            <w:autoSpaceDN/>
            <w:bidi w:val="0"/>
            <w:adjustRightInd/>
            <w:snapToGrid/>
            <w:spacing w:line="400" w:lineRule="atLeast"/>
            <w:ind w:firstLine="420" w:firstLineChars="200"/>
            <w:textAlignment w:val="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截至报告期末，公司合并报表长期股权投资金额为0元。</w:t>
          </w:r>
        </w:p>
        <w:p>
          <w:pPr>
            <w:keepNext w:val="0"/>
            <w:keepLines w:val="0"/>
            <w:pageBreakBefore w:val="0"/>
            <w:widowControl/>
            <w:kinsoku/>
            <w:wordWrap/>
            <w:overflowPunct/>
            <w:topLinePunct w:val="0"/>
            <w:autoSpaceDE/>
            <w:autoSpaceDN/>
            <w:bidi w:val="0"/>
            <w:adjustRightInd/>
            <w:snapToGrid/>
            <w:spacing w:line="400" w:lineRule="atLeast"/>
            <w:ind w:firstLine="420" w:firstLineChars="200"/>
            <w:textAlignment w:val="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截至报告期末，母公司报表长期股权投资余额为162,894,417.59元，其中包括对六家子公司的投资：两面针（江苏）实业有限公司、广西两面针亿康药业股份有限公司、安徽两面针•芳草日化有限公司、柳州两面针进出口贸易有限公司、柳州两面针供应链有限公司、柳州惠好卫生用品有限公司。</w:t>
          </w:r>
        </w:p>
      </w:sdtContent>
    </w:sdt>
    <w:p>
      <w:pPr>
        <w:rPr>
          <w:rFonts w:hint="eastAsia" w:asciiTheme="minorEastAsia" w:hAnsiTheme="minorEastAsia" w:eastAsiaTheme="minorEastAsia"/>
          <w:szCs w:val="21"/>
        </w:rPr>
      </w:pPr>
    </w:p>
    <w:p>
      <w:pPr>
        <w:pStyle w:val="5"/>
        <w:numPr>
          <w:ilvl w:val="0"/>
          <w:numId w:val="19"/>
        </w:numPr>
        <w:rPr>
          <w:rFonts w:hint="eastAsia"/>
        </w:rPr>
      </w:pPr>
      <w:r>
        <w:rPr>
          <w:rFonts w:hint="eastAsia"/>
        </w:rPr>
        <w:t>重大的股权投资</w:t>
      </w:r>
    </w:p>
    <w:sdt>
      <w:sdtPr>
        <w:rPr>
          <w:rFonts w:hint="eastAsia"/>
        </w:rPr>
        <w:alias w:val="是否适用：重大的股权投资[双击切换]"/>
        <w:tag w:val="_GBC_b20506918d854c13b13a3b89dd84c7d3"/>
        <w:id w:val="5938"/>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
        <w:numPr>
          <w:ilvl w:val="0"/>
          <w:numId w:val="19"/>
        </w:numPr>
        <w:rPr>
          <w:rFonts w:hint="eastAsia" w:ascii="宋体" w:hAnsi="宋体" w:cs="宋体"/>
          <w:kern w:val="0"/>
        </w:rPr>
      </w:pPr>
      <w:r>
        <w:rPr>
          <w:rFonts w:hint="eastAsia" w:ascii="宋体" w:hAnsi="宋体" w:cs="宋体"/>
          <w:kern w:val="0"/>
        </w:rPr>
        <w:t>重大的非股权投资</w:t>
      </w:r>
    </w:p>
    <w:sdt>
      <w:sdtPr>
        <w:rPr>
          <w:rFonts w:hint="eastAsia"/>
        </w:rPr>
        <w:alias w:val="是否适用：重大的非股权投资[双击切换]"/>
        <w:tag w:val="_GBC_fbd46075a5b9414d9e28cd2404e5d47c"/>
        <w:id w:val="5939"/>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ectPr>
          <w:pgSz w:w="11906" w:h="16838"/>
          <w:pgMar w:top="1525" w:right="1276" w:bottom="1440" w:left="1797" w:header="855" w:footer="992" w:gutter="0"/>
          <w:cols w:space="425" w:num="1"/>
          <w:docGrid w:linePitch="312" w:charSpace="0"/>
        </w:sectPr>
      </w:pPr>
    </w:p>
    <w:p>
      <w:pPr>
        <w:pStyle w:val="17"/>
      </w:pPr>
    </w:p>
    <w:p>
      <w:pPr>
        <w:pStyle w:val="5"/>
        <w:numPr>
          <w:ilvl w:val="0"/>
          <w:numId w:val="19"/>
        </w:numPr>
        <w:rPr>
          <w:rFonts w:hint="eastAsia" w:ascii="宋体" w:hAnsi="宋体" w:cs="宋体"/>
          <w:kern w:val="0"/>
        </w:rPr>
      </w:pPr>
      <w:bookmarkStart w:id="84" w:name="_Hlk40532846"/>
      <w:r>
        <w:rPr>
          <w:rFonts w:hint="eastAsia" w:ascii="宋体" w:hAnsi="宋体" w:cs="宋体"/>
          <w:kern w:val="0"/>
        </w:rPr>
        <w:t>以公允价值计量的金融资产</w:t>
      </w:r>
    </w:p>
    <w:sdt>
      <w:sdtPr>
        <w:rPr>
          <w:rFonts w:hint="eastAsia"/>
          <w:szCs w:val="21"/>
        </w:rPr>
        <w:alias w:val="是否适用：以公允价值计量的金融资产[双击切换]"/>
        <w:tag w:val="_GBC_27fa42d1c8fd489d9e8648bed00ddd53"/>
        <w:id w:val="5940"/>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pStyle w:val="88"/>
        <w:wordWrap w:val="0"/>
        <w:ind w:left="360" w:firstLine="0" w:firstLineChars="0"/>
        <w:jc w:val="right"/>
      </w:pPr>
      <w:r>
        <w:rPr>
          <w:rFonts w:hint="eastAsia"/>
        </w:rPr>
        <w:t>单位：</w:t>
      </w:r>
      <w:sdt>
        <w:sdtPr>
          <w:rPr>
            <w:rFonts w:hint="eastAsia"/>
          </w:rPr>
          <w:alias w:val="单位：以公允价值计量的金融资产"/>
          <w:tag w:val="_GBC_b2e3ce23c85c488ab3fa1ba1294ef546"/>
          <w:id w:val="594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rPr>
        </w:sdtEndPr>
        <w:sdtContent>
          <w:r>
            <w:rPr>
              <w:rFonts w:hint="eastAsia"/>
            </w:rPr>
            <w:t>元</w:t>
          </w:r>
        </w:sdtContent>
      </w:sdt>
      <w:r>
        <w:rPr>
          <w:rFonts w:hint="eastAsia"/>
        </w:rPr>
        <w:t xml:space="preserve">  币种：</w:t>
      </w:r>
      <w:sdt>
        <w:sdtPr>
          <w:rPr>
            <w:rFonts w:hint="eastAsia"/>
          </w:rPr>
          <w:alias w:val="币种：以公允价值计量的金融资产"/>
          <w:tag w:val="_GBC_77ed3303d22c48dc98ae781142db662c"/>
          <w:id w:val="5942"/>
          <w:placeholder>
            <w:docPart w:val="GBC22222222222222222222222222222"/>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556"/>
        <w:gridCol w:w="1555"/>
        <w:gridCol w:w="1718"/>
        <w:gridCol w:w="1393"/>
        <w:gridCol w:w="1556"/>
        <w:gridCol w:w="1555"/>
        <w:gridCol w:w="1556"/>
        <w:gridCol w:w="1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sdt>
            <w:sdtPr>
              <w:tag w:val="_PLD_0c54b9fd583d4e649fc12d33a6f94086"/>
              <w:id w:val="5943"/>
            </w:sdtPr>
            <w:sdtContent>
              <w:p>
                <w:pPr>
                  <w:widowControl w:val="0"/>
                  <w:jc w:val="center"/>
                </w:pPr>
                <w:r>
                  <w:rPr>
                    <w:rFonts w:hint="eastAsia"/>
                    <w:kern w:val="2"/>
                    <w:szCs w:val="22"/>
                  </w:rPr>
                  <w:t>资产类别</w:t>
                </w:r>
              </w:p>
            </w:sdtContent>
          </w:sdt>
        </w:tc>
        <w:tc>
          <w:tcPr>
            <w:tcW w:w="1556" w:type="dxa"/>
            <w:vAlign w:val="center"/>
          </w:tcPr>
          <w:sdt>
            <w:sdtPr>
              <w:tag w:val="_PLD_4b84ad0ddc154021b1b8d9a6bffa6c39"/>
              <w:id w:val="5944"/>
            </w:sdtPr>
            <w:sdtContent>
              <w:p>
                <w:pPr>
                  <w:widowControl w:val="0"/>
                  <w:jc w:val="center"/>
                </w:pPr>
                <w:r>
                  <w:rPr>
                    <w:rFonts w:hint="eastAsia"/>
                  </w:rPr>
                  <w:t>期初数</w:t>
                </w:r>
              </w:p>
            </w:sdtContent>
          </w:sdt>
        </w:tc>
        <w:tc>
          <w:tcPr>
            <w:tcW w:w="1555" w:type="dxa"/>
            <w:vAlign w:val="center"/>
          </w:tcPr>
          <w:sdt>
            <w:sdtPr>
              <w:tag w:val="_PLD_fa8919b699f843d2b03f2004a27810b6"/>
              <w:id w:val="5945"/>
            </w:sdtPr>
            <w:sdtContent>
              <w:p>
                <w:pPr>
                  <w:widowControl w:val="0"/>
                  <w:jc w:val="center"/>
                  <w:rPr>
                    <w:b/>
                  </w:rPr>
                </w:pPr>
                <w:r>
                  <w:rPr>
                    <w:rFonts w:hint="eastAsia"/>
                  </w:rPr>
                  <w:t>本期公允价值变动损益</w:t>
                </w:r>
              </w:p>
            </w:sdtContent>
          </w:sdt>
        </w:tc>
        <w:tc>
          <w:tcPr>
            <w:tcW w:w="1718" w:type="dxa"/>
            <w:vAlign w:val="center"/>
          </w:tcPr>
          <w:sdt>
            <w:sdtPr>
              <w:tag w:val="_PLD_81fc9fd2b35c49e2bfd3b55b8724ae1d"/>
              <w:id w:val="5946"/>
            </w:sdtPr>
            <w:sdtContent>
              <w:p>
                <w:pPr>
                  <w:widowControl w:val="0"/>
                  <w:jc w:val="center"/>
                </w:pPr>
                <w:r>
                  <w:rPr>
                    <w:rFonts w:hint="eastAsia"/>
                  </w:rPr>
                  <w:t>计入权益的累计公允价值变动</w:t>
                </w:r>
              </w:p>
            </w:sdtContent>
          </w:sdt>
        </w:tc>
        <w:tc>
          <w:tcPr>
            <w:tcW w:w="1393" w:type="dxa"/>
            <w:vAlign w:val="center"/>
          </w:tcPr>
          <w:sdt>
            <w:sdtPr>
              <w:tag w:val="_PLD_d6f12030ef654b5cad4265cc31977836"/>
              <w:id w:val="5947"/>
            </w:sdtPr>
            <w:sdtContent>
              <w:p>
                <w:pPr>
                  <w:widowControl w:val="0"/>
                  <w:jc w:val="center"/>
                </w:pPr>
                <w:r>
                  <w:rPr>
                    <w:rFonts w:hint="eastAsia"/>
                  </w:rPr>
                  <w:t>本期计提的减值</w:t>
                </w:r>
              </w:p>
            </w:sdtContent>
          </w:sdt>
        </w:tc>
        <w:tc>
          <w:tcPr>
            <w:tcW w:w="1556" w:type="dxa"/>
            <w:vAlign w:val="center"/>
          </w:tcPr>
          <w:sdt>
            <w:sdtPr>
              <w:tag w:val="_PLD_8693ec76f7f14d898c4b16665659ded9"/>
              <w:id w:val="5948"/>
            </w:sdtPr>
            <w:sdtContent>
              <w:p>
                <w:pPr>
                  <w:widowControl w:val="0"/>
                  <w:jc w:val="center"/>
                </w:pPr>
                <w:r>
                  <w:rPr>
                    <w:rFonts w:hint="eastAsia"/>
                  </w:rPr>
                  <w:t>本期购买金额</w:t>
                </w:r>
              </w:p>
            </w:sdtContent>
          </w:sdt>
        </w:tc>
        <w:tc>
          <w:tcPr>
            <w:tcW w:w="1555" w:type="dxa"/>
            <w:vAlign w:val="center"/>
          </w:tcPr>
          <w:sdt>
            <w:sdtPr>
              <w:tag w:val="_PLD_ba0671fda1cb4d8c8d3c1e5b16cc6e5a"/>
              <w:id w:val="5949"/>
            </w:sdtPr>
            <w:sdtContent>
              <w:p>
                <w:pPr>
                  <w:widowControl w:val="0"/>
                  <w:jc w:val="center"/>
                </w:pPr>
                <w:r>
                  <w:rPr>
                    <w:rFonts w:hint="eastAsia"/>
                  </w:rPr>
                  <w:t>本期出售/赎回金额</w:t>
                </w:r>
              </w:p>
            </w:sdtContent>
          </w:sdt>
        </w:tc>
        <w:tc>
          <w:tcPr>
            <w:tcW w:w="1556" w:type="dxa"/>
            <w:vAlign w:val="center"/>
          </w:tcPr>
          <w:sdt>
            <w:sdtPr>
              <w:tag w:val="_PLD_50b7e7d4561f48f190f80d486d12a170"/>
              <w:id w:val="5950"/>
            </w:sdtPr>
            <w:sdtContent>
              <w:p>
                <w:pPr>
                  <w:widowControl w:val="0"/>
                  <w:jc w:val="center"/>
                </w:pPr>
                <w:r>
                  <w:rPr>
                    <w:rFonts w:hint="eastAsia"/>
                  </w:rPr>
                  <w:t>其他变动</w:t>
                </w:r>
              </w:p>
            </w:sdtContent>
          </w:sdt>
        </w:tc>
        <w:tc>
          <w:tcPr>
            <w:tcW w:w="1556" w:type="dxa"/>
            <w:vAlign w:val="center"/>
          </w:tcPr>
          <w:sdt>
            <w:sdtPr>
              <w:tag w:val="_PLD_816d427a273240d9af67db4a5feee586"/>
              <w:id w:val="5951"/>
            </w:sdtPr>
            <w:sdtContent>
              <w:p>
                <w:pPr>
                  <w:widowControl w:val="0"/>
                  <w:jc w:val="center"/>
                </w:pPr>
                <w:r>
                  <w:rPr>
                    <w:rFonts w:hint="eastAsia"/>
                  </w:rPr>
                  <w:t>期末数</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sdt>
            <w:sdtPr>
              <w:alias w:val="以公允价值计量的金融资产情况明细_资产类别"/>
              <w:tag w:val="_GBC_cc72d7a8c8f74a64a251dbd2114ca4fe"/>
              <w:id w:val="5952"/>
              <w:comboBox>
                <w:listItem w:displayText="股票" w:value="股票"/>
                <w:listItem w:displayText="债券" w:value="债券"/>
                <w:listItem w:displayText="信托产品" w:value="信托产品"/>
                <w:listItem w:displayText="私募基金" w:value="私募基金"/>
                <w:listItem w:displayText="期货" w:value="期货"/>
                <w:listItem w:displayText="衍生工具" w:value="衍生工具"/>
                <w:listItem w:displayText="其他" w:value="其他"/>
              </w:comboBox>
            </w:sdtPr>
            <w:sdtContent>
              <w:p>
                <w:pPr>
                  <w:widowControl w:val="0"/>
                  <w:jc w:val="both"/>
                </w:pPr>
                <w:r>
                  <w:rPr>
                    <w:rFonts w:hint="eastAsia"/>
                    <w:lang w:val="en-US" w:eastAsia="zh-CN"/>
                  </w:rPr>
                  <w:t xml:space="preserve"> </w:t>
                </w:r>
                <w:r>
                  <w:t>股票</w:t>
                </w:r>
              </w:p>
            </w:sdtContent>
          </w:sdt>
        </w:tc>
        <w:tc>
          <w:tcPr>
            <w:tcW w:w="1556" w:type="dxa"/>
            <w:vAlign w:val="center"/>
          </w:tcPr>
          <w:p>
            <w:pPr>
              <w:widowControl w:val="0"/>
              <w:jc w:val="right"/>
            </w:pPr>
            <w:r>
              <w:rPr>
                <w:rFonts w:hint="eastAsia"/>
                <w:color w:val="auto"/>
              </w:rPr>
              <w:t>290,897,872.17</w:t>
            </w:r>
          </w:p>
        </w:tc>
        <w:tc>
          <w:tcPr>
            <w:tcW w:w="1555" w:type="dxa"/>
            <w:vAlign w:val="center"/>
          </w:tcPr>
          <w:p>
            <w:pPr>
              <w:widowControl w:val="0"/>
              <w:jc w:val="right"/>
            </w:pPr>
            <w:r>
              <w:rPr>
                <w:rFonts w:hint="eastAsia"/>
                <w:color w:val="auto"/>
              </w:rPr>
              <w:t>-4,428,195.28</w:t>
            </w:r>
          </w:p>
        </w:tc>
        <w:tc>
          <w:tcPr>
            <w:tcW w:w="1718" w:type="dxa"/>
            <w:vAlign w:val="center"/>
          </w:tcPr>
          <w:p>
            <w:pPr>
              <w:widowControl w:val="0"/>
              <w:jc w:val="right"/>
            </w:pPr>
          </w:p>
        </w:tc>
        <w:tc>
          <w:tcPr>
            <w:tcW w:w="1393" w:type="dxa"/>
            <w:vAlign w:val="center"/>
          </w:tcPr>
          <w:p>
            <w:pPr>
              <w:widowControl w:val="0"/>
              <w:jc w:val="right"/>
            </w:pPr>
          </w:p>
        </w:tc>
        <w:tc>
          <w:tcPr>
            <w:tcW w:w="1556" w:type="dxa"/>
            <w:vAlign w:val="center"/>
          </w:tcPr>
          <w:p>
            <w:pPr>
              <w:widowControl w:val="0"/>
              <w:jc w:val="right"/>
            </w:pPr>
          </w:p>
        </w:tc>
        <w:tc>
          <w:tcPr>
            <w:tcW w:w="1555" w:type="dxa"/>
            <w:vAlign w:val="center"/>
          </w:tcPr>
          <w:p>
            <w:pPr>
              <w:widowControl w:val="0"/>
              <w:jc w:val="right"/>
            </w:pPr>
          </w:p>
        </w:tc>
        <w:tc>
          <w:tcPr>
            <w:tcW w:w="1556" w:type="dxa"/>
            <w:vAlign w:val="center"/>
          </w:tcPr>
          <w:p>
            <w:pPr>
              <w:widowControl w:val="0"/>
              <w:jc w:val="right"/>
            </w:pPr>
          </w:p>
        </w:tc>
        <w:tc>
          <w:tcPr>
            <w:tcW w:w="1556" w:type="dxa"/>
            <w:vAlign w:val="center"/>
          </w:tcPr>
          <w:p>
            <w:pPr>
              <w:widowControl w:val="0"/>
              <w:jc w:val="right"/>
            </w:pPr>
            <w:r>
              <w:rPr>
                <w:rFonts w:hint="eastAsia"/>
                <w:color w:val="auto"/>
              </w:rPr>
              <w:t>287,207,259.61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pPr>
              <w:widowControl w:val="0"/>
              <w:jc w:val="both"/>
            </w:pPr>
            <w:r>
              <w:rPr>
                <w:rFonts w:hint="eastAsia"/>
                <w:lang w:val="en-US" w:eastAsia="zh-CN"/>
              </w:rPr>
              <w:t xml:space="preserve"> </w:t>
            </w:r>
            <w:r>
              <w:t>其他</w:t>
            </w:r>
          </w:p>
        </w:tc>
        <w:tc>
          <w:tcPr>
            <w:tcW w:w="1556" w:type="dxa"/>
            <w:vAlign w:val="center"/>
          </w:tcPr>
          <w:p>
            <w:pPr>
              <w:widowControl w:val="0"/>
              <w:jc w:val="right"/>
            </w:pPr>
            <w:r>
              <w:rPr>
                <w:rFonts w:hint="eastAsia"/>
                <w:lang w:val="en-US" w:eastAsia="zh-CN"/>
              </w:rPr>
              <w:t xml:space="preserve"> </w:t>
            </w:r>
            <w:r>
              <w:rPr>
                <w:rFonts w:hint="eastAsia"/>
                <w:color w:val="auto"/>
              </w:rPr>
              <w:t>-</w:t>
            </w:r>
          </w:p>
        </w:tc>
        <w:tc>
          <w:tcPr>
            <w:tcW w:w="1555" w:type="dxa"/>
            <w:vAlign w:val="center"/>
          </w:tcPr>
          <w:p>
            <w:pPr>
              <w:widowControl w:val="0"/>
              <w:jc w:val="right"/>
            </w:pPr>
          </w:p>
        </w:tc>
        <w:tc>
          <w:tcPr>
            <w:tcW w:w="1718" w:type="dxa"/>
            <w:vAlign w:val="center"/>
          </w:tcPr>
          <w:p>
            <w:pPr>
              <w:widowControl w:val="0"/>
              <w:jc w:val="right"/>
            </w:pPr>
          </w:p>
        </w:tc>
        <w:tc>
          <w:tcPr>
            <w:tcW w:w="1393" w:type="dxa"/>
            <w:vAlign w:val="center"/>
          </w:tcPr>
          <w:p>
            <w:pPr>
              <w:widowControl w:val="0"/>
              <w:jc w:val="right"/>
            </w:pPr>
          </w:p>
        </w:tc>
        <w:tc>
          <w:tcPr>
            <w:tcW w:w="1556" w:type="dxa"/>
            <w:vAlign w:val="center"/>
          </w:tcPr>
          <w:p>
            <w:pPr>
              <w:widowControl w:val="0"/>
              <w:jc w:val="right"/>
            </w:pPr>
            <w:r>
              <w:rPr>
                <w:rFonts w:hint="eastAsia"/>
                <w:color w:val="auto"/>
              </w:rPr>
              <w:t>10,218,234.64</w:t>
            </w:r>
          </w:p>
        </w:tc>
        <w:tc>
          <w:tcPr>
            <w:tcW w:w="1555" w:type="dxa"/>
            <w:vAlign w:val="center"/>
          </w:tcPr>
          <w:p>
            <w:pPr>
              <w:widowControl w:val="0"/>
              <w:jc w:val="right"/>
            </w:pPr>
            <w:r>
              <w:rPr>
                <w:rFonts w:hint="eastAsia"/>
                <w:color w:val="auto"/>
              </w:rPr>
              <w:t>10,218,234.64</w:t>
            </w:r>
          </w:p>
        </w:tc>
        <w:tc>
          <w:tcPr>
            <w:tcW w:w="1556" w:type="dxa"/>
            <w:vAlign w:val="center"/>
          </w:tcPr>
          <w:p>
            <w:pPr>
              <w:widowControl w:val="0"/>
              <w:jc w:val="right"/>
            </w:pPr>
          </w:p>
        </w:tc>
        <w:tc>
          <w:tcPr>
            <w:tcW w:w="1556" w:type="dxa"/>
            <w:vAlign w:val="center"/>
          </w:tcPr>
          <w:p>
            <w:pPr>
              <w:widowControl w:val="0"/>
              <w:jc w:val="right"/>
            </w:pPr>
            <w:r>
              <w:rPr>
                <w:rFonts w:hint="eastAsia"/>
                <w:lang w:val="en-US" w:eastAsia="zh-CN"/>
              </w:rPr>
              <w:t xml:space="preserve"> </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pPr>
              <w:widowControl w:val="0"/>
              <w:jc w:val="center"/>
            </w:pPr>
            <w:r>
              <w:t>合计</w:t>
            </w:r>
          </w:p>
        </w:tc>
        <w:tc>
          <w:tcPr>
            <w:tcW w:w="1556" w:type="dxa"/>
            <w:vAlign w:val="center"/>
          </w:tcPr>
          <w:p>
            <w:pPr>
              <w:widowControl w:val="0"/>
              <w:jc w:val="right"/>
            </w:pPr>
            <w:r>
              <w:rPr>
                <w:rFonts w:hint="eastAsia"/>
                <w:color w:val="auto"/>
              </w:rPr>
              <w:t>290,897,872.17</w:t>
            </w:r>
          </w:p>
        </w:tc>
        <w:tc>
          <w:tcPr>
            <w:tcW w:w="1555" w:type="dxa"/>
            <w:vAlign w:val="center"/>
          </w:tcPr>
          <w:p>
            <w:pPr>
              <w:widowControl w:val="0"/>
              <w:jc w:val="right"/>
            </w:pPr>
            <w:r>
              <w:rPr>
                <w:rFonts w:hint="eastAsia"/>
                <w:color w:val="auto"/>
              </w:rPr>
              <w:t>-4,428,195.28</w:t>
            </w:r>
          </w:p>
        </w:tc>
        <w:tc>
          <w:tcPr>
            <w:tcW w:w="1718" w:type="dxa"/>
            <w:vAlign w:val="center"/>
          </w:tcPr>
          <w:p>
            <w:pPr>
              <w:widowControl w:val="0"/>
              <w:jc w:val="right"/>
            </w:pPr>
          </w:p>
        </w:tc>
        <w:tc>
          <w:tcPr>
            <w:tcW w:w="1393" w:type="dxa"/>
            <w:vAlign w:val="center"/>
          </w:tcPr>
          <w:p>
            <w:pPr>
              <w:widowControl w:val="0"/>
              <w:jc w:val="right"/>
            </w:pPr>
          </w:p>
        </w:tc>
        <w:tc>
          <w:tcPr>
            <w:tcW w:w="1556" w:type="dxa"/>
            <w:vAlign w:val="center"/>
          </w:tcPr>
          <w:p>
            <w:pPr>
              <w:widowControl w:val="0"/>
              <w:jc w:val="right"/>
            </w:pPr>
            <w:r>
              <w:rPr>
                <w:rFonts w:hint="eastAsia"/>
                <w:color w:val="auto"/>
              </w:rPr>
              <w:t>10,218,234.64</w:t>
            </w:r>
          </w:p>
        </w:tc>
        <w:tc>
          <w:tcPr>
            <w:tcW w:w="1555" w:type="dxa"/>
            <w:vAlign w:val="center"/>
          </w:tcPr>
          <w:p>
            <w:pPr>
              <w:widowControl w:val="0"/>
              <w:jc w:val="right"/>
            </w:pPr>
            <w:r>
              <w:rPr>
                <w:rFonts w:hint="eastAsia"/>
                <w:color w:val="auto"/>
              </w:rPr>
              <w:t>10,218,234.64</w:t>
            </w:r>
          </w:p>
        </w:tc>
        <w:tc>
          <w:tcPr>
            <w:tcW w:w="1556" w:type="dxa"/>
            <w:vAlign w:val="center"/>
          </w:tcPr>
          <w:p>
            <w:pPr>
              <w:widowControl w:val="0"/>
              <w:jc w:val="right"/>
            </w:pPr>
          </w:p>
        </w:tc>
        <w:tc>
          <w:tcPr>
            <w:tcW w:w="1556" w:type="dxa"/>
            <w:vAlign w:val="center"/>
          </w:tcPr>
          <w:p>
            <w:pPr>
              <w:widowControl w:val="0"/>
              <w:jc w:val="right"/>
            </w:pPr>
            <w:r>
              <w:rPr>
                <w:rFonts w:hint="eastAsia"/>
                <w:color w:val="auto"/>
              </w:rPr>
              <w:t>287,207,259.61</w:t>
            </w:r>
          </w:p>
        </w:tc>
      </w:tr>
    </w:tbl>
    <w:p>
      <w:pPr>
        <w:rPr>
          <w:szCs w:val="21"/>
        </w:rPr>
      </w:pPr>
    </w:p>
    <w:bookmarkEnd w:id="84"/>
    <w:p>
      <w:pPr>
        <w:rPr>
          <w:szCs w:val="21"/>
        </w:rPr>
      </w:pPr>
      <w:r>
        <w:rPr>
          <w:rFonts w:hint="eastAsia"/>
          <w:szCs w:val="21"/>
        </w:rPr>
        <w:t>证券投资情况</w:t>
      </w:r>
    </w:p>
    <w:sdt>
      <w:sdtPr>
        <w:rPr>
          <w:szCs w:val="21"/>
        </w:rPr>
        <w:alias w:val="是否适用：证券投资情况[双击切换]"/>
        <w:tag w:val="_GBC_7d04680e71454924aa49897089c6ec88"/>
        <w:id w:val="5953"/>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pStyle w:val="88"/>
        <w:wordWrap w:val="0"/>
        <w:ind w:left="360" w:firstLine="0" w:firstLineChars="0"/>
        <w:jc w:val="right"/>
      </w:pPr>
      <w:r>
        <w:rPr>
          <w:rFonts w:hint="eastAsia"/>
        </w:rPr>
        <w:t>单位：</w:t>
      </w:r>
      <w:sdt>
        <w:sdtPr>
          <w:rPr>
            <w:rFonts w:hint="eastAsia"/>
          </w:rPr>
          <w:alias w:val="单位：证券投资情况"/>
          <w:tag w:val="_GBC_9030571ec97a42438b5264832c2a5326"/>
          <w:id w:val="5954"/>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rPr>
        </w:sdtEndPr>
        <w:sdtContent>
          <w:r>
            <w:rPr>
              <w:rFonts w:hint="eastAsia"/>
            </w:rPr>
            <w:t>元</w:t>
          </w:r>
        </w:sdtContent>
      </w:sdt>
      <w:r>
        <w:rPr>
          <w:rFonts w:hint="eastAsia"/>
        </w:rPr>
        <w:t xml:space="preserve">  币种：</w:t>
      </w:r>
      <w:sdt>
        <w:sdtPr>
          <w:rPr>
            <w:rFonts w:hint="eastAsia"/>
          </w:rPr>
          <w:alias w:val="币种：证券投资情况"/>
          <w:tag w:val="_GBC_21a6e145782e410295a95d0cfa95a807"/>
          <w:id w:val="5955"/>
          <w:placeholder>
            <w:docPart w:val="GBC22222222222222222222222222222"/>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rPr>
            <w:rFonts w:hint="eastAsia"/>
          </w:rPr>
        </w:sdtEndPr>
        <w:sdtContent>
          <w:r>
            <w:rPr>
              <w:rFonts w:hint="eastAsia"/>
            </w:rPr>
            <w:t>人民币</w:t>
          </w:r>
        </w:sdtContent>
      </w:sdt>
    </w:p>
    <w:tbl>
      <w:tblPr>
        <w:tblStyle w:val="3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9"/>
        <w:gridCol w:w="828"/>
        <w:gridCol w:w="645"/>
        <w:gridCol w:w="1305"/>
        <w:gridCol w:w="635"/>
        <w:gridCol w:w="1342"/>
        <w:gridCol w:w="1161"/>
        <w:gridCol w:w="1221"/>
        <w:gridCol w:w="739"/>
        <w:gridCol w:w="1252"/>
        <w:gridCol w:w="1252"/>
        <w:gridCol w:w="1161"/>
        <w:gridCol w:w="1342"/>
        <w:gridCol w:w="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 w:type="pct"/>
            <w:vAlign w:val="center"/>
          </w:tcPr>
          <w:sdt>
            <w:sdtPr>
              <w:rPr>
                <w:sz w:val="18"/>
                <w:szCs w:val="18"/>
              </w:rPr>
              <w:tag w:val="_PLD_a2aca594a908499a93ab70468f6a23b7"/>
              <w:id w:val="147461716"/>
            </w:sdtPr>
            <w:sdtEndPr>
              <w:rPr>
                <w:sz w:val="18"/>
                <w:szCs w:val="18"/>
              </w:rPr>
            </w:sdtEndPr>
            <w:sdtContent>
              <w:p>
                <w:pPr>
                  <w:widowControl w:val="0"/>
                  <w:jc w:val="center"/>
                  <w:rPr>
                    <w:sz w:val="18"/>
                    <w:szCs w:val="18"/>
                  </w:rPr>
                </w:pPr>
                <w:bookmarkStart w:id="85" w:name="_Hlk151135120"/>
                <w:r>
                  <w:rPr>
                    <w:rFonts w:hint="eastAsia"/>
                    <w:sz w:val="18"/>
                    <w:szCs w:val="18"/>
                  </w:rPr>
                  <w:t>证券品种</w:t>
                </w:r>
              </w:p>
            </w:sdtContent>
          </w:sdt>
        </w:tc>
        <w:tc>
          <w:tcPr>
            <w:tcW w:w="294" w:type="pct"/>
            <w:vAlign w:val="center"/>
          </w:tcPr>
          <w:sdt>
            <w:sdtPr>
              <w:rPr>
                <w:sz w:val="18"/>
                <w:szCs w:val="18"/>
              </w:rPr>
              <w:tag w:val="_PLD_2a8a447db28f48a89b3e24843ac8c0b0"/>
              <w:id w:val="147453354"/>
            </w:sdtPr>
            <w:sdtEndPr>
              <w:rPr>
                <w:sz w:val="18"/>
                <w:szCs w:val="18"/>
              </w:rPr>
            </w:sdtEndPr>
            <w:sdtContent>
              <w:p>
                <w:pPr>
                  <w:widowControl w:val="0"/>
                  <w:jc w:val="center"/>
                  <w:rPr>
                    <w:sz w:val="18"/>
                    <w:szCs w:val="18"/>
                  </w:rPr>
                </w:pPr>
                <w:r>
                  <w:rPr>
                    <w:rFonts w:hint="eastAsia"/>
                    <w:sz w:val="18"/>
                    <w:szCs w:val="18"/>
                  </w:rPr>
                  <w:t>证券代码</w:t>
                </w:r>
              </w:p>
            </w:sdtContent>
          </w:sdt>
        </w:tc>
        <w:tc>
          <w:tcPr>
            <w:tcW w:w="229" w:type="pct"/>
            <w:vAlign w:val="center"/>
          </w:tcPr>
          <w:sdt>
            <w:sdtPr>
              <w:rPr>
                <w:sz w:val="18"/>
                <w:szCs w:val="18"/>
              </w:rPr>
              <w:tag w:val="_PLD_b4b2dd48041247c08674576b86c9470b"/>
              <w:id w:val="147479991"/>
            </w:sdtPr>
            <w:sdtEndPr>
              <w:rPr>
                <w:sz w:val="18"/>
                <w:szCs w:val="18"/>
              </w:rPr>
            </w:sdtEndPr>
            <w:sdtContent>
              <w:p>
                <w:pPr>
                  <w:widowControl w:val="0"/>
                  <w:tabs>
                    <w:tab w:val="left" w:pos="60"/>
                  </w:tabs>
                  <w:jc w:val="center"/>
                  <w:rPr>
                    <w:sz w:val="18"/>
                    <w:szCs w:val="18"/>
                  </w:rPr>
                </w:pPr>
                <w:r>
                  <w:rPr>
                    <w:rFonts w:hint="eastAsia"/>
                    <w:sz w:val="18"/>
                    <w:szCs w:val="18"/>
                  </w:rPr>
                  <w:t>证券简称</w:t>
                </w:r>
              </w:p>
            </w:sdtContent>
          </w:sdt>
        </w:tc>
        <w:tc>
          <w:tcPr>
            <w:tcW w:w="463" w:type="pct"/>
            <w:vAlign w:val="center"/>
          </w:tcPr>
          <w:sdt>
            <w:sdtPr>
              <w:rPr>
                <w:sz w:val="18"/>
                <w:szCs w:val="18"/>
              </w:rPr>
              <w:tag w:val="_PLD_3c80e02ab5694d799cfd3d5d2ac9c797"/>
              <w:id w:val="147458610"/>
            </w:sdtPr>
            <w:sdtEndPr>
              <w:rPr>
                <w:sz w:val="18"/>
                <w:szCs w:val="18"/>
              </w:rPr>
            </w:sdtEndPr>
            <w:sdtContent>
              <w:p>
                <w:pPr>
                  <w:widowControl w:val="0"/>
                  <w:jc w:val="center"/>
                  <w:rPr>
                    <w:sz w:val="18"/>
                    <w:szCs w:val="18"/>
                  </w:rPr>
                </w:pPr>
                <w:r>
                  <w:rPr>
                    <w:rFonts w:hint="eastAsia"/>
                    <w:sz w:val="18"/>
                    <w:szCs w:val="18"/>
                  </w:rPr>
                  <w:t>最初投资成本</w:t>
                </w:r>
              </w:p>
            </w:sdtContent>
          </w:sdt>
        </w:tc>
        <w:tc>
          <w:tcPr>
            <w:tcW w:w="225" w:type="pct"/>
            <w:vAlign w:val="center"/>
          </w:tcPr>
          <w:sdt>
            <w:sdtPr>
              <w:rPr>
                <w:sz w:val="18"/>
                <w:szCs w:val="18"/>
              </w:rPr>
              <w:tag w:val="_PLD_873ecdbb8a3343d6b6fcaa48e4cf64dc"/>
              <w:id w:val="147468908"/>
            </w:sdtPr>
            <w:sdtEndPr>
              <w:rPr>
                <w:sz w:val="18"/>
                <w:szCs w:val="18"/>
              </w:rPr>
            </w:sdtEndPr>
            <w:sdtContent>
              <w:p>
                <w:pPr>
                  <w:widowControl w:val="0"/>
                  <w:jc w:val="center"/>
                  <w:rPr>
                    <w:sz w:val="18"/>
                    <w:szCs w:val="18"/>
                  </w:rPr>
                </w:pPr>
                <w:r>
                  <w:rPr>
                    <w:rFonts w:hint="eastAsia"/>
                    <w:sz w:val="18"/>
                    <w:szCs w:val="18"/>
                  </w:rPr>
                  <w:t>资金来源</w:t>
                </w:r>
              </w:p>
            </w:sdtContent>
          </w:sdt>
        </w:tc>
        <w:tc>
          <w:tcPr>
            <w:tcW w:w="476" w:type="pct"/>
            <w:vAlign w:val="center"/>
          </w:tcPr>
          <w:sdt>
            <w:sdtPr>
              <w:rPr>
                <w:sz w:val="18"/>
                <w:szCs w:val="18"/>
              </w:rPr>
              <w:tag w:val="_PLD_b0de4dcfc59f4ead974d9d61a70ccc80"/>
              <w:id w:val="147480078"/>
            </w:sdtPr>
            <w:sdtEndPr>
              <w:rPr>
                <w:sz w:val="18"/>
                <w:szCs w:val="18"/>
              </w:rPr>
            </w:sdtEndPr>
            <w:sdtContent>
              <w:p>
                <w:pPr>
                  <w:widowControl w:val="0"/>
                  <w:jc w:val="center"/>
                  <w:rPr>
                    <w:sz w:val="18"/>
                    <w:szCs w:val="18"/>
                  </w:rPr>
                </w:pPr>
                <w:r>
                  <w:rPr>
                    <w:rFonts w:hint="eastAsia"/>
                    <w:sz w:val="18"/>
                    <w:szCs w:val="18"/>
                  </w:rPr>
                  <w:t>期初账面价值</w:t>
                </w:r>
              </w:p>
            </w:sdtContent>
          </w:sdt>
        </w:tc>
        <w:tc>
          <w:tcPr>
            <w:tcW w:w="412" w:type="pct"/>
            <w:vAlign w:val="center"/>
          </w:tcPr>
          <w:p>
            <w:pPr>
              <w:widowControl w:val="0"/>
              <w:jc w:val="center"/>
              <w:rPr>
                <w:rFonts w:hint="eastAsia" w:eastAsia="宋体"/>
                <w:sz w:val="18"/>
                <w:szCs w:val="18"/>
                <w:lang w:eastAsia="zh-CN"/>
              </w:rPr>
            </w:pPr>
            <w:r>
              <w:rPr>
                <w:rFonts w:hint="eastAsia"/>
                <w:sz w:val="18"/>
                <w:szCs w:val="18"/>
              </w:rPr>
              <w:t>持有数量</w:t>
            </w:r>
            <w:r>
              <w:rPr>
                <w:rFonts w:hint="eastAsia"/>
                <w:sz w:val="18"/>
                <w:szCs w:val="18"/>
                <w:lang w:eastAsia="zh-CN"/>
              </w:rPr>
              <w:t>（</w:t>
            </w:r>
            <w:r>
              <w:rPr>
                <w:rFonts w:hint="eastAsia"/>
                <w:sz w:val="18"/>
                <w:szCs w:val="18"/>
                <w:lang w:val="en-US" w:eastAsia="zh-CN"/>
              </w:rPr>
              <w:t>股</w:t>
            </w:r>
            <w:r>
              <w:rPr>
                <w:rFonts w:hint="eastAsia"/>
                <w:sz w:val="18"/>
                <w:szCs w:val="18"/>
                <w:lang w:eastAsia="zh-CN"/>
              </w:rPr>
              <w:t>）</w:t>
            </w:r>
          </w:p>
        </w:tc>
        <w:tc>
          <w:tcPr>
            <w:tcW w:w="433" w:type="pct"/>
            <w:vAlign w:val="center"/>
          </w:tcPr>
          <w:sdt>
            <w:sdtPr>
              <w:rPr>
                <w:sz w:val="18"/>
                <w:szCs w:val="18"/>
              </w:rPr>
              <w:tag w:val="_PLD_ca5b1b460dec4af98a137b84d77794ce"/>
              <w:id w:val="147465804"/>
            </w:sdtPr>
            <w:sdtEndPr>
              <w:rPr>
                <w:sz w:val="18"/>
                <w:szCs w:val="18"/>
              </w:rPr>
            </w:sdtEndPr>
            <w:sdtContent>
              <w:p>
                <w:pPr>
                  <w:widowControl w:val="0"/>
                  <w:jc w:val="center"/>
                  <w:rPr>
                    <w:sz w:val="18"/>
                    <w:szCs w:val="18"/>
                  </w:rPr>
                </w:pPr>
                <w:r>
                  <w:rPr>
                    <w:rFonts w:hint="eastAsia"/>
                    <w:sz w:val="18"/>
                    <w:szCs w:val="18"/>
                  </w:rPr>
                  <w:t>本期公允价值变动损益</w:t>
                </w:r>
              </w:p>
            </w:sdtContent>
          </w:sdt>
        </w:tc>
        <w:tc>
          <w:tcPr>
            <w:tcW w:w="262" w:type="pct"/>
            <w:vAlign w:val="center"/>
          </w:tcPr>
          <w:sdt>
            <w:sdtPr>
              <w:rPr>
                <w:sz w:val="18"/>
                <w:szCs w:val="18"/>
              </w:rPr>
              <w:tag w:val="_PLD_cf51b58b5b4641d797351424d3c1ceeb"/>
              <w:id w:val="147457015"/>
            </w:sdtPr>
            <w:sdtEndPr>
              <w:rPr>
                <w:sz w:val="18"/>
                <w:szCs w:val="18"/>
              </w:rPr>
            </w:sdtEndPr>
            <w:sdtContent>
              <w:p>
                <w:pPr>
                  <w:widowControl w:val="0"/>
                  <w:jc w:val="center"/>
                  <w:rPr>
                    <w:sz w:val="18"/>
                    <w:szCs w:val="18"/>
                  </w:rPr>
                </w:pPr>
                <w:r>
                  <w:rPr>
                    <w:rFonts w:hint="eastAsia"/>
                    <w:sz w:val="18"/>
                    <w:szCs w:val="18"/>
                  </w:rPr>
                  <w:t>计入权益的累计公允价值变动</w:t>
                </w:r>
              </w:p>
            </w:sdtContent>
          </w:sdt>
        </w:tc>
        <w:tc>
          <w:tcPr>
            <w:tcW w:w="444" w:type="pct"/>
            <w:vAlign w:val="center"/>
          </w:tcPr>
          <w:sdt>
            <w:sdtPr>
              <w:rPr>
                <w:sz w:val="18"/>
                <w:szCs w:val="18"/>
              </w:rPr>
              <w:tag w:val="_PLD_fa8acb6152da45658a6e5987a179057d"/>
              <w:id w:val="147472471"/>
            </w:sdtPr>
            <w:sdtEndPr>
              <w:rPr>
                <w:sz w:val="18"/>
                <w:szCs w:val="18"/>
              </w:rPr>
            </w:sdtEndPr>
            <w:sdtContent>
              <w:p>
                <w:pPr>
                  <w:widowControl w:val="0"/>
                  <w:jc w:val="center"/>
                  <w:rPr>
                    <w:sz w:val="18"/>
                    <w:szCs w:val="18"/>
                  </w:rPr>
                </w:pPr>
                <w:r>
                  <w:rPr>
                    <w:rFonts w:hint="eastAsia"/>
                    <w:sz w:val="18"/>
                    <w:szCs w:val="18"/>
                  </w:rPr>
                  <w:t>本期购买金额</w:t>
                </w:r>
              </w:p>
            </w:sdtContent>
          </w:sdt>
        </w:tc>
        <w:tc>
          <w:tcPr>
            <w:tcW w:w="444" w:type="pct"/>
            <w:vAlign w:val="center"/>
          </w:tcPr>
          <w:sdt>
            <w:sdtPr>
              <w:rPr>
                <w:sz w:val="18"/>
                <w:szCs w:val="18"/>
              </w:rPr>
              <w:tag w:val="_PLD_6e2790d24c5846da999681b434e6731d"/>
              <w:id w:val="147480931"/>
            </w:sdtPr>
            <w:sdtEndPr>
              <w:rPr>
                <w:sz w:val="18"/>
                <w:szCs w:val="18"/>
              </w:rPr>
            </w:sdtEndPr>
            <w:sdtContent>
              <w:p>
                <w:pPr>
                  <w:widowControl w:val="0"/>
                  <w:jc w:val="center"/>
                  <w:rPr>
                    <w:sz w:val="18"/>
                    <w:szCs w:val="18"/>
                  </w:rPr>
                </w:pPr>
                <w:r>
                  <w:rPr>
                    <w:rFonts w:hint="eastAsia"/>
                    <w:sz w:val="18"/>
                    <w:szCs w:val="18"/>
                  </w:rPr>
                  <w:t>本期出售金额</w:t>
                </w:r>
              </w:p>
            </w:sdtContent>
          </w:sdt>
        </w:tc>
        <w:tc>
          <w:tcPr>
            <w:tcW w:w="412" w:type="pct"/>
            <w:vAlign w:val="center"/>
          </w:tcPr>
          <w:sdt>
            <w:sdtPr>
              <w:rPr>
                <w:sz w:val="18"/>
                <w:szCs w:val="18"/>
              </w:rPr>
              <w:tag w:val="_PLD_b053cb2d8ab44a05be4e28df1b11bd04"/>
              <w:id w:val="147470538"/>
            </w:sdtPr>
            <w:sdtEndPr>
              <w:rPr>
                <w:sz w:val="18"/>
                <w:szCs w:val="18"/>
              </w:rPr>
            </w:sdtEndPr>
            <w:sdtContent>
              <w:p>
                <w:pPr>
                  <w:widowControl w:val="0"/>
                  <w:jc w:val="center"/>
                  <w:rPr>
                    <w:sz w:val="18"/>
                    <w:szCs w:val="18"/>
                  </w:rPr>
                </w:pPr>
                <w:r>
                  <w:rPr>
                    <w:rFonts w:hint="eastAsia"/>
                    <w:sz w:val="18"/>
                    <w:szCs w:val="18"/>
                  </w:rPr>
                  <w:t>本期投资损益</w:t>
                </w:r>
              </w:p>
            </w:sdtContent>
          </w:sdt>
        </w:tc>
        <w:tc>
          <w:tcPr>
            <w:tcW w:w="476" w:type="pct"/>
            <w:vAlign w:val="center"/>
          </w:tcPr>
          <w:sdt>
            <w:sdtPr>
              <w:rPr>
                <w:sz w:val="18"/>
                <w:szCs w:val="18"/>
              </w:rPr>
              <w:tag w:val="_PLD_dc3183c5ec5e48d491b77e65bd093780"/>
              <w:id w:val="147459008"/>
            </w:sdtPr>
            <w:sdtEndPr>
              <w:rPr>
                <w:sz w:val="18"/>
                <w:szCs w:val="18"/>
              </w:rPr>
            </w:sdtEndPr>
            <w:sdtContent>
              <w:p>
                <w:pPr>
                  <w:widowControl w:val="0"/>
                  <w:jc w:val="center"/>
                  <w:rPr>
                    <w:sz w:val="18"/>
                    <w:szCs w:val="18"/>
                  </w:rPr>
                </w:pPr>
                <w:r>
                  <w:rPr>
                    <w:rFonts w:hint="eastAsia"/>
                    <w:sz w:val="18"/>
                    <w:szCs w:val="18"/>
                  </w:rPr>
                  <w:t>期末账面价值</w:t>
                </w:r>
              </w:p>
            </w:sdtContent>
          </w:sdt>
        </w:tc>
        <w:tc>
          <w:tcPr>
            <w:tcW w:w="301" w:type="pct"/>
            <w:vAlign w:val="center"/>
          </w:tcPr>
          <w:sdt>
            <w:sdtPr>
              <w:rPr>
                <w:sz w:val="18"/>
                <w:szCs w:val="18"/>
              </w:rPr>
              <w:tag w:val="_PLD_953da3c8a977443ba41ba5b33c46abac"/>
              <w:id w:val="147467498"/>
            </w:sdtPr>
            <w:sdtEndPr>
              <w:rPr>
                <w:sz w:val="18"/>
                <w:szCs w:val="18"/>
              </w:rPr>
            </w:sdtEndPr>
            <w:sdtContent>
              <w:p>
                <w:pPr>
                  <w:widowControl w:val="0"/>
                  <w:jc w:val="center"/>
                  <w:rPr>
                    <w:sz w:val="18"/>
                    <w:szCs w:val="18"/>
                  </w:rPr>
                </w:pPr>
                <w:r>
                  <w:rPr>
                    <w:rFonts w:hint="eastAsia"/>
                    <w:sz w:val="18"/>
                    <w:szCs w:val="18"/>
                  </w:rPr>
                  <w:t>会计核算科目</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 w:type="pct"/>
            <w:vAlign w:val="center"/>
          </w:tcPr>
          <w:sdt>
            <w:sdtPr>
              <w:rPr>
                <w:sz w:val="18"/>
                <w:szCs w:val="18"/>
              </w:rPr>
              <w:alias w:val="上市公司证券投资情况明细－证券品种"/>
              <w:tag w:val="_GBC_5869f90e2f4241cba6edaadfa74944d0"/>
              <w:id w:val="147475097"/>
              <w:comboBox>
                <w:listItem w:displayText="股票" w:value="股票"/>
                <w:listItem w:displayText="债券" w:value="债券"/>
                <w:listItem w:displayText="可转债" w:value="可转债"/>
                <w:listItem w:displayText="基金" w:value="基金"/>
                <w:listItem w:displayText="信托产品" w:value="信托产品"/>
                <w:listItem w:displayText="其他" w:value="其他"/>
              </w:comboBox>
            </w:sdtPr>
            <w:sdtEndPr>
              <w:rPr>
                <w:sz w:val="18"/>
                <w:szCs w:val="18"/>
              </w:rPr>
            </w:sdtEndPr>
            <w:sdtContent>
              <w:p>
                <w:pPr>
                  <w:widowControl w:val="0"/>
                  <w:rPr>
                    <w:sz w:val="18"/>
                    <w:szCs w:val="18"/>
                  </w:rPr>
                </w:pPr>
                <w:r>
                  <w:rPr>
                    <w:rFonts w:hint="eastAsia"/>
                    <w:sz w:val="18"/>
                    <w:szCs w:val="18"/>
                  </w:rPr>
                  <w:t>股票</w:t>
                </w:r>
              </w:p>
            </w:sdtContent>
          </w:sdt>
        </w:tc>
        <w:tc>
          <w:tcPr>
            <w:tcW w:w="294" w:type="pct"/>
            <w:vAlign w:val="center"/>
          </w:tcPr>
          <w:p>
            <w:pPr>
              <w:widowControl w:val="0"/>
              <w:rPr>
                <w:rFonts w:hint="eastAsia"/>
                <w:sz w:val="18"/>
                <w:szCs w:val="18"/>
              </w:rPr>
            </w:pPr>
            <w:r>
              <w:rPr>
                <w:rFonts w:hint="eastAsia"/>
                <w:color w:val="auto"/>
                <w:sz w:val="18"/>
                <w:szCs w:val="18"/>
              </w:rPr>
              <w:t>600030</w:t>
            </w:r>
          </w:p>
        </w:tc>
        <w:tc>
          <w:tcPr>
            <w:tcW w:w="229" w:type="pct"/>
            <w:vAlign w:val="center"/>
          </w:tcPr>
          <w:p>
            <w:pPr>
              <w:widowControl w:val="0"/>
              <w:rPr>
                <w:rFonts w:hint="eastAsia"/>
                <w:sz w:val="18"/>
                <w:szCs w:val="18"/>
              </w:rPr>
            </w:pPr>
            <w:r>
              <w:rPr>
                <w:rFonts w:hint="eastAsia"/>
                <w:color w:val="auto"/>
                <w:sz w:val="18"/>
                <w:szCs w:val="18"/>
              </w:rPr>
              <w:t>中信证券</w:t>
            </w:r>
          </w:p>
        </w:tc>
        <w:tc>
          <w:tcPr>
            <w:tcW w:w="463" w:type="pct"/>
            <w:vAlign w:val="center"/>
          </w:tcPr>
          <w:p>
            <w:pPr>
              <w:widowControl w:val="0"/>
              <w:jc w:val="right"/>
              <w:rPr>
                <w:sz w:val="18"/>
                <w:szCs w:val="18"/>
              </w:rPr>
            </w:pPr>
            <w:r>
              <w:rPr>
                <w:rFonts w:hint="eastAsia"/>
                <w:color w:val="auto"/>
                <w:sz w:val="18"/>
                <w:szCs w:val="18"/>
              </w:rPr>
              <w:t>44,732,230.56</w:t>
            </w:r>
          </w:p>
        </w:tc>
        <w:tc>
          <w:tcPr>
            <w:tcW w:w="225" w:type="pct"/>
            <w:vAlign w:val="center"/>
          </w:tcPr>
          <w:p>
            <w:pPr>
              <w:widowControl w:val="0"/>
              <w:rPr>
                <w:rFonts w:hint="eastAsia"/>
                <w:sz w:val="18"/>
                <w:szCs w:val="18"/>
              </w:rPr>
            </w:pPr>
            <w:r>
              <w:rPr>
                <w:rFonts w:hint="eastAsia"/>
                <w:color w:val="auto"/>
                <w:sz w:val="18"/>
                <w:szCs w:val="18"/>
              </w:rPr>
              <w:t>自有资金</w:t>
            </w:r>
          </w:p>
        </w:tc>
        <w:tc>
          <w:tcPr>
            <w:tcW w:w="476" w:type="pct"/>
            <w:vAlign w:val="center"/>
          </w:tcPr>
          <w:p>
            <w:pPr>
              <w:widowControl w:val="0"/>
              <w:jc w:val="right"/>
              <w:rPr>
                <w:sz w:val="18"/>
                <w:szCs w:val="18"/>
              </w:rPr>
            </w:pPr>
            <w:r>
              <w:rPr>
                <w:rFonts w:hint="eastAsia"/>
                <w:color w:val="auto"/>
                <w:sz w:val="18"/>
                <w:szCs w:val="18"/>
              </w:rPr>
              <w:t>290,497,320.90</w:t>
            </w:r>
          </w:p>
        </w:tc>
        <w:tc>
          <w:tcPr>
            <w:tcW w:w="412" w:type="pct"/>
            <w:vAlign w:val="center"/>
          </w:tcPr>
          <w:p>
            <w:pPr>
              <w:widowControl w:val="0"/>
              <w:jc w:val="right"/>
              <w:rPr>
                <w:rFonts w:hint="eastAsia"/>
                <w:color w:val="auto"/>
                <w:sz w:val="18"/>
                <w:szCs w:val="18"/>
              </w:rPr>
            </w:pPr>
            <w:r>
              <w:rPr>
                <w:rFonts w:hint="eastAsia"/>
                <w:color w:val="auto"/>
                <w:sz w:val="18"/>
                <w:szCs w:val="18"/>
              </w:rPr>
              <w:t>9,958,770.00</w:t>
            </w:r>
          </w:p>
        </w:tc>
        <w:tc>
          <w:tcPr>
            <w:tcW w:w="433" w:type="pct"/>
            <w:vAlign w:val="center"/>
          </w:tcPr>
          <w:p>
            <w:pPr>
              <w:widowControl w:val="0"/>
              <w:jc w:val="right"/>
              <w:rPr>
                <w:sz w:val="18"/>
                <w:szCs w:val="18"/>
              </w:rPr>
            </w:pPr>
            <w:r>
              <w:rPr>
                <w:rFonts w:hint="eastAsia"/>
                <w:color w:val="auto"/>
                <w:sz w:val="18"/>
                <w:szCs w:val="18"/>
              </w:rPr>
              <w:t>-4,581,034.20</w:t>
            </w:r>
          </w:p>
        </w:tc>
        <w:tc>
          <w:tcPr>
            <w:tcW w:w="262" w:type="pct"/>
            <w:vAlign w:val="center"/>
          </w:tcPr>
          <w:p>
            <w:pPr>
              <w:widowControl w:val="0"/>
              <w:jc w:val="right"/>
              <w:rPr>
                <w:sz w:val="18"/>
                <w:szCs w:val="18"/>
              </w:rPr>
            </w:pPr>
          </w:p>
        </w:tc>
        <w:tc>
          <w:tcPr>
            <w:tcW w:w="444" w:type="pct"/>
            <w:vAlign w:val="center"/>
          </w:tcPr>
          <w:p>
            <w:pPr>
              <w:widowControl w:val="0"/>
              <w:jc w:val="right"/>
              <w:rPr>
                <w:sz w:val="18"/>
                <w:szCs w:val="18"/>
              </w:rPr>
            </w:pPr>
          </w:p>
        </w:tc>
        <w:tc>
          <w:tcPr>
            <w:tcW w:w="444" w:type="pct"/>
            <w:vAlign w:val="center"/>
          </w:tcPr>
          <w:p>
            <w:pPr>
              <w:widowControl w:val="0"/>
              <w:jc w:val="right"/>
              <w:rPr>
                <w:sz w:val="18"/>
                <w:szCs w:val="18"/>
              </w:rPr>
            </w:pPr>
          </w:p>
        </w:tc>
        <w:tc>
          <w:tcPr>
            <w:tcW w:w="412" w:type="pct"/>
            <w:vAlign w:val="center"/>
          </w:tcPr>
          <w:p>
            <w:pPr>
              <w:widowControl w:val="0"/>
              <w:jc w:val="right"/>
              <w:rPr>
                <w:sz w:val="18"/>
                <w:szCs w:val="18"/>
              </w:rPr>
            </w:pPr>
            <w:r>
              <w:rPr>
                <w:rFonts w:hint="eastAsia"/>
                <w:color w:val="auto"/>
                <w:sz w:val="18"/>
                <w:szCs w:val="18"/>
              </w:rPr>
              <w:t>5,676,498.90</w:t>
            </w:r>
          </w:p>
        </w:tc>
        <w:tc>
          <w:tcPr>
            <w:tcW w:w="476" w:type="pct"/>
            <w:vAlign w:val="center"/>
          </w:tcPr>
          <w:p>
            <w:pPr>
              <w:widowControl w:val="0"/>
              <w:jc w:val="right"/>
              <w:rPr>
                <w:sz w:val="18"/>
                <w:szCs w:val="18"/>
              </w:rPr>
            </w:pPr>
            <w:r>
              <w:rPr>
                <w:rFonts w:hint="eastAsia"/>
                <w:color w:val="auto"/>
                <w:sz w:val="18"/>
                <w:szCs w:val="18"/>
              </w:rPr>
              <w:t>285,916,286.70</w:t>
            </w:r>
          </w:p>
        </w:tc>
        <w:tc>
          <w:tcPr>
            <w:tcW w:w="301" w:type="pct"/>
            <w:vAlign w:val="center"/>
          </w:tcPr>
          <w:sdt>
            <w:sdtPr>
              <w:rPr>
                <w:sz w:val="18"/>
                <w:szCs w:val="18"/>
              </w:rPr>
              <w:alias w:val="上市公司证券投资情况明细－会计核算科目"/>
              <w:tag w:val="_GBC_76b2a58bd6904ac98cdb4e48af86b25a"/>
              <w:id w:val="147472406"/>
              <w:comboBox>
                <w:listItem w:displayText="债权投资" w:value="债权投资"/>
                <w:listItem w:displayText="交易性金融资产" w:value="交易性金融资产"/>
                <w:listItem w:displayText="其他债权投资" w:value="其他债权投资"/>
                <w:listItem w:displayText="其他权益工具投资" w:value="其他权益工具投资"/>
                <w:listItem w:displayText="其他非流动金融资产" w:value="其他非流动金融资产"/>
                <w:listItem w:displayText="其他" w:value="其他"/>
              </w:comboBox>
            </w:sdtPr>
            <w:sdtEndPr>
              <w:rPr>
                <w:sz w:val="18"/>
                <w:szCs w:val="18"/>
              </w:rPr>
            </w:sdtEndPr>
            <w:sdtContent>
              <w:p>
                <w:pPr>
                  <w:widowControl w:val="0"/>
                  <w:rPr>
                    <w:sz w:val="18"/>
                    <w:szCs w:val="18"/>
                  </w:rPr>
                </w:pPr>
                <w:r>
                  <w:rPr>
                    <w:rFonts w:hint="eastAsia"/>
                    <w:sz w:val="18"/>
                    <w:szCs w:val="18"/>
                  </w:rPr>
                  <w:t>交易性金融资产</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 w:type="pct"/>
            <w:vAlign w:val="center"/>
          </w:tcPr>
          <w:p>
            <w:pPr>
              <w:widowControl w:val="0"/>
              <w:rPr>
                <w:sz w:val="18"/>
                <w:szCs w:val="18"/>
              </w:rPr>
            </w:pPr>
            <w:r>
              <w:rPr>
                <w:rFonts w:hint="eastAsia"/>
                <w:sz w:val="18"/>
                <w:szCs w:val="18"/>
              </w:rPr>
              <w:t>股票</w:t>
            </w:r>
          </w:p>
        </w:tc>
        <w:tc>
          <w:tcPr>
            <w:tcW w:w="294" w:type="pct"/>
            <w:vAlign w:val="center"/>
          </w:tcPr>
          <w:p>
            <w:pPr>
              <w:widowControl w:val="0"/>
              <w:rPr>
                <w:rFonts w:hint="eastAsia"/>
                <w:sz w:val="18"/>
                <w:szCs w:val="18"/>
              </w:rPr>
            </w:pPr>
            <w:r>
              <w:rPr>
                <w:rFonts w:hint="eastAsia"/>
                <w:color w:val="auto"/>
                <w:sz w:val="18"/>
                <w:szCs w:val="18"/>
              </w:rPr>
              <w:t>601328</w:t>
            </w:r>
          </w:p>
        </w:tc>
        <w:tc>
          <w:tcPr>
            <w:tcW w:w="229" w:type="pct"/>
            <w:vAlign w:val="center"/>
          </w:tcPr>
          <w:p>
            <w:pPr>
              <w:widowControl w:val="0"/>
              <w:rPr>
                <w:rFonts w:hint="eastAsia"/>
                <w:sz w:val="18"/>
                <w:szCs w:val="18"/>
              </w:rPr>
            </w:pPr>
            <w:r>
              <w:rPr>
                <w:rFonts w:hint="eastAsia"/>
                <w:color w:val="auto"/>
                <w:sz w:val="18"/>
                <w:szCs w:val="18"/>
              </w:rPr>
              <w:t>交通银行</w:t>
            </w:r>
          </w:p>
        </w:tc>
        <w:tc>
          <w:tcPr>
            <w:tcW w:w="463" w:type="pct"/>
            <w:vAlign w:val="center"/>
          </w:tcPr>
          <w:p>
            <w:pPr>
              <w:widowControl w:val="0"/>
              <w:jc w:val="right"/>
              <w:rPr>
                <w:sz w:val="18"/>
                <w:szCs w:val="18"/>
              </w:rPr>
            </w:pPr>
            <w:r>
              <w:rPr>
                <w:rFonts w:hint="eastAsia"/>
                <w:color w:val="auto"/>
                <w:sz w:val="18"/>
                <w:szCs w:val="18"/>
              </w:rPr>
              <w:t>67,508.50</w:t>
            </w:r>
          </w:p>
        </w:tc>
        <w:tc>
          <w:tcPr>
            <w:tcW w:w="225" w:type="pct"/>
            <w:vAlign w:val="center"/>
          </w:tcPr>
          <w:p>
            <w:pPr>
              <w:widowControl w:val="0"/>
              <w:rPr>
                <w:rFonts w:hint="eastAsia"/>
                <w:sz w:val="18"/>
                <w:szCs w:val="18"/>
              </w:rPr>
            </w:pPr>
            <w:r>
              <w:rPr>
                <w:rFonts w:hint="eastAsia"/>
                <w:color w:val="auto"/>
                <w:sz w:val="18"/>
                <w:szCs w:val="18"/>
              </w:rPr>
              <w:t>自有资金</w:t>
            </w:r>
          </w:p>
        </w:tc>
        <w:tc>
          <w:tcPr>
            <w:tcW w:w="476" w:type="pct"/>
            <w:vAlign w:val="center"/>
          </w:tcPr>
          <w:p>
            <w:pPr>
              <w:widowControl w:val="0"/>
              <w:jc w:val="right"/>
              <w:rPr>
                <w:sz w:val="18"/>
                <w:szCs w:val="18"/>
              </w:rPr>
            </w:pPr>
            <w:r>
              <w:rPr>
                <w:rFonts w:hint="eastAsia"/>
                <w:color w:val="auto"/>
                <w:sz w:val="18"/>
                <w:szCs w:val="18"/>
              </w:rPr>
              <w:t>400,551.27</w:t>
            </w:r>
          </w:p>
        </w:tc>
        <w:tc>
          <w:tcPr>
            <w:tcW w:w="412" w:type="pct"/>
            <w:vAlign w:val="center"/>
          </w:tcPr>
          <w:p>
            <w:pPr>
              <w:widowControl w:val="0"/>
              <w:jc w:val="right"/>
              <w:rPr>
                <w:rFonts w:hint="eastAsia"/>
                <w:color w:val="auto"/>
                <w:sz w:val="18"/>
                <w:szCs w:val="18"/>
              </w:rPr>
            </w:pPr>
            <w:r>
              <w:rPr>
                <w:rFonts w:hint="eastAsia"/>
                <w:color w:val="auto"/>
                <w:sz w:val="18"/>
                <w:szCs w:val="18"/>
              </w:rPr>
              <w:t>51,551.00</w:t>
            </w:r>
          </w:p>
        </w:tc>
        <w:tc>
          <w:tcPr>
            <w:tcW w:w="433" w:type="pct"/>
            <w:vAlign w:val="center"/>
          </w:tcPr>
          <w:p>
            <w:pPr>
              <w:widowControl w:val="0"/>
              <w:jc w:val="right"/>
              <w:rPr>
                <w:sz w:val="18"/>
                <w:szCs w:val="18"/>
              </w:rPr>
            </w:pPr>
            <w:r>
              <w:rPr>
                <w:rFonts w:hint="eastAsia"/>
                <w:color w:val="auto"/>
                <w:sz w:val="18"/>
                <w:szCs w:val="18"/>
              </w:rPr>
              <w:t>-26,806.52</w:t>
            </w:r>
          </w:p>
        </w:tc>
        <w:tc>
          <w:tcPr>
            <w:tcW w:w="262" w:type="pct"/>
            <w:vAlign w:val="center"/>
          </w:tcPr>
          <w:p>
            <w:pPr>
              <w:widowControl w:val="0"/>
              <w:jc w:val="right"/>
              <w:rPr>
                <w:sz w:val="18"/>
                <w:szCs w:val="18"/>
              </w:rPr>
            </w:pPr>
          </w:p>
        </w:tc>
        <w:tc>
          <w:tcPr>
            <w:tcW w:w="444" w:type="pct"/>
            <w:vAlign w:val="center"/>
          </w:tcPr>
          <w:p>
            <w:pPr>
              <w:widowControl w:val="0"/>
              <w:jc w:val="right"/>
              <w:rPr>
                <w:sz w:val="18"/>
                <w:szCs w:val="18"/>
              </w:rPr>
            </w:pPr>
          </w:p>
        </w:tc>
        <w:tc>
          <w:tcPr>
            <w:tcW w:w="444" w:type="pct"/>
            <w:vAlign w:val="center"/>
          </w:tcPr>
          <w:p>
            <w:pPr>
              <w:widowControl w:val="0"/>
              <w:jc w:val="right"/>
              <w:rPr>
                <w:sz w:val="18"/>
                <w:szCs w:val="18"/>
              </w:rPr>
            </w:pPr>
          </w:p>
        </w:tc>
        <w:tc>
          <w:tcPr>
            <w:tcW w:w="412" w:type="pct"/>
            <w:vAlign w:val="center"/>
          </w:tcPr>
          <w:p>
            <w:pPr>
              <w:widowControl w:val="0"/>
              <w:jc w:val="right"/>
              <w:rPr>
                <w:sz w:val="18"/>
                <w:szCs w:val="18"/>
              </w:rPr>
            </w:pPr>
            <w:r>
              <w:rPr>
                <w:rFonts w:hint="eastAsia"/>
                <w:color w:val="auto"/>
                <w:sz w:val="18"/>
                <w:szCs w:val="18"/>
              </w:rPr>
              <w:t>27,595.25</w:t>
            </w:r>
          </w:p>
        </w:tc>
        <w:tc>
          <w:tcPr>
            <w:tcW w:w="476" w:type="pct"/>
            <w:vAlign w:val="center"/>
          </w:tcPr>
          <w:p>
            <w:pPr>
              <w:widowControl w:val="0"/>
              <w:jc w:val="right"/>
              <w:rPr>
                <w:sz w:val="18"/>
                <w:szCs w:val="18"/>
              </w:rPr>
            </w:pPr>
            <w:r>
              <w:rPr>
                <w:rFonts w:hint="eastAsia"/>
                <w:color w:val="auto"/>
                <w:sz w:val="18"/>
                <w:szCs w:val="18"/>
              </w:rPr>
              <w:t>373,744.75</w:t>
            </w:r>
          </w:p>
        </w:tc>
        <w:tc>
          <w:tcPr>
            <w:tcW w:w="301" w:type="pct"/>
            <w:vAlign w:val="center"/>
          </w:tcPr>
          <w:p>
            <w:pPr>
              <w:widowControl w:val="0"/>
              <w:rPr>
                <w:sz w:val="18"/>
                <w:szCs w:val="18"/>
              </w:rPr>
            </w:pPr>
            <w:r>
              <w:rPr>
                <w:rFonts w:hint="eastAsia"/>
                <w:sz w:val="18"/>
                <w:szCs w:val="18"/>
              </w:rPr>
              <w:t>交易性金融资产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 w:type="pct"/>
            <w:vAlign w:val="center"/>
          </w:tcPr>
          <w:p>
            <w:pPr>
              <w:widowControl w:val="0"/>
              <w:rPr>
                <w:sz w:val="18"/>
                <w:szCs w:val="18"/>
              </w:rPr>
            </w:pPr>
            <w:r>
              <w:rPr>
                <w:rFonts w:hint="eastAsia"/>
                <w:sz w:val="18"/>
                <w:szCs w:val="18"/>
              </w:rPr>
              <w:t>股票</w:t>
            </w:r>
          </w:p>
        </w:tc>
        <w:tc>
          <w:tcPr>
            <w:tcW w:w="294" w:type="pct"/>
            <w:vAlign w:val="center"/>
          </w:tcPr>
          <w:p>
            <w:pPr>
              <w:widowControl w:val="0"/>
              <w:rPr>
                <w:rFonts w:hint="eastAsia"/>
                <w:sz w:val="18"/>
                <w:szCs w:val="18"/>
              </w:rPr>
            </w:pPr>
            <w:r>
              <w:rPr>
                <w:rFonts w:hint="eastAsia"/>
                <w:color w:val="auto"/>
                <w:sz w:val="18"/>
                <w:szCs w:val="18"/>
              </w:rPr>
              <w:t>600712</w:t>
            </w:r>
          </w:p>
        </w:tc>
        <w:tc>
          <w:tcPr>
            <w:tcW w:w="229" w:type="pct"/>
            <w:vAlign w:val="center"/>
          </w:tcPr>
          <w:p>
            <w:pPr>
              <w:widowControl w:val="0"/>
              <w:rPr>
                <w:rFonts w:hint="eastAsia"/>
                <w:sz w:val="18"/>
                <w:szCs w:val="18"/>
              </w:rPr>
            </w:pPr>
            <w:r>
              <w:rPr>
                <w:rFonts w:hint="eastAsia"/>
                <w:color w:val="auto"/>
                <w:sz w:val="18"/>
                <w:szCs w:val="18"/>
              </w:rPr>
              <w:t>步步高</w:t>
            </w:r>
          </w:p>
        </w:tc>
        <w:tc>
          <w:tcPr>
            <w:tcW w:w="463" w:type="pct"/>
            <w:vAlign w:val="center"/>
          </w:tcPr>
          <w:p>
            <w:pPr>
              <w:widowControl w:val="0"/>
              <w:jc w:val="right"/>
              <w:rPr>
                <w:sz w:val="18"/>
                <w:szCs w:val="18"/>
              </w:rPr>
            </w:pPr>
            <w:r>
              <w:rPr>
                <w:rFonts w:hint="eastAsia"/>
                <w:color w:val="auto"/>
                <w:sz w:val="18"/>
                <w:szCs w:val="18"/>
              </w:rPr>
              <w:t>737,582.72</w:t>
            </w:r>
          </w:p>
        </w:tc>
        <w:tc>
          <w:tcPr>
            <w:tcW w:w="225" w:type="pct"/>
            <w:vAlign w:val="center"/>
          </w:tcPr>
          <w:p>
            <w:pPr>
              <w:widowControl w:val="0"/>
              <w:rPr>
                <w:rFonts w:hint="eastAsia"/>
                <w:sz w:val="18"/>
                <w:szCs w:val="18"/>
              </w:rPr>
            </w:pPr>
            <w:r>
              <w:rPr>
                <w:rFonts w:hint="eastAsia"/>
                <w:color w:val="auto"/>
                <w:sz w:val="18"/>
                <w:szCs w:val="18"/>
              </w:rPr>
              <w:t>债务重组</w:t>
            </w:r>
          </w:p>
        </w:tc>
        <w:tc>
          <w:tcPr>
            <w:tcW w:w="476" w:type="pct"/>
            <w:vAlign w:val="center"/>
          </w:tcPr>
          <w:p>
            <w:pPr>
              <w:widowControl w:val="0"/>
              <w:jc w:val="right"/>
              <w:rPr>
                <w:sz w:val="18"/>
                <w:szCs w:val="18"/>
              </w:rPr>
            </w:pPr>
            <w:r>
              <w:rPr>
                <w:rFonts w:hint="eastAsia"/>
                <w:sz w:val="18"/>
                <w:szCs w:val="18"/>
                <w:lang w:val="en-US" w:eastAsia="zh-CN"/>
              </w:rPr>
              <w:t xml:space="preserve"> </w:t>
            </w:r>
            <w:r>
              <w:rPr>
                <w:rFonts w:hint="eastAsia"/>
                <w:color w:val="auto"/>
                <w:sz w:val="18"/>
                <w:szCs w:val="18"/>
              </w:rPr>
              <w:t>-</w:t>
            </w:r>
          </w:p>
        </w:tc>
        <w:tc>
          <w:tcPr>
            <w:tcW w:w="412" w:type="pct"/>
            <w:vAlign w:val="center"/>
          </w:tcPr>
          <w:p>
            <w:pPr>
              <w:widowControl w:val="0"/>
              <w:jc w:val="right"/>
              <w:rPr>
                <w:rFonts w:hint="eastAsia"/>
                <w:sz w:val="18"/>
                <w:szCs w:val="18"/>
                <w:lang w:val="en-US" w:eastAsia="zh-CN"/>
              </w:rPr>
            </w:pPr>
            <w:r>
              <w:rPr>
                <w:rFonts w:hint="eastAsia"/>
                <w:sz w:val="18"/>
                <w:szCs w:val="18"/>
                <w:lang w:val="en-US" w:eastAsia="zh-CN"/>
              </w:rPr>
              <w:t>172,736</w:t>
            </w:r>
          </w:p>
        </w:tc>
        <w:tc>
          <w:tcPr>
            <w:tcW w:w="433" w:type="pct"/>
            <w:vAlign w:val="center"/>
          </w:tcPr>
          <w:p>
            <w:pPr>
              <w:widowControl w:val="0"/>
              <w:jc w:val="right"/>
              <w:rPr>
                <w:sz w:val="18"/>
                <w:szCs w:val="18"/>
              </w:rPr>
            </w:pPr>
            <w:r>
              <w:rPr>
                <w:rFonts w:hint="eastAsia"/>
                <w:color w:val="auto"/>
                <w:sz w:val="18"/>
                <w:szCs w:val="18"/>
              </w:rPr>
              <w:t>179,645.44</w:t>
            </w:r>
          </w:p>
        </w:tc>
        <w:tc>
          <w:tcPr>
            <w:tcW w:w="262" w:type="pct"/>
            <w:vAlign w:val="center"/>
          </w:tcPr>
          <w:p>
            <w:pPr>
              <w:widowControl w:val="0"/>
              <w:jc w:val="right"/>
              <w:rPr>
                <w:sz w:val="18"/>
                <w:szCs w:val="18"/>
              </w:rPr>
            </w:pPr>
          </w:p>
        </w:tc>
        <w:tc>
          <w:tcPr>
            <w:tcW w:w="444" w:type="pct"/>
            <w:vAlign w:val="center"/>
          </w:tcPr>
          <w:p>
            <w:pPr>
              <w:widowControl w:val="0"/>
              <w:jc w:val="right"/>
              <w:rPr>
                <w:sz w:val="18"/>
                <w:szCs w:val="18"/>
              </w:rPr>
            </w:pPr>
          </w:p>
        </w:tc>
        <w:tc>
          <w:tcPr>
            <w:tcW w:w="444" w:type="pct"/>
            <w:vAlign w:val="center"/>
          </w:tcPr>
          <w:p>
            <w:pPr>
              <w:widowControl w:val="0"/>
              <w:jc w:val="right"/>
              <w:rPr>
                <w:sz w:val="18"/>
                <w:szCs w:val="18"/>
              </w:rPr>
            </w:pPr>
          </w:p>
        </w:tc>
        <w:tc>
          <w:tcPr>
            <w:tcW w:w="412" w:type="pct"/>
            <w:vAlign w:val="center"/>
          </w:tcPr>
          <w:p>
            <w:pPr>
              <w:widowControl w:val="0"/>
              <w:jc w:val="right"/>
              <w:rPr>
                <w:sz w:val="18"/>
                <w:szCs w:val="18"/>
              </w:rPr>
            </w:pPr>
          </w:p>
        </w:tc>
        <w:tc>
          <w:tcPr>
            <w:tcW w:w="476" w:type="pct"/>
            <w:vAlign w:val="center"/>
          </w:tcPr>
          <w:p>
            <w:pPr>
              <w:widowControl w:val="0"/>
              <w:jc w:val="right"/>
              <w:rPr>
                <w:sz w:val="18"/>
                <w:szCs w:val="18"/>
              </w:rPr>
            </w:pPr>
            <w:r>
              <w:rPr>
                <w:rFonts w:hint="eastAsia"/>
                <w:color w:val="auto"/>
                <w:sz w:val="18"/>
                <w:szCs w:val="18"/>
              </w:rPr>
              <w:t>917,228.16</w:t>
            </w:r>
          </w:p>
        </w:tc>
        <w:tc>
          <w:tcPr>
            <w:tcW w:w="301" w:type="pct"/>
            <w:vAlign w:val="center"/>
          </w:tcPr>
          <w:p>
            <w:pPr>
              <w:widowControl w:val="0"/>
              <w:rPr>
                <w:sz w:val="18"/>
                <w:szCs w:val="18"/>
              </w:rPr>
            </w:pPr>
            <w:r>
              <w:rPr>
                <w:rFonts w:hint="eastAsia"/>
                <w:sz w:val="18"/>
                <w:szCs w:val="18"/>
              </w:rPr>
              <w:t>交易性金融资产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 w:type="pct"/>
            <w:vAlign w:val="center"/>
          </w:tcPr>
          <w:p>
            <w:pPr>
              <w:widowControl w:val="0"/>
              <w:rPr>
                <w:sz w:val="18"/>
                <w:szCs w:val="18"/>
              </w:rPr>
            </w:pPr>
            <w:r>
              <w:rPr>
                <w:rFonts w:hint="eastAsia"/>
                <w:sz w:val="18"/>
                <w:szCs w:val="18"/>
              </w:rPr>
              <w:t>基金</w:t>
            </w:r>
          </w:p>
        </w:tc>
        <w:tc>
          <w:tcPr>
            <w:tcW w:w="294" w:type="pct"/>
            <w:vAlign w:val="center"/>
          </w:tcPr>
          <w:p>
            <w:pPr>
              <w:widowControl w:val="0"/>
              <w:rPr>
                <w:rFonts w:hint="eastAsia"/>
                <w:sz w:val="18"/>
                <w:szCs w:val="18"/>
              </w:rPr>
            </w:pPr>
            <w:r>
              <w:rPr>
                <w:rFonts w:hint="eastAsia"/>
                <w:color w:val="auto"/>
                <w:sz w:val="18"/>
                <w:szCs w:val="18"/>
              </w:rPr>
              <w:t>519800</w:t>
            </w:r>
          </w:p>
        </w:tc>
        <w:tc>
          <w:tcPr>
            <w:tcW w:w="229" w:type="pct"/>
            <w:vAlign w:val="center"/>
          </w:tcPr>
          <w:p>
            <w:pPr>
              <w:widowControl w:val="0"/>
              <w:rPr>
                <w:rFonts w:hint="eastAsia"/>
                <w:sz w:val="18"/>
                <w:szCs w:val="18"/>
              </w:rPr>
            </w:pPr>
          </w:p>
        </w:tc>
        <w:tc>
          <w:tcPr>
            <w:tcW w:w="463" w:type="pct"/>
            <w:vAlign w:val="center"/>
          </w:tcPr>
          <w:p>
            <w:pPr>
              <w:widowControl w:val="0"/>
              <w:jc w:val="right"/>
              <w:rPr>
                <w:sz w:val="18"/>
                <w:szCs w:val="18"/>
              </w:rPr>
            </w:pPr>
            <w:r>
              <w:rPr>
                <w:rFonts w:hint="eastAsia"/>
                <w:color w:val="auto"/>
                <w:sz w:val="18"/>
                <w:szCs w:val="18"/>
              </w:rPr>
              <w:t>10,218,234.64</w:t>
            </w:r>
          </w:p>
        </w:tc>
        <w:tc>
          <w:tcPr>
            <w:tcW w:w="225" w:type="pct"/>
            <w:vAlign w:val="center"/>
          </w:tcPr>
          <w:p>
            <w:pPr>
              <w:widowControl w:val="0"/>
              <w:rPr>
                <w:rFonts w:hint="eastAsia"/>
                <w:sz w:val="18"/>
                <w:szCs w:val="18"/>
              </w:rPr>
            </w:pPr>
            <w:r>
              <w:rPr>
                <w:rFonts w:hint="eastAsia"/>
                <w:color w:val="auto"/>
                <w:sz w:val="18"/>
                <w:szCs w:val="18"/>
              </w:rPr>
              <w:t>自有资金</w:t>
            </w:r>
          </w:p>
        </w:tc>
        <w:tc>
          <w:tcPr>
            <w:tcW w:w="476" w:type="pct"/>
            <w:vAlign w:val="center"/>
          </w:tcPr>
          <w:p>
            <w:pPr>
              <w:widowControl w:val="0"/>
              <w:jc w:val="right"/>
              <w:rPr>
                <w:sz w:val="18"/>
                <w:szCs w:val="18"/>
              </w:rPr>
            </w:pPr>
            <w:r>
              <w:rPr>
                <w:rFonts w:hint="eastAsia"/>
                <w:sz w:val="18"/>
                <w:szCs w:val="18"/>
                <w:lang w:val="en-US" w:eastAsia="zh-CN"/>
              </w:rPr>
              <w:t xml:space="preserve"> </w:t>
            </w:r>
            <w:r>
              <w:rPr>
                <w:rFonts w:hint="eastAsia"/>
                <w:color w:val="auto"/>
                <w:sz w:val="18"/>
                <w:szCs w:val="18"/>
              </w:rPr>
              <w:t>-</w:t>
            </w:r>
          </w:p>
        </w:tc>
        <w:tc>
          <w:tcPr>
            <w:tcW w:w="412" w:type="pct"/>
            <w:vAlign w:val="center"/>
          </w:tcPr>
          <w:p>
            <w:pPr>
              <w:widowControl w:val="0"/>
              <w:jc w:val="right"/>
              <w:rPr>
                <w:rFonts w:hint="eastAsia"/>
                <w:sz w:val="18"/>
                <w:szCs w:val="18"/>
                <w:lang w:val="en-US" w:eastAsia="zh-CN"/>
              </w:rPr>
            </w:pPr>
          </w:p>
        </w:tc>
        <w:tc>
          <w:tcPr>
            <w:tcW w:w="433" w:type="pct"/>
            <w:vAlign w:val="center"/>
          </w:tcPr>
          <w:p>
            <w:pPr>
              <w:widowControl w:val="0"/>
              <w:jc w:val="right"/>
              <w:rPr>
                <w:sz w:val="18"/>
                <w:szCs w:val="18"/>
              </w:rPr>
            </w:pPr>
          </w:p>
        </w:tc>
        <w:tc>
          <w:tcPr>
            <w:tcW w:w="262" w:type="pct"/>
            <w:vAlign w:val="center"/>
          </w:tcPr>
          <w:p>
            <w:pPr>
              <w:widowControl w:val="0"/>
              <w:jc w:val="right"/>
              <w:rPr>
                <w:sz w:val="18"/>
                <w:szCs w:val="18"/>
              </w:rPr>
            </w:pPr>
          </w:p>
        </w:tc>
        <w:tc>
          <w:tcPr>
            <w:tcW w:w="444" w:type="pct"/>
            <w:vAlign w:val="center"/>
          </w:tcPr>
          <w:p>
            <w:pPr>
              <w:widowControl w:val="0"/>
              <w:jc w:val="right"/>
              <w:rPr>
                <w:sz w:val="18"/>
                <w:szCs w:val="18"/>
              </w:rPr>
            </w:pPr>
            <w:r>
              <w:rPr>
                <w:rFonts w:hint="eastAsia"/>
                <w:color w:val="auto"/>
                <w:sz w:val="18"/>
                <w:szCs w:val="18"/>
              </w:rPr>
              <w:t>10,218,234.64</w:t>
            </w:r>
          </w:p>
        </w:tc>
        <w:tc>
          <w:tcPr>
            <w:tcW w:w="444" w:type="pct"/>
            <w:vAlign w:val="center"/>
          </w:tcPr>
          <w:p>
            <w:pPr>
              <w:widowControl w:val="0"/>
              <w:jc w:val="right"/>
              <w:rPr>
                <w:sz w:val="18"/>
                <w:szCs w:val="18"/>
              </w:rPr>
            </w:pPr>
            <w:r>
              <w:rPr>
                <w:rFonts w:hint="eastAsia"/>
                <w:color w:val="auto"/>
                <w:sz w:val="18"/>
                <w:szCs w:val="18"/>
              </w:rPr>
              <w:t>10,218,234.64</w:t>
            </w:r>
          </w:p>
        </w:tc>
        <w:tc>
          <w:tcPr>
            <w:tcW w:w="412" w:type="pct"/>
            <w:vAlign w:val="center"/>
          </w:tcPr>
          <w:p>
            <w:pPr>
              <w:widowControl w:val="0"/>
              <w:jc w:val="right"/>
              <w:rPr>
                <w:sz w:val="18"/>
                <w:szCs w:val="18"/>
              </w:rPr>
            </w:pPr>
            <w:r>
              <w:rPr>
                <w:rFonts w:hint="eastAsia"/>
                <w:color w:val="auto"/>
                <w:sz w:val="18"/>
                <w:szCs w:val="18"/>
              </w:rPr>
              <w:t>52,856.45</w:t>
            </w:r>
          </w:p>
        </w:tc>
        <w:tc>
          <w:tcPr>
            <w:tcW w:w="476" w:type="pct"/>
            <w:vAlign w:val="center"/>
          </w:tcPr>
          <w:p>
            <w:pPr>
              <w:widowControl w:val="0"/>
              <w:jc w:val="right"/>
              <w:rPr>
                <w:sz w:val="18"/>
                <w:szCs w:val="18"/>
              </w:rPr>
            </w:pPr>
          </w:p>
        </w:tc>
        <w:tc>
          <w:tcPr>
            <w:tcW w:w="301" w:type="pct"/>
            <w:vAlign w:val="center"/>
          </w:tcPr>
          <w:p>
            <w:pPr>
              <w:widowControl w:val="0"/>
              <w:rPr>
                <w:sz w:val="18"/>
                <w:szCs w:val="18"/>
              </w:rPr>
            </w:pPr>
            <w:r>
              <w:rPr>
                <w:rFonts w:hint="eastAsia"/>
                <w:sz w:val="18"/>
                <w:szCs w:val="18"/>
              </w:rPr>
              <w:t>交易性金融资产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 w:type="pct"/>
            <w:vAlign w:val="center"/>
          </w:tcPr>
          <w:p>
            <w:pPr>
              <w:widowControl w:val="0"/>
              <w:jc w:val="both"/>
              <w:rPr>
                <w:sz w:val="18"/>
                <w:szCs w:val="18"/>
              </w:rPr>
            </w:pPr>
            <w:r>
              <w:rPr>
                <w:sz w:val="18"/>
                <w:szCs w:val="18"/>
              </w:rPr>
              <w:t>合计</w:t>
            </w:r>
          </w:p>
        </w:tc>
        <w:tc>
          <w:tcPr>
            <w:tcW w:w="294" w:type="pct"/>
            <w:vAlign w:val="center"/>
          </w:tcPr>
          <w:p>
            <w:pPr>
              <w:widowControl w:val="0"/>
              <w:jc w:val="center"/>
              <w:rPr>
                <w:sz w:val="18"/>
                <w:szCs w:val="18"/>
              </w:rPr>
            </w:pPr>
            <w:r>
              <w:rPr>
                <w:rFonts w:hint="eastAsia"/>
                <w:sz w:val="18"/>
                <w:szCs w:val="18"/>
              </w:rPr>
              <w:t>/</w:t>
            </w:r>
          </w:p>
        </w:tc>
        <w:tc>
          <w:tcPr>
            <w:tcW w:w="229" w:type="pct"/>
            <w:vAlign w:val="center"/>
          </w:tcPr>
          <w:p>
            <w:pPr>
              <w:widowControl w:val="0"/>
              <w:jc w:val="center"/>
              <w:rPr>
                <w:sz w:val="18"/>
                <w:szCs w:val="18"/>
              </w:rPr>
            </w:pPr>
            <w:r>
              <w:rPr>
                <w:rFonts w:hint="eastAsia"/>
                <w:sz w:val="18"/>
                <w:szCs w:val="18"/>
              </w:rPr>
              <w:t>/</w:t>
            </w:r>
          </w:p>
        </w:tc>
        <w:tc>
          <w:tcPr>
            <w:tcW w:w="463" w:type="pct"/>
            <w:vAlign w:val="center"/>
          </w:tcPr>
          <w:p>
            <w:pPr>
              <w:widowControl w:val="0"/>
              <w:jc w:val="right"/>
              <w:rPr>
                <w:sz w:val="18"/>
                <w:szCs w:val="18"/>
              </w:rPr>
            </w:pPr>
            <w:r>
              <w:rPr>
                <w:rFonts w:hint="eastAsia"/>
                <w:color w:val="auto"/>
                <w:sz w:val="18"/>
                <w:szCs w:val="18"/>
              </w:rPr>
              <w:t>55,755,556.42</w:t>
            </w:r>
          </w:p>
        </w:tc>
        <w:tc>
          <w:tcPr>
            <w:tcW w:w="225" w:type="pct"/>
            <w:vAlign w:val="center"/>
          </w:tcPr>
          <w:p>
            <w:pPr>
              <w:widowControl w:val="0"/>
              <w:jc w:val="center"/>
              <w:rPr>
                <w:sz w:val="18"/>
                <w:szCs w:val="18"/>
              </w:rPr>
            </w:pPr>
            <w:r>
              <w:rPr>
                <w:rFonts w:hint="eastAsia"/>
                <w:sz w:val="18"/>
                <w:szCs w:val="18"/>
              </w:rPr>
              <w:t>/</w:t>
            </w:r>
          </w:p>
        </w:tc>
        <w:tc>
          <w:tcPr>
            <w:tcW w:w="476" w:type="pct"/>
            <w:vAlign w:val="center"/>
          </w:tcPr>
          <w:p>
            <w:pPr>
              <w:widowControl w:val="0"/>
              <w:jc w:val="right"/>
              <w:rPr>
                <w:sz w:val="18"/>
                <w:szCs w:val="18"/>
              </w:rPr>
            </w:pPr>
            <w:r>
              <w:rPr>
                <w:rFonts w:hint="eastAsia"/>
                <w:color w:val="auto"/>
                <w:sz w:val="18"/>
                <w:szCs w:val="18"/>
                <w:lang w:eastAsia="zh-CN"/>
              </w:rPr>
              <w:t>290,897,872.17</w:t>
            </w:r>
          </w:p>
        </w:tc>
        <w:tc>
          <w:tcPr>
            <w:tcW w:w="412" w:type="pct"/>
            <w:vAlign w:val="center"/>
          </w:tcPr>
          <w:p>
            <w:pPr>
              <w:widowControl w:val="0"/>
              <w:jc w:val="right"/>
              <w:rPr>
                <w:rFonts w:hint="eastAsia"/>
                <w:color w:val="auto"/>
                <w:sz w:val="18"/>
                <w:szCs w:val="18"/>
              </w:rPr>
            </w:pPr>
          </w:p>
        </w:tc>
        <w:tc>
          <w:tcPr>
            <w:tcW w:w="433" w:type="pct"/>
            <w:vAlign w:val="center"/>
          </w:tcPr>
          <w:p>
            <w:pPr>
              <w:widowControl w:val="0"/>
              <w:jc w:val="right"/>
              <w:rPr>
                <w:sz w:val="18"/>
                <w:szCs w:val="18"/>
              </w:rPr>
            </w:pPr>
            <w:r>
              <w:rPr>
                <w:rFonts w:hint="eastAsia"/>
                <w:color w:val="auto"/>
                <w:sz w:val="18"/>
                <w:szCs w:val="18"/>
              </w:rPr>
              <w:t>-4,428,195.28</w:t>
            </w:r>
          </w:p>
        </w:tc>
        <w:tc>
          <w:tcPr>
            <w:tcW w:w="262" w:type="pct"/>
            <w:vAlign w:val="center"/>
          </w:tcPr>
          <w:p>
            <w:pPr>
              <w:widowControl w:val="0"/>
              <w:jc w:val="right"/>
              <w:rPr>
                <w:sz w:val="18"/>
                <w:szCs w:val="18"/>
              </w:rPr>
            </w:pPr>
          </w:p>
        </w:tc>
        <w:tc>
          <w:tcPr>
            <w:tcW w:w="444" w:type="pct"/>
            <w:vAlign w:val="center"/>
          </w:tcPr>
          <w:p>
            <w:pPr>
              <w:widowControl w:val="0"/>
              <w:jc w:val="right"/>
              <w:rPr>
                <w:sz w:val="18"/>
                <w:szCs w:val="18"/>
              </w:rPr>
            </w:pPr>
            <w:r>
              <w:rPr>
                <w:rFonts w:hint="eastAsia"/>
                <w:color w:val="auto"/>
                <w:sz w:val="18"/>
                <w:szCs w:val="18"/>
              </w:rPr>
              <w:t>10,218,234.64</w:t>
            </w:r>
          </w:p>
        </w:tc>
        <w:tc>
          <w:tcPr>
            <w:tcW w:w="444" w:type="pct"/>
            <w:vAlign w:val="center"/>
          </w:tcPr>
          <w:p>
            <w:pPr>
              <w:widowControl w:val="0"/>
              <w:jc w:val="right"/>
              <w:rPr>
                <w:sz w:val="18"/>
                <w:szCs w:val="18"/>
              </w:rPr>
            </w:pPr>
            <w:r>
              <w:rPr>
                <w:rFonts w:hint="eastAsia"/>
                <w:color w:val="auto"/>
                <w:sz w:val="18"/>
                <w:szCs w:val="18"/>
              </w:rPr>
              <w:t>10,218,234.64</w:t>
            </w:r>
          </w:p>
        </w:tc>
        <w:tc>
          <w:tcPr>
            <w:tcW w:w="412" w:type="pct"/>
            <w:vAlign w:val="center"/>
          </w:tcPr>
          <w:p>
            <w:pPr>
              <w:widowControl w:val="0"/>
              <w:jc w:val="right"/>
              <w:rPr>
                <w:sz w:val="18"/>
                <w:szCs w:val="18"/>
              </w:rPr>
            </w:pPr>
            <w:r>
              <w:rPr>
                <w:rFonts w:hint="eastAsia"/>
                <w:color w:val="auto"/>
                <w:sz w:val="18"/>
                <w:szCs w:val="18"/>
              </w:rPr>
              <w:t>5,756,950.60</w:t>
            </w:r>
          </w:p>
        </w:tc>
        <w:tc>
          <w:tcPr>
            <w:tcW w:w="476" w:type="pct"/>
            <w:vAlign w:val="center"/>
          </w:tcPr>
          <w:p>
            <w:pPr>
              <w:widowControl w:val="0"/>
              <w:jc w:val="right"/>
              <w:rPr>
                <w:sz w:val="18"/>
                <w:szCs w:val="18"/>
              </w:rPr>
            </w:pPr>
            <w:r>
              <w:rPr>
                <w:rFonts w:hint="eastAsia"/>
                <w:color w:val="auto"/>
                <w:sz w:val="18"/>
                <w:szCs w:val="18"/>
              </w:rPr>
              <w:t>287,207,259.61</w:t>
            </w:r>
          </w:p>
        </w:tc>
        <w:tc>
          <w:tcPr>
            <w:tcW w:w="301" w:type="pct"/>
            <w:vAlign w:val="center"/>
          </w:tcPr>
          <w:p>
            <w:pPr>
              <w:widowControl w:val="0"/>
              <w:jc w:val="center"/>
              <w:rPr>
                <w:sz w:val="18"/>
                <w:szCs w:val="18"/>
              </w:rPr>
            </w:pPr>
            <w:r>
              <w:rPr>
                <w:rFonts w:hint="eastAsia"/>
                <w:sz w:val="18"/>
                <w:szCs w:val="18"/>
              </w:rPr>
              <w:t>/</w:t>
            </w:r>
          </w:p>
        </w:tc>
      </w:tr>
    </w:tbl>
    <w:p/>
    <w:p>
      <w:r>
        <w:rPr>
          <w:rFonts w:hint="eastAsia"/>
          <w:lang w:val="en-US" w:eastAsia="zh-CN"/>
        </w:rPr>
        <w:t>证</w:t>
      </w:r>
      <w:r>
        <w:rPr>
          <w:rFonts w:hint="eastAsia"/>
        </w:rPr>
        <w:t>券投资情况的说明</w:t>
      </w:r>
    </w:p>
    <w:sdt>
      <w:sdtPr>
        <w:alias w:val="是否适用：证券投资情况的说明[双击切换]"/>
        <w:tag w:val="_GBC_846a2917c37545bbb004e11b14dfefbc"/>
        <w:id w:val="5971"/>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ascii="Times New Roman" w:hAnsi="Times New Roman" w:eastAsia="宋体" w:cs="Times New Roman"/>
          <w:szCs w:val="21"/>
          <w:lang w:val="en-US" w:eastAsia="zh-CN"/>
        </w:rPr>
        <w:alias w:val="证券投资情况的说明"/>
        <w:tag w:val="_GBC_f11696cd0149495f9212450c52793c47"/>
        <w:id w:val="5972"/>
        <w:placeholder>
          <w:docPart w:val="GBC22222222222222222222222222222"/>
        </w:placeholder>
      </w:sdtPr>
      <w:sdtEndPr>
        <w:rPr>
          <w:rFonts w:hint="eastAsia" w:ascii="Times New Roman" w:hAnsi="Times New Roman" w:eastAsia="宋体" w:cs="Times New Roman"/>
          <w:sz w:val="21"/>
          <w:szCs w:val="21"/>
          <w:lang w:val="en-US" w:eastAsia="zh-CN"/>
        </w:rPr>
      </w:sdtEndPr>
      <w:sdtContent>
        <w:p>
          <w:pPr>
            <w:keepNext w:val="0"/>
            <w:keepLines w:val="0"/>
            <w:pageBreakBefore w:val="0"/>
            <w:widowControl/>
            <w:kinsoku/>
            <w:wordWrap/>
            <w:overflowPunct/>
            <w:topLinePunct w:val="0"/>
            <w:autoSpaceDE/>
            <w:autoSpaceDN/>
            <w:bidi w:val="0"/>
            <w:adjustRightInd/>
            <w:snapToGrid/>
            <w:spacing w:line="400" w:lineRule="atLeast"/>
            <w:ind w:firstLine="420" w:firstLineChars="200"/>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报告期内收到中信证券2024年度分红278.85万元，2025年中期分红288.80万元；收到交通银行2024年度分红1.02万元，2024年中期分红0.94万元，2025年度中期分红0.81万元。</w:t>
          </w:r>
        </w:p>
        <w:p/>
        <w:p>
          <w:r>
            <w:rPr>
              <w:rFonts w:hint="eastAsia" w:ascii="宋体" w:eastAsia="宋体"/>
            </w:rPr>
            <w:t>持有非上市金融企业股权情况</w:t>
          </w:r>
        </w:p>
        <w:tbl>
          <w:tblPr>
            <w:tblStyle w:val="3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62"/>
            <w:gridCol w:w="1797"/>
            <w:gridCol w:w="2008"/>
            <w:gridCol w:w="1401"/>
            <w:gridCol w:w="2382"/>
            <w:gridCol w:w="2334"/>
            <w:gridCol w:w="1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rPr>
                </w:pPr>
                <w:r>
                  <w:rPr>
                    <w:rFonts w:hint="eastAsia" w:ascii="Times New Roman" w:hAnsi="Times New Roman" w:eastAsia="Times New Roman"/>
                  </w:rPr>
                  <w:t>所持对象名称</w:t>
                </w:r>
              </w:p>
            </w:tc>
            <w:tc>
              <w:tcPr>
                <w:tcW w:w="1797"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rPr>
                </w:pPr>
                <w:r>
                  <w:rPr>
                    <w:rFonts w:hint="eastAsia" w:ascii="Times New Roman" w:hAnsi="Times New Roman" w:eastAsia="Times New Roman"/>
                  </w:rPr>
                  <w:t>最初投资金额（元）</w:t>
                </w:r>
              </w:p>
            </w:tc>
            <w:tc>
              <w:tcPr>
                <w:tcW w:w="2008"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rPr>
                </w:pPr>
                <w:r>
                  <w:rPr>
                    <w:rFonts w:hint="eastAsia" w:ascii="Times New Roman" w:hAnsi="Times New Roman" w:eastAsia="Times New Roman"/>
                  </w:rPr>
                  <w:t>持有数量（股）</w:t>
                </w:r>
              </w:p>
            </w:tc>
            <w:tc>
              <w:tcPr>
                <w:tcW w:w="1401"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rPr>
                </w:pPr>
                <w:r>
                  <w:rPr>
                    <w:rFonts w:hint="eastAsia" w:ascii="Times New Roman" w:hAnsi="Times New Roman" w:eastAsia="Times New Roman"/>
                  </w:rPr>
                  <w:t>占该公司股权比例</w:t>
                </w:r>
              </w:p>
            </w:tc>
            <w:tc>
              <w:tcPr>
                <w:tcW w:w="2382"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rPr>
                </w:pPr>
                <w:r>
                  <w:rPr>
                    <w:rFonts w:hint="eastAsia" w:ascii="Times New Roman" w:hAnsi="Times New Roman" w:eastAsia="Times New Roman"/>
                  </w:rPr>
                  <w:t>期末账面价值（元）</w:t>
                </w:r>
              </w:p>
            </w:tc>
            <w:tc>
              <w:tcPr>
                <w:tcW w:w="2334"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rPr>
                </w:pPr>
                <w:r>
                  <w:rPr>
                    <w:rFonts w:hint="eastAsia" w:ascii="Times New Roman" w:hAnsi="Times New Roman" w:eastAsia="Times New Roman"/>
                  </w:rPr>
                  <w:t>报告期损益（元）</w:t>
                </w:r>
              </w:p>
            </w:tc>
            <w:tc>
              <w:tcPr>
                <w:tcW w:w="1204"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rPr>
                </w:pPr>
                <w:r>
                  <w:rPr>
                    <w:rFonts w:hint="eastAsia" w:ascii="Times New Roman" w:hAnsi="Times New Roman" w:eastAsia="Times New Roman"/>
                  </w:rPr>
                  <w:t>会计核算科目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tcBorders>
                  <w:top w:val="nil"/>
                  <w:left w:val="single" w:color="auto" w:sz="4" w:space="0"/>
                  <w:bottom w:val="single" w:color="auto" w:sz="4" w:space="0"/>
                  <w:right w:val="single" w:color="auto" w:sz="4" w:space="0"/>
                </w:tcBorders>
                <w:vAlign w:val="center"/>
              </w:tcPr>
              <w:p>
                <w:pPr>
                  <w:widowControl w:val="0"/>
                  <w:jc w:val="both"/>
                  <w:rPr>
                    <w:rFonts w:ascii="Times New Roman" w:hAnsi="Times New Roman"/>
                  </w:rPr>
                </w:pPr>
                <w:r>
                  <w:rPr>
                    <w:rFonts w:hint="eastAsia" w:ascii="Times New Roman" w:hAnsi="Times New Roman" w:eastAsia="Times New Roman"/>
                  </w:rPr>
                  <w:t>柳州银行股份有限公司</w:t>
                </w:r>
              </w:p>
            </w:tc>
            <w:tc>
              <w:tcPr>
                <w:tcW w:w="1797" w:type="dxa"/>
                <w:tcBorders>
                  <w:top w:val="nil"/>
                  <w:left w:val="nil"/>
                  <w:bottom w:val="single" w:color="auto" w:sz="4" w:space="0"/>
                  <w:right w:val="single" w:color="auto" w:sz="4" w:space="0"/>
                </w:tcBorders>
                <w:vAlign w:val="center"/>
              </w:tcPr>
              <w:p>
                <w:pPr>
                  <w:widowControl w:val="0"/>
                  <w:jc w:val="right"/>
                  <w:rPr>
                    <w:rFonts w:ascii="Times New Roman" w:hAnsi="Times New Roman"/>
                  </w:rPr>
                </w:pPr>
                <w:r>
                  <w:rPr>
                    <w:rFonts w:hint="eastAsia" w:ascii="Times New Roman" w:hAnsi="Times New Roman" w:eastAsia="Times New Roman"/>
                  </w:rPr>
                  <w:t>35,000,000</w:t>
                </w:r>
                <w:r>
                  <w:rPr>
                    <w:rFonts w:hint="eastAsia" w:ascii="Times New Roman" w:hAnsi="Times New Roman" w:eastAsia="宋体"/>
                  </w:rPr>
                  <w:t>.00</w:t>
                </w:r>
              </w:p>
            </w:tc>
            <w:tc>
              <w:tcPr>
                <w:tcW w:w="2008" w:type="dxa"/>
                <w:tcBorders>
                  <w:top w:val="nil"/>
                  <w:left w:val="nil"/>
                  <w:bottom w:val="single" w:color="auto" w:sz="4" w:space="0"/>
                  <w:right w:val="single" w:color="auto" w:sz="4" w:space="0"/>
                </w:tcBorders>
                <w:vAlign w:val="center"/>
              </w:tcPr>
              <w:p>
                <w:pPr>
                  <w:widowControl w:val="0"/>
                  <w:jc w:val="right"/>
                  <w:rPr>
                    <w:rFonts w:ascii="Times New Roman" w:hAnsi="Times New Roman"/>
                  </w:rPr>
                </w:pPr>
                <w:r>
                  <w:rPr>
                    <w:rFonts w:hint="eastAsia" w:ascii="Times New Roman" w:hAnsi="Times New Roman" w:eastAsia="Times New Roman"/>
                  </w:rPr>
                  <w:t>20,000,000</w:t>
                </w:r>
              </w:p>
            </w:tc>
            <w:tc>
              <w:tcPr>
                <w:tcW w:w="1401" w:type="dxa"/>
                <w:tcBorders>
                  <w:top w:val="nil"/>
                  <w:left w:val="nil"/>
                  <w:bottom w:val="single" w:color="auto" w:sz="4" w:space="0"/>
                  <w:right w:val="single" w:color="auto" w:sz="4" w:space="0"/>
                </w:tcBorders>
                <w:vAlign w:val="center"/>
              </w:tcPr>
              <w:p>
                <w:pPr>
                  <w:widowControl w:val="0"/>
                  <w:jc w:val="center"/>
                  <w:rPr>
                    <w:rFonts w:ascii="Times New Roman" w:hAnsi="Times New Roman"/>
                  </w:rPr>
                </w:pPr>
                <w:r>
                  <w:rPr>
                    <w:rFonts w:hint="eastAsia" w:ascii="Times New Roman" w:hAnsi="Times New Roman" w:eastAsia="Times New Roman"/>
                  </w:rPr>
                  <w:t>0.44</w:t>
                </w:r>
                <w:r>
                  <w:rPr>
                    <w:rFonts w:hint="eastAsia" w:ascii="Times New Roman" w:hAnsi="Times New Roman" w:eastAsia="宋体"/>
                  </w:rPr>
                  <w:t>%</w:t>
                </w:r>
              </w:p>
            </w:tc>
            <w:tc>
              <w:tcPr>
                <w:tcW w:w="2382" w:type="dxa"/>
                <w:tcBorders>
                  <w:top w:val="nil"/>
                  <w:left w:val="nil"/>
                  <w:bottom w:val="single" w:color="auto" w:sz="4" w:space="0"/>
                  <w:right w:val="single" w:color="auto" w:sz="4" w:space="0"/>
                </w:tcBorders>
                <w:vAlign w:val="center"/>
              </w:tcPr>
              <w:p>
                <w:pPr>
                  <w:widowControl w:val="0"/>
                  <w:jc w:val="right"/>
                  <w:rPr>
                    <w:rFonts w:ascii="Times New Roman" w:hAnsi="Times New Roman"/>
                  </w:rPr>
                </w:pPr>
                <w:r>
                  <w:rPr>
                    <w:rFonts w:hint="eastAsia" w:ascii="Times New Roman" w:hAnsi="Times New Roman" w:eastAsia="Times New Roman"/>
                  </w:rPr>
                  <w:t>35,000,000.00</w:t>
                </w:r>
              </w:p>
            </w:tc>
            <w:tc>
              <w:tcPr>
                <w:tcW w:w="2334" w:type="dxa"/>
                <w:tcBorders>
                  <w:top w:val="nil"/>
                  <w:left w:val="nil"/>
                  <w:bottom w:val="single" w:color="auto" w:sz="4" w:space="0"/>
                  <w:right w:val="single" w:color="auto" w:sz="4" w:space="0"/>
                </w:tcBorders>
                <w:vAlign w:val="center"/>
              </w:tcPr>
              <w:p>
                <w:pPr>
                  <w:widowControl w:val="0"/>
                  <w:jc w:val="center"/>
                  <w:rPr>
                    <w:rFonts w:ascii="Times New Roman" w:hAnsi="Times New Roman"/>
                  </w:rPr>
                </w:pPr>
                <w:r>
                  <w:rPr>
                    <w:rFonts w:hint="eastAsia" w:ascii="Times New Roman" w:hAnsi="Times New Roman" w:eastAsia="Times New Roman"/>
                  </w:rPr>
                  <w:t>800,000.00</w:t>
                </w:r>
              </w:p>
            </w:tc>
            <w:tc>
              <w:tcPr>
                <w:tcW w:w="1204" w:type="dxa"/>
                <w:tcBorders>
                  <w:top w:val="nil"/>
                  <w:left w:val="nil"/>
                  <w:bottom w:val="single" w:color="auto" w:sz="4" w:space="0"/>
                  <w:right w:val="single" w:color="auto" w:sz="4" w:space="0"/>
                </w:tcBorders>
                <w:vAlign w:val="center"/>
              </w:tcPr>
              <w:p>
                <w:pPr>
                  <w:widowControl w:val="0"/>
                  <w:jc w:val="center"/>
                  <w:rPr>
                    <w:rFonts w:ascii="Times New Roman" w:hAnsi="Times New Roman"/>
                  </w:rPr>
                </w:pPr>
                <w:r>
                  <w:rPr>
                    <w:rFonts w:hint="eastAsia" w:ascii="Times New Roman" w:hAnsi="Times New Roman" w:eastAsia="Times New Roman"/>
                  </w:rPr>
                  <w:t>其他权益工具投资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tcBorders>
                  <w:top w:val="nil"/>
                  <w:left w:val="single" w:color="auto" w:sz="4" w:space="0"/>
                  <w:bottom w:val="single" w:color="auto" w:sz="4" w:space="0"/>
                  <w:right w:val="single" w:color="auto" w:sz="4" w:space="0"/>
                </w:tcBorders>
                <w:vAlign w:val="center"/>
              </w:tcPr>
              <w:p>
                <w:pPr>
                  <w:widowControl w:val="0"/>
                  <w:jc w:val="both"/>
                  <w:rPr>
                    <w:rFonts w:ascii="Times New Roman" w:hAnsi="Times New Roman"/>
                  </w:rPr>
                </w:pPr>
                <w:r>
                  <w:rPr>
                    <w:rFonts w:hint="eastAsia" w:ascii="Times New Roman" w:hAnsi="Times New Roman" w:eastAsia="Times New Roman"/>
                  </w:rPr>
                  <w:t>广西北部湾银行股份有限公司</w:t>
                </w:r>
              </w:p>
            </w:tc>
            <w:tc>
              <w:tcPr>
                <w:tcW w:w="1797" w:type="dxa"/>
                <w:tcBorders>
                  <w:top w:val="nil"/>
                  <w:left w:val="nil"/>
                  <w:bottom w:val="single" w:color="auto" w:sz="4" w:space="0"/>
                  <w:right w:val="single" w:color="auto" w:sz="4" w:space="0"/>
                </w:tcBorders>
                <w:vAlign w:val="center"/>
              </w:tcPr>
              <w:p>
                <w:pPr>
                  <w:widowControl w:val="0"/>
                  <w:jc w:val="right"/>
                  <w:rPr>
                    <w:rFonts w:ascii="Times New Roman" w:hAnsi="Times New Roman"/>
                  </w:rPr>
                </w:pPr>
                <w:r>
                  <w:rPr>
                    <w:rFonts w:hint="eastAsia" w:ascii="Times New Roman" w:hAnsi="Times New Roman" w:eastAsia="Times New Roman"/>
                  </w:rPr>
                  <w:t>257,200,000</w:t>
                </w:r>
                <w:r>
                  <w:rPr>
                    <w:rFonts w:hint="eastAsia" w:ascii="Times New Roman" w:hAnsi="Times New Roman" w:eastAsia="宋体"/>
                  </w:rPr>
                  <w:t>.00</w:t>
                </w:r>
              </w:p>
            </w:tc>
            <w:tc>
              <w:tcPr>
                <w:tcW w:w="2008" w:type="dxa"/>
                <w:tcBorders>
                  <w:top w:val="nil"/>
                  <w:left w:val="nil"/>
                  <w:bottom w:val="single" w:color="auto" w:sz="4" w:space="0"/>
                  <w:right w:val="single" w:color="auto" w:sz="4" w:space="0"/>
                </w:tcBorders>
                <w:vAlign w:val="center"/>
              </w:tcPr>
              <w:p>
                <w:pPr>
                  <w:widowControl w:val="0"/>
                  <w:jc w:val="right"/>
                  <w:rPr>
                    <w:rFonts w:ascii="Times New Roman" w:hAnsi="Times New Roman"/>
                  </w:rPr>
                </w:pPr>
                <w:r>
                  <w:rPr>
                    <w:rFonts w:hint="eastAsia" w:ascii="Times New Roman" w:hAnsi="Times New Roman" w:eastAsia="Times New Roman"/>
                  </w:rPr>
                  <w:t>154,000,000</w:t>
                </w:r>
              </w:p>
            </w:tc>
            <w:tc>
              <w:tcPr>
                <w:tcW w:w="1401" w:type="dxa"/>
                <w:tcBorders>
                  <w:top w:val="nil"/>
                  <w:left w:val="nil"/>
                  <w:bottom w:val="single" w:color="auto" w:sz="4" w:space="0"/>
                  <w:right w:val="single" w:color="auto" w:sz="4" w:space="0"/>
                </w:tcBorders>
                <w:vAlign w:val="center"/>
              </w:tcPr>
              <w:p>
                <w:pPr>
                  <w:widowControl w:val="0"/>
                  <w:jc w:val="center"/>
                  <w:rPr>
                    <w:rFonts w:ascii="Times New Roman" w:hAnsi="Times New Roman"/>
                  </w:rPr>
                </w:pPr>
                <w:r>
                  <w:rPr>
                    <w:rFonts w:hint="eastAsia" w:ascii="Times New Roman" w:hAnsi="Times New Roman" w:eastAsia="宋体"/>
                  </w:rPr>
                  <w:t>1</w:t>
                </w:r>
                <w:r>
                  <w:rPr>
                    <w:rFonts w:hint="eastAsia" w:ascii="Times New Roman" w:hAnsi="Times New Roman" w:eastAsia="Times New Roman"/>
                  </w:rPr>
                  <w:t>.</w:t>
                </w:r>
                <w:r>
                  <w:rPr>
                    <w:rFonts w:hint="eastAsia" w:ascii="Times New Roman" w:hAnsi="Times New Roman" w:eastAsia="宋体"/>
                  </w:rPr>
                  <w:t>54%</w:t>
                </w:r>
              </w:p>
            </w:tc>
            <w:tc>
              <w:tcPr>
                <w:tcW w:w="2382" w:type="dxa"/>
                <w:tcBorders>
                  <w:top w:val="nil"/>
                  <w:left w:val="nil"/>
                  <w:bottom w:val="single" w:color="auto" w:sz="4" w:space="0"/>
                  <w:right w:val="single" w:color="auto" w:sz="4" w:space="0"/>
                </w:tcBorders>
                <w:vAlign w:val="center"/>
              </w:tcPr>
              <w:p>
                <w:pPr>
                  <w:widowControl w:val="0"/>
                  <w:jc w:val="right"/>
                  <w:rPr>
                    <w:rFonts w:ascii="Times New Roman" w:hAnsi="Times New Roman"/>
                  </w:rPr>
                </w:pPr>
                <w:r>
                  <w:rPr>
                    <w:rFonts w:hint="eastAsia" w:ascii="Times New Roman" w:hAnsi="Times New Roman" w:eastAsia="Times New Roman"/>
                  </w:rPr>
                  <w:t>257,200,000.00</w:t>
                </w:r>
              </w:p>
            </w:tc>
            <w:tc>
              <w:tcPr>
                <w:tcW w:w="2334" w:type="dxa"/>
                <w:tcBorders>
                  <w:top w:val="nil"/>
                  <w:left w:val="nil"/>
                  <w:bottom w:val="single" w:color="auto" w:sz="4" w:space="0"/>
                  <w:right w:val="single" w:color="auto" w:sz="4" w:space="0"/>
                </w:tcBorders>
                <w:vAlign w:val="center"/>
              </w:tcPr>
              <w:p>
                <w:pPr>
                  <w:widowControl w:val="0"/>
                  <w:jc w:val="center"/>
                  <w:rPr>
                    <w:rFonts w:ascii="Times New Roman" w:hAnsi="Times New Roman"/>
                  </w:rPr>
                </w:pPr>
                <w:r>
                  <w:rPr>
                    <w:rFonts w:hint="eastAsia" w:ascii="Times New Roman" w:hAnsi="Times New Roman" w:eastAsia="Times New Roman"/>
                  </w:rPr>
                  <w:t>12,320,000.00</w:t>
                </w:r>
              </w:p>
            </w:tc>
            <w:tc>
              <w:tcPr>
                <w:tcW w:w="1204" w:type="dxa"/>
                <w:tcBorders>
                  <w:top w:val="nil"/>
                  <w:left w:val="nil"/>
                  <w:bottom w:val="single" w:color="auto" w:sz="4" w:space="0"/>
                  <w:right w:val="single" w:color="auto" w:sz="4" w:space="0"/>
                </w:tcBorders>
                <w:vAlign w:val="center"/>
              </w:tcPr>
              <w:p>
                <w:pPr>
                  <w:widowControl w:val="0"/>
                  <w:jc w:val="center"/>
                  <w:rPr>
                    <w:rFonts w:ascii="Times New Roman" w:hAnsi="Times New Roman"/>
                  </w:rPr>
                </w:pPr>
                <w:r>
                  <w:rPr>
                    <w:rFonts w:hint="eastAsia" w:ascii="Times New Roman" w:hAnsi="Times New Roman" w:eastAsia="Times New Roman"/>
                  </w:rPr>
                  <w:t>其他权益工具投资</w:t>
                </w:r>
              </w:p>
            </w:tc>
          </w:tr>
        </w:tbl>
        <w:p/>
        <w:p>
          <w:pPr>
            <w:rPr>
              <w:rFonts w:ascii="Times New Roman" w:hAnsi="Times New Roman"/>
              <w:sz w:val="21"/>
            </w:rPr>
          </w:pPr>
          <w:r>
            <w:rPr>
              <w:rFonts w:hint="eastAsia" w:ascii="宋体" w:eastAsia="宋体"/>
            </w:rPr>
            <w:t>说明：</w:t>
          </w:r>
          <w:r>
            <w:rPr>
              <w:rFonts w:hint="eastAsia" w:ascii="Times New Roman" w:hAnsi="Times New Roman" w:eastAsia="宋体"/>
              <w:sz w:val="21"/>
            </w:rPr>
            <w:t>报告期内收到</w:t>
          </w:r>
          <w:r>
            <w:rPr>
              <w:rFonts w:hint="eastAsia" w:ascii="Times New Roman" w:hAnsi="Times New Roman" w:eastAsia="Times New Roman"/>
              <w:sz w:val="21"/>
            </w:rPr>
            <w:t>广西北部湾银行股份有限公司</w:t>
          </w:r>
          <w:r>
            <w:rPr>
              <w:rFonts w:hint="eastAsia" w:ascii="Times New Roman" w:hAnsi="Times New Roman" w:eastAsia="宋体" w:cs="宋体"/>
              <w:sz w:val="21"/>
              <w:szCs w:val="21"/>
              <w:lang w:val="en-US" w:eastAsia="zh-CN"/>
            </w:rPr>
            <w:t>2024年度分红1,232万元，柳州银行2024年度分红80万元。</w:t>
          </w:r>
        </w:p>
      </w:sdtContent>
    </w:sdt>
    <w:p/>
    <w:bookmarkEnd w:id="85"/>
    <w:p>
      <w:pPr>
        <w:rPr>
          <w:szCs w:val="21"/>
        </w:rPr>
      </w:pPr>
      <w:bookmarkStart w:id="86" w:name="_Hlk40534809"/>
      <w:r>
        <w:rPr>
          <w:rFonts w:hint="eastAsia"/>
          <w:szCs w:val="21"/>
        </w:rPr>
        <w:t>私募基金投资情况</w:t>
      </w:r>
    </w:p>
    <w:sdt>
      <w:sdtPr>
        <w:rPr>
          <w:szCs w:val="21"/>
        </w:rPr>
        <w:alias w:val="是否适用：私募基金投资情况[双击切换]"/>
        <w:tag w:val="_GBC_6e916a873a4e4af3a90d6fc81d187ac8"/>
        <w:id w:val="5973"/>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bookmarkEnd w:id="86"/>
    <w:p>
      <w:pPr>
        <w:rPr>
          <w:szCs w:val="21"/>
        </w:rPr>
      </w:pPr>
      <w:r>
        <w:rPr>
          <w:rFonts w:hint="eastAsia"/>
          <w:szCs w:val="21"/>
        </w:rPr>
        <w:t>衍生品投资情况</w:t>
      </w:r>
    </w:p>
    <w:sdt>
      <w:sdtPr>
        <w:rPr>
          <w:rFonts w:hint="eastAsia"/>
          <w:szCs w:val="21"/>
        </w:rPr>
        <w:alias w:val="是否适用：衍生品投资情况  [双击切换]"/>
        <w:tag w:val="_GBC_0155f13d04cb48bc8f6a2a16edfe26b3"/>
        <w:id w:val="5974"/>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pStyle w:val="5"/>
        <w:numPr>
          <w:ilvl w:val="0"/>
          <w:numId w:val="19"/>
        </w:numPr>
        <w:rPr>
          <w:rFonts w:hint="eastAsia" w:ascii="宋体" w:hAnsi="宋体" w:cs="宋体"/>
          <w:kern w:val="0"/>
        </w:rPr>
      </w:pPr>
      <w:r>
        <w:rPr>
          <w:rFonts w:hint="eastAsia" w:ascii="宋体" w:hAnsi="宋体" w:cs="宋体"/>
          <w:kern w:val="0"/>
        </w:rPr>
        <w:t>报告期内重大资产重组整合的具体进展情况</w:t>
      </w:r>
    </w:p>
    <w:sdt>
      <w:sdtPr>
        <w:alias w:val="是否适用：报告期内重大资产重组整合的具体进展情况[双击切换]"/>
        <w:tag w:val="_GBC_c52695d1957b4fa89b0b7326da1f5a10"/>
        <w:id w:val="5975"/>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b/>
        </w:rPr>
      </w:pPr>
    </w:p>
    <w:p/>
    <w:p>
      <w:pPr>
        <w:pStyle w:val="4"/>
        <w:numPr>
          <w:ilvl w:val="0"/>
          <w:numId w:val="8"/>
        </w:numPr>
        <w:rPr>
          <w:szCs w:val="21"/>
        </w:rPr>
      </w:pPr>
      <w:r>
        <w:rPr>
          <w:rFonts w:hint="eastAsia"/>
          <w:szCs w:val="21"/>
        </w:rPr>
        <w:t>重大资产和股权出售</w:t>
      </w:r>
    </w:p>
    <w:sdt>
      <w:sdtPr>
        <w:rPr>
          <w:rFonts w:hint="eastAsia"/>
          <w:szCs w:val="21"/>
        </w:rPr>
        <w:alias w:val="是否适用：重大资产和股权出售[双击切换]"/>
        <w:tag w:val="_GBC_949dc5a581604be69ba935fceadc4b1d"/>
        <w:id w:val="5976"/>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sectPr>
          <w:pgSz w:w="16838" w:h="11906" w:orient="landscape"/>
          <w:pgMar w:top="1797" w:right="1525" w:bottom="1276" w:left="1440" w:header="855" w:footer="992" w:gutter="0"/>
          <w:cols w:space="425" w:num="1"/>
          <w:docGrid w:linePitch="312" w:charSpace="0"/>
        </w:sectPr>
      </w:pPr>
    </w:p>
    <w:p>
      <w:pPr>
        <w:pStyle w:val="17"/>
      </w:pPr>
    </w:p>
    <w:p>
      <w:pPr>
        <w:pStyle w:val="4"/>
        <w:numPr>
          <w:ilvl w:val="0"/>
          <w:numId w:val="8"/>
        </w:numPr>
        <w:rPr>
          <w:rFonts w:hint="eastAsia" w:ascii="宋体" w:hAnsi="宋体"/>
          <w:color w:val="000000" w:themeColor="text1"/>
          <w14:textFill>
            <w14:solidFill>
              <w14:schemeClr w14:val="tx1"/>
            </w14:solidFill>
          </w14:textFill>
        </w:rPr>
      </w:pPr>
      <w:bookmarkStart w:id="87" w:name="_Hlk213662043"/>
      <w:bookmarkStart w:id="88" w:name="_Hlk200011206"/>
      <w:r>
        <w:rPr>
          <w:rFonts w:hint="eastAsia" w:ascii="宋体" w:hAnsi="宋体"/>
          <w:color w:val="000000" w:themeColor="text1"/>
          <w14:textFill>
            <w14:solidFill>
              <w14:schemeClr w14:val="tx1"/>
            </w14:solidFill>
          </w14:textFill>
        </w:rPr>
        <w:t>主要控股参股公司分析</w:t>
      </w:r>
    </w:p>
    <w:sdt>
      <w:sdtPr>
        <w:rPr>
          <w:color w:val="000000" w:themeColor="text1"/>
          <w14:textFill>
            <w14:solidFill>
              <w14:schemeClr w14:val="tx1"/>
            </w14:solidFill>
          </w14:textFill>
        </w:rPr>
        <w:alias w:val="是否适用：主要控股参股公司分析[双击切换]"/>
        <w:tag w:val="_GBC_c05ac32e7acf4aa08c3b1b389547fce0"/>
        <w:id w:val="5977"/>
        <w:placeholder>
          <w:docPart w:val="GBC22222222222222222222222222222"/>
        </w:placeholder>
      </w:sdtPr>
      <w:sdtEndPr>
        <w:rPr>
          <w:color w:val="000000" w:themeColor="text1"/>
          <w14:textFill>
            <w14:solidFill>
              <w14:schemeClr w14:val="tx1"/>
            </w14:solidFill>
          </w14:textFill>
        </w:rPr>
      </w:sdtEndPr>
      <w:sdtContent>
        <w:p>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r>
        <w:rPr>
          <w:rFonts w:hint="eastAsia"/>
        </w:rPr>
        <w:t>主要子公司及对公司净利润影响达10%以上的参股公司情况</w:t>
      </w:r>
    </w:p>
    <w:sdt>
      <w:sdtPr>
        <w:rPr>
          <w:rFonts w:hint="eastAsia"/>
          <w:color w:val="000000"/>
        </w:rPr>
        <w:alias w:val="是否适用：主要子公司及对公司净利润影响达10%以上的参股公司情况[双击切换]"/>
        <w:tag w:val="_GBC_9d434b01b56f4e79bcdfcac696798730"/>
        <w:id w:val="5978"/>
        <w:placeholder>
          <w:docPart w:val="GBC22222222222222222222222222222"/>
        </w:placeholder>
      </w:sdtPr>
      <w:sdtEndPr>
        <w:rPr>
          <w:rFonts w:hint="eastAsia"/>
          <w:color w:val="000000"/>
        </w:rPr>
      </w:sdtEndPr>
      <w:sdtContent>
        <w:p>
          <w:pPr>
            <w:rPr>
              <w:color w:val="000000"/>
            </w:rPr>
          </w:pPr>
          <w:r>
            <w:rPr>
              <w:rFonts w:hint="eastAsia" w:ascii="宋体" w:hAnsi="宋体"/>
              <w:color w:val="000000"/>
            </w:rPr>
            <w:fldChar w:fldCharType="begin"/>
          </w:r>
          <w:r>
            <w:rPr>
              <w:rFonts w:hint="eastAsia" w:ascii="宋体" w:hAnsi="宋体"/>
              <w:color w:val="000000"/>
            </w:rPr>
            <w:instrText xml:space="preserve"> MACROBUTTON  SnrToggleCheckbox √适用 </w:instrText>
          </w:r>
          <w:r>
            <w:rPr>
              <w:rFonts w:hint="eastAsia" w:ascii="宋体" w:hAnsi="宋体"/>
              <w:color w:val="000000"/>
            </w:rPr>
            <w:fldChar w:fldCharType="end"/>
          </w:r>
          <w:r>
            <w:rPr>
              <w:rFonts w:hint="eastAsia" w:ascii="宋体" w:hAnsi="宋体"/>
              <w:color w:val="000000"/>
            </w:rPr>
            <w:fldChar w:fldCharType="begin"/>
          </w:r>
          <w:r>
            <w:rPr>
              <w:rFonts w:hint="eastAsia" w:ascii="宋体" w:hAnsi="宋体"/>
              <w:color w:val="000000"/>
            </w:rPr>
            <w:instrText xml:space="preserve"> MACROBUTTON  SnrToggleCheckbox □不适用 </w:instrText>
          </w:r>
          <w:r>
            <w:rPr>
              <w:rFonts w:hint="eastAsia" w:ascii="宋体" w:hAnsi="宋体"/>
              <w:color w:val="000000"/>
            </w:rPr>
            <w:fldChar w:fldCharType="end"/>
          </w:r>
        </w:p>
      </w:sdtContent>
    </w:sdt>
    <w:p>
      <w:pPr>
        <w:jc w:val="right"/>
        <w:rPr>
          <w:color w:val="000000"/>
        </w:rPr>
      </w:pPr>
      <w:r>
        <w:rPr>
          <w:rFonts w:hint="eastAsia"/>
          <w:color w:val="000000"/>
        </w:rPr>
        <w:t>单位：</w:t>
      </w:r>
      <w:sdt>
        <w:sdtPr>
          <w:rPr>
            <w:rFonts w:hint="eastAsia"/>
            <w:color w:val="000000"/>
          </w:rPr>
          <w:alias w:val="单位：主要控股参股公司分析"/>
          <w:tag w:val="_GBC_8d5082a3ef1247029bfec10b09878a74"/>
          <w:id w:val="597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000000"/>
          </w:rPr>
        </w:sdtEndPr>
        <w:sdtContent>
          <w:r>
            <w:rPr>
              <w:rFonts w:hint="eastAsia"/>
              <w:color w:val="000000"/>
            </w:rPr>
            <w:t>元</w:t>
          </w:r>
        </w:sdtContent>
      </w:sdt>
      <w:r>
        <w:rPr>
          <w:rFonts w:hint="eastAsia"/>
          <w:color w:val="000000"/>
        </w:rPr>
        <w:t xml:space="preserve">  币种：</w:t>
      </w:r>
      <w:sdt>
        <w:sdtPr>
          <w:rPr>
            <w:rFonts w:hint="eastAsia"/>
            <w:color w:val="000000"/>
          </w:rPr>
          <w:alias w:val="币种：主要控股参股公司分析"/>
          <w:tag w:val="_GBC_27853eae803847d39b60d39456b72571"/>
          <w:id w:val="598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000000"/>
          </w:rPr>
        </w:sdtEndPr>
        <w:sdtContent>
          <w:r>
            <w:rPr>
              <w:rFonts w:hint="eastAsia"/>
              <w:color w:val="000000"/>
            </w:rPr>
            <w:t>人民币</w:t>
          </w:r>
        </w:sdtContent>
      </w:sdt>
      <w:r>
        <w:rPr>
          <w:rFonts w:hint="eastAsia"/>
          <w:color w:val="000000"/>
        </w:rPr>
        <w:t xml:space="preserve"> </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849"/>
        <w:gridCol w:w="1095"/>
        <w:gridCol w:w="1747"/>
        <w:gridCol w:w="1524"/>
        <w:gridCol w:w="1524"/>
        <w:gridCol w:w="1524"/>
        <w:gridCol w:w="1524"/>
        <w:gridCol w:w="1521"/>
        <w:gridCol w:w="1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49" w:type="dxa"/>
            <w:vAlign w:val="center"/>
          </w:tcPr>
          <w:sdt>
            <w:sdtPr>
              <w:tag w:val="_PLD_77d1b0f0ca10428db347fba0d0883430"/>
              <w:id w:val="5981"/>
            </w:sdtPr>
            <w:sdtContent>
              <w:p>
                <w:pPr>
                  <w:kinsoku w:val="0"/>
                  <w:overflowPunct w:val="0"/>
                  <w:autoSpaceDE w:val="0"/>
                  <w:autoSpaceDN w:val="0"/>
                  <w:adjustRightInd w:val="0"/>
                  <w:snapToGrid w:val="0"/>
                  <w:jc w:val="center"/>
                </w:pPr>
                <w:r>
                  <w:t>公司名称</w:t>
                </w:r>
              </w:p>
            </w:sdtContent>
          </w:sdt>
        </w:tc>
        <w:tc>
          <w:tcPr>
            <w:tcW w:w="1095" w:type="dxa"/>
            <w:vAlign w:val="center"/>
          </w:tcPr>
          <w:sdt>
            <w:sdtPr>
              <w:tag w:val="_PLD_39a34b0234774dd4a02351974d6690de"/>
              <w:id w:val="5982"/>
            </w:sdtPr>
            <w:sdtContent>
              <w:p>
                <w:pPr>
                  <w:kinsoku w:val="0"/>
                  <w:overflowPunct w:val="0"/>
                  <w:autoSpaceDE w:val="0"/>
                  <w:autoSpaceDN w:val="0"/>
                  <w:adjustRightInd w:val="0"/>
                  <w:snapToGrid w:val="0"/>
                  <w:jc w:val="center"/>
                </w:pPr>
                <w:r>
                  <w:t>公司类型</w:t>
                </w:r>
              </w:p>
            </w:sdtContent>
          </w:sdt>
        </w:tc>
        <w:tc>
          <w:tcPr>
            <w:tcW w:w="1747" w:type="dxa"/>
            <w:vAlign w:val="center"/>
          </w:tcPr>
          <w:sdt>
            <w:sdtPr>
              <w:tag w:val="_PLD_f896bd671d5344dc9566b8fb48245b72"/>
              <w:id w:val="5983"/>
            </w:sdtPr>
            <w:sdtContent>
              <w:p>
                <w:pPr>
                  <w:kinsoku w:val="0"/>
                  <w:overflowPunct w:val="0"/>
                  <w:autoSpaceDE w:val="0"/>
                  <w:autoSpaceDN w:val="0"/>
                  <w:adjustRightInd w:val="0"/>
                  <w:snapToGrid w:val="0"/>
                  <w:jc w:val="center"/>
                </w:pPr>
                <w:r>
                  <w:t>主要业务</w:t>
                </w:r>
              </w:p>
            </w:sdtContent>
          </w:sdt>
        </w:tc>
        <w:tc>
          <w:tcPr>
            <w:tcW w:w="1524" w:type="dxa"/>
            <w:vAlign w:val="center"/>
          </w:tcPr>
          <w:sdt>
            <w:sdtPr>
              <w:tag w:val="_PLD_28c765f0770d4489b0ac7af726b78d3c"/>
              <w:id w:val="5984"/>
            </w:sdtPr>
            <w:sdtContent>
              <w:p>
                <w:pPr>
                  <w:kinsoku w:val="0"/>
                  <w:overflowPunct w:val="0"/>
                  <w:autoSpaceDE w:val="0"/>
                  <w:autoSpaceDN w:val="0"/>
                  <w:adjustRightInd w:val="0"/>
                  <w:snapToGrid w:val="0"/>
                  <w:jc w:val="center"/>
                </w:pPr>
                <w:r>
                  <w:t>注册资本</w:t>
                </w:r>
              </w:p>
            </w:sdtContent>
          </w:sdt>
        </w:tc>
        <w:tc>
          <w:tcPr>
            <w:tcW w:w="1524" w:type="dxa"/>
            <w:vAlign w:val="center"/>
          </w:tcPr>
          <w:sdt>
            <w:sdtPr>
              <w:tag w:val="_PLD_8dfb8195bf8042eab9afd470bd721131"/>
              <w:id w:val="5985"/>
            </w:sdtPr>
            <w:sdtContent>
              <w:p>
                <w:pPr>
                  <w:kinsoku w:val="0"/>
                  <w:overflowPunct w:val="0"/>
                  <w:autoSpaceDE w:val="0"/>
                  <w:autoSpaceDN w:val="0"/>
                  <w:adjustRightInd w:val="0"/>
                  <w:snapToGrid w:val="0"/>
                  <w:jc w:val="center"/>
                </w:pPr>
                <w:r>
                  <w:t>总资产</w:t>
                </w:r>
              </w:p>
            </w:sdtContent>
          </w:sdt>
        </w:tc>
        <w:tc>
          <w:tcPr>
            <w:tcW w:w="1524" w:type="dxa"/>
            <w:vAlign w:val="center"/>
          </w:tcPr>
          <w:sdt>
            <w:sdtPr>
              <w:tag w:val="_PLD_568be9ac045440aeaf1bfa59ac4c13ce"/>
              <w:id w:val="5986"/>
            </w:sdtPr>
            <w:sdtContent>
              <w:p>
                <w:pPr>
                  <w:kinsoku w:val="0"/>
                  <w:overflowPunct w:val="0"/>
                  <w:autoSpaceDE w:val="0"/>
                  <w:autoSpaceDN w:val="0"/>
                  <w:adjustRightInd w:val="0"/>
                  <w:snapToGrid w:val="0"/>
                  <w:jc w:val="center"/>
                </w:pPr>
                <w:r>
                  <w:t>净资产</w:t>
                </w:r>
              </w:p>
            </w:sdtContent>
          </w:sdt>
        </w:tc>
        <w:tc>
          <w:tcPr>
            <w:tcW w:w="1524" w:type="dxa"/>
            <w:vAlign w:val="center"/>
          </w:tcPr>
          <w:sdt>
            <w:sdtPr>
              <w:tag w:val="_PLD_5b0234e93edf4d4eba9ba1632349de01"/>
              <w:id w:val="5987"/>
            </w:sdtPr>
            <w:sdtContent>
              <w:p>
                <w:pPr>
                  <w:kinsoku w:val="0"/>
                  <w:overflowPunct w:val="0"/>
                  <w:autoSpaceDE w:val="0"/>
                  <w:autoSpaceDN w:val="0"/>
                  <w:adjustRightInd w:val="0"/>
                  <w:snapToGrid w:val="0"/>
                  <w:jc w:val="center"/>
                </w:pPr>
                <w:r>
                  <w:t>营业收入</w:t>
                </w:r>
              </w:p>
            </w:sdtContent>
          </w:sdt>
        </w:tc>
        <w:tc>
          <w:tcPr>
            <w:tcW w:w="1521" w:type="dxa"/>
            <w:vAlign w:val="center"/>
          </w:tcPr>
          <w:sdt>
            <w:sdtPr>
              <w:tag w:val="_PLD_ba045ffba7c14248ae76aaccea04d750"/>
              <w:id w:val="5988"/>
            </w:sdtPr>
            <w:sdtContent>
              <w:p>
                <w:pPr>
                  <w:kinsoku w:val="0"/>
                  <w:overflowPunct w:val="0"/>
                  <w:autoSpaceDE w:val="0"/>
                  <w:autoSpaceDN w:val="0"/>
                  <w:adjustRightInd w:val="0"/>
                  <w:snapToGrid w:val="0"/>
                  <w:jc w:val="center"/>
                </w:pPr>
                <w:r>
                  <w:t>营业利润</w:t>
                </w:r>
              </w:p>
            </w:sdtContent>
          </w:sdt>
        </w:tc>
        <w:tc>
          <w:tcPr>
            <w:tcW w:w="1624" w:type="dxa"/>
            <w:vAlign w:val="center"/>
          </w:tcPr>
          <w:sdt>
            <w:sdtPr>
              <w:tag w:val="_PLD_e15dc49d121b480aa6e96a30e17a5359"/>
              <w:id w:val="5989"/>
            </w:sdtPr>
            <w:sdtContent>
              <w:p>
                <w:pPr>
                  <w:kinsoku w:val="0"/>
                  <w:overflowPunct w:val="0"/>
                  <w:autoSpaceDE w:val="0"/>
                  <w:autoSpaceDN w:val="0"/>
                  <w:adjustRightInd w:val="0"/>
                  <w:snapToGrid w:val="0"/>
                  <w:jc w:val="center"/>
                </w:pPr>
                <w:r>
                  <w:t>净利润</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49" w:type="dxa"/>
            <w:vAlign w:val="center"/>
          </w:tcPr>
          <w:p>
            <w:pPr>
              <w:kinsoku w:val="0"/>
              <w:overflowPunct w:val="0"/>
              <w:autoSpaceDE w:val="0"/>
              <w:autoSpaceDN w:val="0"/>
              <w:adjustRightInd w:val="0"/>
              <w:snapToGrid w:val="0"/>
            </w:pPr>
            <w:r>
              <w:rPr>
                <w:rFonts w:hint="eastAsia"/>
                <w:color w:val="auto"/>
              </w:rPr>
              <w:t>两面针(江苏)实业有限公司</w:t>
            </w:r>
          </w:p>
        </w:tc>
        <w:tc>
          <w:tcPr>
            <w:tcW w:w="1095" w:type="dxa"/>
            <w:vAlign w:val="center"/>
          </w:tcPr>
          <w:sdt>
            <w:sdtPr>
              <w:rPr>
                <w:rFonts w:hint="eastAsia"/>
              </w:rPr>
              <w:alias w:val="主要控股参股公司分析明细_公司类型"/>
              <w:tag w:val="_GBC_9e936313969142599bc0a5fab0441112"/>
              <w:id w:val="5990"/>
              <w:comboBox>
                <w:listItem w:displayText="子公司" w:value="子公司"/>
                <w:listItem w:displayText="参股公司" w:value="参股公司"/>
              </w:comboBox>
            </w:sdtPr>
            <w:sdtEndPr>
              <w:rPr>
                <w:rFonts w:hint="eastAsia"/>
              </w:rPr>
            </w:sdtEndPr>
            <w:sdtContent>
              <w:p>
                <w:pPr>
                  <w:kinsoku w:val="0"/>
                  <w:overflowPunct w:val="0"/>
                  <w:autoSpaceDE w:val="0"/>
                  <w:autoSpaceDN w:val="0"/>
                  <w:adjustRightInd w:val="0"/>
                  <w:snapToGrid w:val="0"/>
                  <w:jc w:val="center"/>
                </w:pPr>
                <w:r>
                  <w:rPr>
                    <w:rFonts w:hint="eastAsia"/>
                  </w:rPr>
                  <w:t>子公司</w:t>
                </w:r>
              </w:p>
            </w:sdtContent>
          </w:sdt>
        </w:tc>
        <w:tc>
          <w:tcPr>
            <w:tcW w:w="1747" w:type="dxa"/>
            <w:vAlign w:val="center"/>
          </w:tcPr>
          <w:p>
            <w:pPr>
              <w:kinsoku w:val="0"/>
              <w:overflowPunct w:val="0"/>
              <w:autoSpaceDE w:val="0"/>
              <w:autoSpaceDN w:val="0"/>
              <w:adjustRightInd w:val="0"/>
              <w:snapToGrid w:val="0"/>
              <w:jc w:val="center"/>
            </w:pPr>
            <w:r>
              <w:rPr>
                <w:rFonts w:hint="eastAsia"/>
                <w:color w:val="auto"/>
              </w:rPr>
              <w:t>牙刷、头梳、鞋刷、宾馆酒店一次性用品、牙膏、香皂制造等</w:t>
            </w:r>
          </w:p>
        </w:tc>
        <w:tc>
          <w:tcPr>
            <w:tcW w:w="1524" w:type="dxa"/>
            <w:vAlign w:val="center"/>
          </w:tcPr>
          <w:p>
            <w:pPr>
              <w:kinsoku w:val="0"/>
              <w:overflowPunct w:val="0"/>
              <w:autoSpaceDE w:val="0"/>
              <w:autoSpaceDN w:val="0"/>
              <w:adjustRightInd w:val="0"/>
              <w:snapToGrid w:val="0"/>
              <w:jc w:val="right"/>
            </w:pPr>
            <w:r>
              <w:rPr>
                <w:rFonts w:hint="eastAsia"/>
                <w:color w:val="auto"/>
              </w:rPr>
              <w:t>62,890,000</w:t>
            </w:r>
          </w:p>
        </w:tc>
        <w:tc>
          <w:tcPr>
            <w:tcW w:w="1524" w:type="dxa"/>
            <w:vAlign w:val="center"/>
          </w:tcPr>
          <w:p>
            <w:pPr>
              <w:kinsoku w:val="0"/>
              <w:overflowPunct w:val="0"/>
              <w:autoSpaceDE w:val="0"/>
              <w:autoSpaceDN w:val="0"/>
              <w:adjustRightInd w:val="0"/>
              <w:snapToGrid w:val="0"/>
              <w:jc w:val="right"/>
            </w:pPr>
            <w:r>
              <w:rPr>
                <w:rFonts w:hint="eastAsia"/>
                <w:color w:val="auto"/>
              </w:rPr>
              <w:t>532,163,260.12</w:t>
            </w:r>
          </w:p>
        </w:tc>
        <w:tc>
          <w:tcPr>
            <w:tcW w:w="1524" w:type="dxa"/>
            <w:vAlign w:val="center"/>
          </w:tcPr>
          <w:p>
            <w:pPr>
              <w:kinsoku w:val="0"/>
              <w:overflowPunct w:val="0"/>
              <w:autoSpaceDE w:val="0"/>
              <w:autoSpaceDN w:val="0"/>
              <w:adjustRightInd w:val="0"/>
              <w:snapToGrid w:val="0"/>
              <w:jc w:val="right"/>
            </w:pPr>
            <w:r>
              <w:rPr>
                <w:rFonts w:hint="eastAsia"/>
                <w:color w:val="auto"/>
              </w:rPr>
              <w:t>243,969,829.68</w:t>
            </w:r>
          </w:p>
        </w:tc>
        <w:tc>
          <w:tcPr>
            <w:tcW w:w="1524" w:type="dxa"/>
            <w:vAlign w:val="center"/>
          </w:tcPr>
          <w:p>
            <w:pPr>
              <w:kinsoku w:val="0"/>
              <w:overflowPunct w:val="0"/>
              <w:autoSpaceDE w:val="0"/>
              <w:autoSpaceDN w:val="0"/>
              <w:adjustRightInd w:val="0"/>
              <w:snapToGrid w:val="0"/>
              <w:jc w:val="right"/>
            </w:pPr>
            <w:r>
              <w:rPr>
                <w:rFonts w:hint="eastAsia"/>
                <w:color w:val="auto"/>
              </w:rPr>
              <w:t>789,835,936.90</w:t>
            </w:r>
          </w:p>
        </w:tc>
        <w:tc>
          <w:tcPr>
            <w:tcW w:w="1521" w:type="dxa"/>
            <w:vAlign w:val="center"/>
          </w:tcPr>
          <w:p>
            <w:pPr>
              <w:kinsoku w:val="0"/>
              <w:overflowPunct w:val="0"/>
              <w:autoSpaceDE w:val="0"/>
              <w:autoSpaceDN w:val="0"/>
              <w:adjustRightInd w:val="0"/>
              <w:snapToGrid w:val="0"/>
              <w:jc w:val="right"/>
            </w:pPr>
            <w:r>
              <w:rPr>
                <w:rFonts w:hint="eastAsia"/>
                <w:color w:val="auto"/>
              </w:rPr>
              <w:t>15,036,898.76</w:t>
            </w:r>
          </w:p>
        </w:tc>
        <w:tc>
          <w:tcPr>
            <w:tcW w:w="1624" w:type="dxa"/>
            <w:vAlign w:val="center"/>
          </w:tcPr>
          <w:p>
            <w:pPr>
              <w:kinsoku w:val="0"/>
              <w:overflowPunct w:val="0"/>
              <w:autoSpaceDE w:val="0"/>
              <w:autoSpaceDN w:val="0"/>
              <w:adjustRightInd w:val="0"/>
              <w:snapToGrid w:val="0"/>
              <w:jc w:val="right"/>
            </w:pPr>
            <w:r>
              <w:rPr>
                <w:rFonts w:hint="eastAsia"/>
                <w:color w:val="auto"/>
              </w:rPr>
              <w:t>16,938,906.08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49" w:type="dxa"/>
            <w:vAlign w:val="center"/>
          </w:tcPr>
          <w:p>
            <w:pPr>
              <w:kinsoku w:val="0"/>
              <w:overflowPunct w:val="0"/>
              <w:autoSpaceDE w:val="0"/>
              <w:autoSpaceDN w:val="0"/>
              <w:adjustRightInd w:val="0"/>
              <w:snapToGrid w:val="0"/>
            </w:pPr>
            <w:r>
              <w:rPr>
                <w:rFonts w:hint="eastAsia"/>
                <w:color w:val="auto"/>
              </w:rPr>
              <w:t>广西两面针亿康药业股份有限公司</w:t>
            </w:r>
          </w:p>
        </w:tc>
        <w:tc>
          <w:tcPr>
            <w:tcW w:w="1095" w:type="dxa"/>
            <w:vAlign w:val="center"/>
          </w:tcPr>
          <w:p>
            <w:pPr>
              <w:kinsoku w:val="0"/>
              <w:overflowPunct w:val="0"/>
              <w:autoSpaceDE w:val="0"/>
              <w:autoSpaceDN w:val="0"/>
              <w:adjustRightInd w:val="0"/>
              <w:snapToGrid w:val="0"/>
              <w:jc w:val="center"/>
            </w:pPr>
            <w:r>
              <w:rPr>
                <w:rFonts w:hint="eastAsia"/>
              </w:rPr>
              <w:t>子公司</w:t>
            </w:r>
          </w:p>
        </w:tc>
        <w:tc>
          <w:tcPr>
            <w:tcW w:w="1747" w:type="dxa"/>
            <w:vAlign w:val="center"/>
          </w:tcPr>
          <w:p>
            <w:pPr>
              <w:kinsoku w:val="0"/>
              <w:overflowPunct w:val="0"/>
              <w:autoSpaceDE w:val="0"/>
              <w:autoSpaceDN w:val="0"/>
              <w:adjustRightInd w:val="0"/>
              <w:snapToGrid w:val="0"/>
              <w:jc w:val="center"/>
            </w:pPr>
            <w:r>
              <w:rPr>
                <w:rFonts w:hint="eastAsia"/>
                <w:color w:val="auto"/>
              </w:rPr>
              <w:t>药品、原料药、卫生消毒用品等的生产销售</w:t>
            </w:r>
          </w:p>
        </w:tc>
        <w:tc>
          <w:tcPr>
            <w:tcW w:w="1524" w:type="dxa"/>
            <w:vAlign w:val="center"/>
          </w:tcPr>
          <w:p>
            <w:pPr>
              <w:kinsoku w:val="0"/>
              <w:overflowPunct w:val="0"/>
              <w:autoSpaceDE w:val="0"/>
              <w:autoSpaceDN w:val="0"/>
              <w:adjustRightInd w:val="0"/>
              <w:snapToGrid w:val="0"/>
              <w:jc w:val="right"/>
            </w:pPr>
            <w:r>
              <w:rPr>
                <w:rFonts w:hint="eastAsia"/>
                <w:color w:val="auto"/>
              </w:rPr>
              <w:t>91,000,000</w:t>
            </w:r>
          </w:p>
        </w:tc>
        <w:tc>
          <w:tcPr>
            <w:tcW w:w="1524" w:type="dxa"/>
            <w:vAlign w:val="center"/>
          </w:tcPr>
          <w:p>
            <w:pPr>
              <w:kinsoku w:val="0"/>
              <w:overflowPunct w:val="0"/>
              <w:autoSpaceDE w:val="0"/>
              <w:autoSpaceDN w:val="0"/>
              <w:adjustRightInd w:val="0"/>
              <w:snapToGrid w:val="0"/>
              <w:jc w:val="right"/>
            </w:pPr>
            <w:r>
              <w:rPr>
                <w:rFonts w:hint="eastAsia"/>
                <w:color w:val="auto"/>
              </w:rPr>
              <w:t>159,839,078.01</w:t>
            </w:r>
          </w:p>
        </w:tc>
        <w:tc>
          <w:tcPr>
            <w:tcW w:w="1524" w:type="dxa"/>
            <w:vAlign w:val="center"/>
          </w:tcPr>
          <w:p>
            <w:pPr>
              <w:kinsoku w:val="0"/>
              <w:overflowPunct w:val="0"/>
              <w:autoSpaceDE w:val="0"/>
              <w:autoSpaceDN w:val="0"/>
              <w:adjustRightInd w:val="0"/>
              <w:snapToGrid w:val="0"/>
              <w:jc w:val="right"/>
            </w:pPr>
            <w:r>
              <w:rPr>
                <w:rFonts w:hint="eastAsia"/>
                <w:color w:val="auto"/>
              </w:rPr>
              <w:t>100,826,308.34</w:t>
            </w:r>
          </w:p>
        </w:tc>
        <w:tc>
          <w:tcPr>
            <w:tcW w:w="1524" w:type="dxa"/>
            <w:vAlign w:val="center"/>
          </w:tcPr>
          <w:p>
            <w:pPr>
              <w:kinsoku w:val="0"/>
              <w:overflowPunct w:val="0"/>
              <w:autoSpaceDE w:val="0"/>
              <w:autoSpaceDN w:val="0"/>
              <w:adjustRightInd w:val="0"/>
              <w:snapToGrid w:val="0"/>
              <w:jc w:val="right"/>
            </w:pPr>
            <w:r>
              <w:rPr>
                <w:rFonts w:hint="eastAsia"/>
                <w:color w:val="auto"/>
              </w:rPr>
              <w:t>103,178,787.18</w:t>
            </w:r>
          </w:p>
        </w:tc>
        <w:tc>
          <w:tcPr>
            <w:tcW w:w="1521" w:type="dxa"/>
            <w:vAlign w:val="center"/>
          </w:tcPr>
          <w:p>
            <w:pPr>
              <w:kinsoku w:val="0"/>
              <w:overflowPunct w:val="0"/>
              <w:autoSpaceDE w:val="0"/>
              <w:autoSpaceDN w:val="0"/>
              <w:adjustRightInd w:val="0"/>
              <w:snapToGrid w:val="0"/>
              <w:jc w:val="right"/>
            </w:pPr>
            <w:r>
              <w:rPr>
                <w:rFonts w:hint="eastAsia"/>
                <w:color w:val="auto"/>
              </w:rPr>
              <w:t>6,047,751.02</w:t>
            </w:r>
          </w:p>
        </w:tc>
        <w:tc>
          <w:tcPr>
            <w:tcW w:w="1624" w:type="dxa"/>
            <w:vAlign w:val="center"/>
          </w:tcPr>
          <w:p>
            <w:pPr>
              <w:kinsoku w:val="0"/>
              <w:overflowPunct w:val="0"/>
              <w:autoSpaceDE w:val="0"/>
              <w:autoSpaceDN w:val="0"/>
              <w:adjustRightInd w:val="0"/>
              <w:snapToGrid w:val="0"/>
              <w:jc w:val="right"/>
            </w:pPr>
            <w:r>
              <w:rPr>
                <w:rFonts w:hint="eastAsia"/>
                <w:color w:val="auto"/>
              </w:rPr>
              <w:t>5,448,144.11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49" w:type="dxa"/>
            <w:vAlign w:val="center"/>
          </w:tcPr>
          <w:p>
            <w:pPr>
              <w:kinsoku w:val="0"/>
              <w:overflowPunct w:val="0"/>
              <w:autoSpaceDE w:val="0"/>
              <w:autoSpaceDN w:val="0"/>
              <w:adjustRightInd w:val="0"/>
              <w:snapToGrid w:val="0"/>
            </w:pPr>
            <w:r>
              <w:rPr>
                <w:rFonts w:hint="eastAsia" w:ascii="Times New Roman" w:hAnsi="Times New Roman" w:eastAsia="宋体" w:cs="Times New Roman"/>
                <w:szCs w:val="21"/>
                <w:lang w:val="en-US" w:eastAsia="zh-CN"/>
              </w:rPr>
              <w:t>安徽两面针•芳草日化有限公司</w:t>
            </w:r>
          </w:p>
        </w:tc>
        <w:tc>
          <w:tcPr>
            <w:tcW w:w="1095" w:type="dxa"/>
            <w:vAlign w:val="center"/>
          </w:tcPr>
          <w:p>
            <w:pPr>
              <w:kinsoku w:val="0"/>
              <w:overflowPunct w:val="0"/>
              <w:autoSpaceDE w:val="0"/>
              <w:autoSpaceDN w:val="0"/>
              <w:adjustRightInd w:val="0"/>
              <w:snapToGrid w:val="0"/>
              <w:jc w:val="center"/>
            </w:pPr>
            <w:r>
              <w:rPr>
                <w:rFonts w:hint="eastAsia"/>
              </w:rPr>
              <w:t>子公司</w:t>
            </w:r>
          </w:p>
        </w:tc>
        <w:tc>
          <w:tcPr>
            <w:tcW w:w="1747" w:type="dxa"/>
            <w:vAlign w:val="center"/>
          </w:tcPr>
          <w:p>
            <w:pPr>
              <w:kinsoku w:val="0"/>
              <w:overflowPunct w:val="0"/>
              <w:autoSpaceDE w:val="0"/>
              <w:autoSpaceDN w:val="0"/>
              <w:adjustRightInd w:val="0"/>
              <w:snapToGrid w:val="0"/>
              <w:jc w:val="center"/>
            </w:pPr>
            <w:r>
              <w:rPr>
                <w:rFonts w:hint="eastAsia"/>
                <w:color w:val="auto"/>
              </w:rPr>
              <w:t>牙膏、发用化妆品、家用卫生用品的生产销售等</w:t>
            </w:r>
          </w:p>
        </w:tc>
        <w:tc>
          <w:tcPr>
            <w:tcW w:w="1524" w:type="dxa"/>
            <w:vAlign w:val="center"/>
          </w:tcPr>
          <w:p>
            <w:pPr>
              <w:kinsoku w:val="0"/>
              <w:overflowPunct w:val="0"/>
              <w:autoSpaceDE w:val="0"/>
              <w:autoSpaceDN w:val="0"/>
              <w:adjustRightInd w:val="0"/>
              <w:snapToGrid w:val="0"/>
              <w:jc w:val="right"/>
            </w:pPr>
            <w:r>
              <w:rPr>
                <w:rFonts w:hint="eastAsia"/>
                <w:color w:val="auto"/>
              </w:rPr>
              <w:t>35,000,000</w:t>
            </w:r>
          </w:p>
        </w:tc>
        <w:tc>
          <w:tcPr>
            <w:tcW w:w="1524" w:type="dxa"/>
            <w:vAlign w:val="center"/>
          </w:tcPr>
          <w:p>
            <w:pPr>
              <w:kinsoku w:val="0"/>
              <w:overflowPunct w:val="0"/>
              <w:autoSpaceDE w:val="0"/>
              <w:autoSpaceDN w:val="0"/>
              <w:adjustRightInd w:val="0"/>
              <w:snapToGrid w:val="0"/>
              <w:jc w:val="right"/>
            </w:pPr>
            <w:r>
              <w:rPr>
                <w:rFonts w:hint="eastAsia"/>
                <w:color w:val="auto"/>
              </w:rPr>
              <w:t>77,116,448.23</w:t>
            </w:r>
          </w:p>
        </w:tc>
        <w:tc>
          <w:tcPr>
            <w:tcW w:w="1524" w:type="dxa"/>
            <w:vAlign w:val="center"/>
          </w:tcPr>
          <w:p>
            <w:pPr>
              <w:kinsoku w:val="0"/>
              <w:overflowPunct w:val="0"/>
              <w:autoSpaceDE w:val="0"/>
              <w:autoSpaceDN w:val="0"/>
              <w:adjustRightInd w:val="0"/>
              <w:snapToGrid w:val="0"/>
              <w:jc w:val="right"/>
            </w:pPr>
            <w:r>
              <w:rPr>
                <w:rFonts w:hint="eastAsia"/>
                <w:color w:val="auto"/>
              </w:rPr>
              <w:t>-23,618,658.39</w:t>
            </w:r>
          </w:p>
        </w:tc>
        <w:tc>
          <w:tcPr>
            <w:tcW w:w="1524" w:type="dxa"/>
            <w:vAlign w:val="center"/>
          </w:tcPr>
          <w:p>
            <w:pPr>
              <w:kinsoku w:val="0"/>
              <w:overflowPunct w:val="0"/>
              <w:autoSpaceDE w:val="0"/>
              <w:autoSpaceDN w:val="0"/>
              <w:adjustRightInd w:val="0"/>
              <w:snapToGrid w:val="0"/>
              <w:jc w:val="right"/>
            </w:pPr>
            <w:r>
              <w:rPr>
                <w:rFonts w:hint="eastAsia"/>
                <w:color w:val="auto"/>
              </w:rPr>
              <w:t>32,576,083.50</w:t>
            </w:r>
          </w:p>
        </w:tc>
        <w:tc>
          <w:tcPr>
            <w:tcW w:w="1521" w:type="dxa"/>
            <w:vAlign w:val="center"/>
          </w:tcPr>
          <w:p>
            <w:pPr>
              <w:kinsoku w:val="0"/>
              <w:overflowPunct w:val="0"/>
              <w:autoSpaceDE w:val="0"/>
              <w:autoSpaceDN w:val="0"/>
              <w:adjustRightInd w:val="0"/>
              <w:snapToGrid w:val="0"/>
              <w:jc w:val="right"/>
            </w:pPr>
            <w:r>
              <w:rPr>
                <w:rFonts w:hint="eastAsia"/>
                <w:color w:val="auto"/>
              </w:rPr>
              <w:t>595,767.69</w:t>
            </w:r>
          </w:p>
        </w:tc>
        <w:tc>
          <w:tcPr>
            <w:tcW w:w="1624" w:type="dxa"/>
            <w:vAlign w:val="center"/>
          </w:tcPr>
          <w:p>
            <w:pPr>
              <w:kinsoku w:val="0"/>
              <w:overflowPunct w:val="0"/>
              <w:autoSpaceDE w:val="0"/>
              <w:autoSpaceDN w:val="0"/>
              <w:adjustRightInd w:val="0"/>
              <w:snapToGrid w:val="0"/>
              <w:jc w:val="right"/>
            </w:pPr>
            <w:r>
              <w:rPr>
                <w:rFonts w:hint="eastAsia"/>
                <w:color w:val="auto"/>
              </w:rPr>
              <w:t>468,334.18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49" w:type="dxa"/>
            <w:vAlign w:val="center"/>
          </w:tcPr>
          <w:p>
            <w:pPr>
              <w:kinsoku w:val="0"/>
              <w:overflowPunct w:val="0"/>
              <w:autoSpaceDE w:val="0"/>
              <w:autoSpaceDN w:val="0"/>
              <w:adjustRightInd w:val="0"/>
              <w:snapToGrid w:val="0"/>
            </w:pPr>
            <w:r>
              <w:rPr>
                <w:rFonts w:hint="eastAsia"/>
                <w:color w:val="auto"/>
              </w:rPr>
              <w:t>柳州两面针进出口贸易有限公司</w:t>
            </w:r>
          </w:p>
        </w:tc>
        <w:tc>
          <w:tcPr>
            <w:tcW w:w="1095" w:type="dxa"/>
            <w:vAlign w:val="center"/>
          </w:tcPr>
          <w:p>
            <w:pPr>
              <w:kinsoku w:val="0"/>
              <w:overflowPunct w:val="0"/>
              <w:autoSpaceDE w:val="0"/>
              <w:autoSpaceDN w:val="0"/>
              <w:adjustRightInd w:val="0"/>
              <w:snapToGrid w:val="0"/>
              <w:jc w:val="center"/>
            </w:pPr>
            <w:r>
              <w:rPr>
                <w:rFonts w:hint="eastAsia"/>
              </w:rPr>
              <w:t>子公司</w:t>
            </w:r>
          </w:p>
        </w:tc>
        <w:tc>
          <w:tcPr>
            <w:tcW w:w="1747" w:type="dxa"/>
            <w:vAlign w:val="center"/>
          </w:tcPr>
          <w:p>
            <w:pPr>
              <w:kinsoku w:val="0"/>
              <w:overflowPunct w:val="0"/>
              <w:autoSpaceDE w:val="0"/>
              <w:autoSpaceDN w:val="0"/>
              <w:adjustRightInd w:val="0"/>
              <w:snapToGrid w:val="0"/>
              <w:jc w:val="center"/>
            </w:pPr>
            <w:r>
              <w:rPr>
                <w:rFonts w:hint="eastAsia"/>
                <w:color w:val="auto"/>
              </w:rPr>
              <w:t>货物及技术进出口、纺织品、日用品等的销售</w:t>
            </w:r>
          </w:p>
        </w:tc>
        <w:tc>
          <w:tcPr>
            <w:tcW w:w="1524" w:type="dxa"/>
            <w:vAlign w:val="center"/>
          </w:tcPr>
          <w:p>
            <w:pPr>
              <w:kinsoku w:val="0"/>
              <w:overflowPunct w:val="0"/>
              <w:autoSpaceDE w:val="0"/>
              <w:autoSpaceDN w:val="0"/>
              <w:adjustRightInd w:val="0"/>
              <w:snapToGrid w:val="0"/>
              <w:jc w:val="right"/>
            </w:pPr>
            <w:r>
              <w:rPr>
                <w:rFonts w:hint="eastAsia"/>
                <w:color w:val="auto"/>
              </w:rPr>
              <w:t>5,000,000</w:t>
            </w:r>
          </w:p>
        </w:tc>
        <w:tc>
          <w:tcPr>
            <w:tcW w:w="1524" w:type="dxa"/>
            <w:vAlign w:val="center"/>
          </w:tcPr>
          <w:p>
            <w:pPr>
              <w:kinsoku w:val="0"/>
              <w:overflowPunct w:val="0"/>
              <w:autoSpaceDE w:val="0"/>
              <w:autoSpaceDN w:val="0"/>
              <w:adjustRightInd w:val="0"/>
              <w:snapToGrid w:val="0"/>
              <w:jc w:val="right"/>
            </w:pPr>
            <w:r>
              <w:rPr>
                <w:rFonts w:hint="eastAsia"/>
                <w:color w:val="auto"/>
              </w:rPr>
              <w:t>10,314,184.44</w:t>
            </w:r>
          </w:p>
        </w:tc>
        <w:tc>
          <w:tcPr>
            <w:tcW w:w="1524" w:type="dxa"/>
            <w:vAlign w:val="center"/>
          </w:tcPr>
          <w:p>
            <w:pPr>
              <w:kinsoku w:val="0"/>
              <w:overflowPunct w:val="0"/>
              <w:autoSpaceDE w:val="0"/>
              <w:autoSpaceDN w:val="0"/>
              <w:adjustRightInd w:val="0"/>
              <w:snapToGrid w:val="0"/>
              <w:jc w:val="right"/>
            </w:pPr>
            <w:r>
              <w:rPr>
                <w:rFonts w:hint="eastAsia"/>
                <w:color w:val="auto"/>
              </w:rPr>
              <w:t>-8,506,995.86</w:t>
            </w:r>
          </w:p>
        </w:tc>
        <w:tc>
          <w:tcPr>
            <w:tcW w:w="1524" w:type="dxa"/>
            <w:vAlign w:val="center"/>
          </w:tcPr>
          <w:p>
            <w:pPr>
              <w:kinsoku w:val="0"/>
              <w:overflowPunct w:val="0"/>
              <w:autoSpaceDE w:val="0"/>
              <w:autoSpaceDN w:val="0"/>
              <w:adjustRightInd w:val="0"/>
              <w:snapToGrid w:val="0"/>
              <w:jc w:val="right"/>
            </w:pPr>
            <w:r>
              <w:rPr>
                <w:rFonts w:hint="eastAsia"/>
                <w:color w:val="auto"/>
              </w:rPr>
              <w:t>13,482,913.68</w:t>
            </w:r>
          </w:p>
        </w:tc>
        <w:tc>
          <w:tcPr>
            <w:tcW w:w="1521" w:type="dxa"/>
            <w:vAlign w:val="center"/>
          </w:tcPr>
          <w:p>
            <w:pPr>
              <w:kinsoku w:val="0"/>
              <w:overflowPunct w:val="0"/>
              <w:autoSpaceDE w:val="0"/>
              <w:autoSpaceDN w:val="0"/>
              <w:adjustRightInd w:val="0"/>
              <w:snapToGrid w:val="0"/>
              <w:jc w:val="right"/>
            </w:pPr>
            <w:r>
              <w:rPr>
                <w:rFonts w:hint="eastAsia"/>
                <w:color w:val="auto"/>
              </w:rPr>
              <w:t>-1,839,093.79</w:t>
            </w:r>
          </w:p>
        </w:tc>
        <w:tc>
          <w:tcPr>
            <w:tcW w:w="1624" w:type="dxa"/>
            <w:vAlign w:val="center"/>
          </w:tcPr>
          <w:p>
            <w:pPr>
              <w:kinsoku w:val="0"/>
              <w:overflowPunct w:val="0"/>
              <w:autoSpaceDE w:val="0"/>
              <w:autoSpaceDN w:val="0"/>
              <w:adjustRightInd w:val="0"/>
              <w:snapToGrid w:val="0"/>
              <w:jc w:val="right"/>
            </w:pPr>
            <w:r>
              <w:rPr>
                <w:rFonts w:hint="eastAsia"/>
                <w:color w:val="auto"/>
              </w:rPr>
              <w:t>-1,898,719.87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49" w:type="dxa"/>
            <w:vAlign w:val="center"/>
          </w:tcPr>
          <w:p>
            <w:pPr>
              <w:kinsoku w:val="0"/>
              <w:overflowPunct w:val="0"/>
              <w:autoSpaceDE w:val="0"/>
              <w:autoSpaceDN w:val="0"/>
              <w:adjustRightInd w:val="0"/>
              <w:snapToGrid w:val="0"/>
            </w:pPr>
            <w:r>
              <w:rPr>
                <w:rFonts w:hint="eastAsia"/>
                <w:color w:val="auto"/>
              </w:rPr>
              <w:t>柳州两面针供应链有限公司</w:t>
            </w:r>
          </w:p>
        </w:tc>
        <w:tc>
          <w:tcPr>
            <w:tcW w:w="1095" w:type="dxa"/>
            <w:vAlign w:val="center"/>
          </w:tcPr>
          <w:p>
            <w:pPr>
              <w:kinsoku w:val="0"/>
              <w:overflowPunct w:val="0"/>
              <w:autoSpaceDE w:val="0"/>
              <w:autoSpaceDN w:val="0"/>
              <w:adjustRightInd w:val="0"/>
              <w:snapToGrid w:val="0"/>
              <w:jc w:val="center"/>
            </w:pPr>
            <w:r>
              <w:rPr>
                <w:rFonts w:hint="eastAsia"/>
              </w:rPr>
              <w:t>子公司</w:t>
            </w:r>
          </w:p>
        </w:tc>
        <w:tc>
          <w:tcPr>
            <w:tcW w:w="1747" w:type="dxa"/>
            <w:vAlign w:val="center"/>
          </w:tcPr>
          <w:p>
            <w:pPr>
              <w:kinsoku w:val="0"/>
              <w:overflowPunct w:val="0"/>
              <w:autoSpaceDE w:val="0"/>
              <w:autoSpaceDN w:val="0"/>
              <w:adjustRightInd w:val="0"/>
              <w:snapToGrid w:val="0"/>
              <w:jc w:val="center"/>
            </w:pPr>
            <w:r>
              <w:rPr>
                <w:rFonts w:hint="eastAsia"/>
                <w:color w:val="auto"/>
              </w:rPr>
              <w:t>供应链管理服务：日用品销售</w:t>
            </w:r>
          </w:p>
        </w:tc>
        <w:tc>
          <w:tcPr>
            <w:tcW w:w="1524" w:type="dxa"/>
            <w:vAlign w:val="center"/>
          </w:tcPr>
          <w:p>
            <w:pPr>
              <w:kinsoku w:val="0"/>
              <w:overflowPunct w:val="0"/>
              <w:autoSpaceDE w:val="0"/>
              <w:autoSpaceDN w:val="0"/>
              <w:adjustRightInd w:val="0"/>
              <w:snapToGrid w:val="0"/>
              <w:jc w:val="right"/>
            </w:pPr>
            <w:r>
              <w:rPr>
                <w:rFonts w:hint="eastAsia"/>
                <w:color w:val="auto"/>
              </w:rPr>
              <w:t>2,000,000</w:t>
            </w:r>
          </w:p>
        </w:tc>
        <w:tc>
          <w:tcPr>
            <w:tcW w:w="1524" w:type="dxa"/>
            <w:vAlign w:val="center"/>
          </w:tcPr>
          <w:p>
            <w:pPr>
              <w:kinsoku w:val="0"/>
              <w:overflowPunct w:val="0"/>
              <w:autoSpaceDE w:val="0"/>
              <w:autoSpaceDN w:val="0"/>
              <w:adjustRightInd w:val="0"/>
              <w:snapToGrid w:val="0"/>
              <w:jc w:val="right"/>
            </w:pPr>
            <w:r>
              <w:rPr>
                <w:rFonts w:hint="eastAsia"/>
                <w:color w:val="auto"/>
              </w:rPr>
              <w:t>3,165,150.62</w:t>
            </w:r>
          </w:p>
        </w:tc>
        <w:tc>
          <w:tcPr>
            <w:tcW w:w="1524" w:type="dxa"/>
            <w:vAlign w:val="center"/>
          </w:tcPr>
          <w:p>
            <w:pPr>
              <w:kinsoku w:val="0"/>
              <w:overflowPunct w:val="0"/>
              <w:autoSpaceDE w:val="0"/>
              <w:autoSpaceDN w:val="0"/>
              <w:adjustRightInd w:val="0"/>
              <w:snapToGrid w:val="0"/>
              <w:jc w:val="right"/>
            </w:pPr>
            <w:r>
              <w:rPr>
                <w:rFonts w:hint="eastAsia"/>
                <w:color w:val="auto"/>
              </w:rPr>
              <w:t>2,298,013.63</w:t>
            </w:r>
          </w:p>
        </w:tc>
        <w:tc>
          <w:tcPr>
            <w:tcW w:w="1524" w:type="dxa"/>
            <w:vAlign w:val="center"/>
          </w:tcPr>
          <w:p>
            <w:pPr>
              <w:kinsoku w:val="0"/>
              <w:overflowPunct w:val="0"/>
              <w:autoSpaceDE w:val="0"/>
              <w:autoSpaceDN w:val="0"/>
              <w:adjustRightInd w:val="0"/>
              <w:snapToGrid w:val="0"/>
              <w:jc w:val="right"/>
            </w:pPr>
            <w:r>
              <w:rPr>
                <w:rFonts w:hint="eastAsia"/>
                <w:color w:val="auto"/>
              </w:rPr>
              <w:t>266,237.42</w:t>
            </w:r>
          </w:p>
        </w:tc>
        <w:tc>
          <w:tcPr>
            <w:tcW w:w="1521" w:type="dxa"/>
            <w:vAlign w:val="center"/>
          </w:tcPr>
          <w:p>
            <w:pPr>
              <w:kinsoku w:val="0"/>
              <w:overflowPunct w:val="0"/>
              <w:autoSpaceDE w:val="0"/>
              <w:autoSpaceDN w:val="0"/>
              <w:adjustRightInd w:val="0"/>
              <w:snapToGrid w:val="0"/>
              <w:jc w:val="right"/>
            </w:pPr>
            <w:r>
              <w:rPr>
                <w:rFonts w:hint="eastAsia"/>
                <w:color w:val="auto"/>
              </w:rPr>
              <w:t>213,698.56</w:t>
            </w:r>
          </w:p>
        </w:tc>
        <w:tc>
          <w:tcPr>
            <w:tcW w:w="1624" w:type="dxa"/>
            <w:vAlign w:val="center"/>
          </w:tcPr>
          <w:p>
            <w:pPr>
              <w:kinsoku w:val="0"/>
              <w:overflowPunct w:val="0"/>
              <w:autoSpaceDE w:val="0"/>
              <w:autoSpaceDN w:val="0"/>
              <w:adjustRightInd w:val="0"/>
              <w:snapToGrid w:val="0"/>
              <w:jc w:val="right"/>
            </w:pPr>
            <w:r>
              <w:rPr>
                <w:rFonts w:hint="eastAsia"/>
                <w:color w:val="auto"/>
              </w:rPr>
              <w:t>298,013.63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849" w:type="dxa"/>
            <w:vAlign w:val="center"/>
          </w:tcPr>
          <w:p>
            <w:pPr>
              <w:kinsoku w:val="0"/>
              <w:overflowPunct w:val="0"/>
              <w:autoSpaceDE w:val="0"/>
              <w:autoSpaceDN w:val="0"/>
              <w:adjustRightInd w:val="0"/>
              <w:snapToGrid w:val="0"/>
            </w:pPr>
            <w:r>
              <w:rPr>
                <w:rFonts w:hint="eastAsia"/>
                <w:color w:val="auto"/>
              </w:rPr>
              <w:t>柳州惠好卫生用品有限公司</w:t>
            </w:r>
          </w:p>
        </w:tc>
        <w:tc>
          <w:tcPr>
            <w:tcW w:w="1095" w:type="dxa"/>
            <w:vAlign w:val="center"/>
          </w:tcPr>
          <w:p>
            <w:pPr>
              <w:kinsoku w:val="0"/>
              <w:overflowPunct w:val="0"/>
              <w:autoSpaceDE w:val="0"/>
              <w:autoSpaceDN w:val="0"/>
              <w:adjustRightInd w:val="0"/>
              <w:snapToGrid w:val="0"/>
              <w:jc w:val="center"/>
            </w:pPr>
            <w:r>
              <w:rPr>
                <w:rFonts w:hint="eastAsia"/>
              </w:rPr>
              <w:t>子公司</w:t>
            </w:r>
          </w:p>
        </w:tc>
        <w:tc>
          <w:tcPr>
            <w:tcW w:w="1747" w:type="dxa"/>
            <w:vAlign w:val="center"/>
          </w:tcPr>
          <w:p>
            <w:pPr>
              <w:kinsoku w:val="0"/>
              <w:overflowPunct w:val="0"/>
              <w:autoSpaceDE w:val="0"/>
              <w:autoSpaceDN w:val="0"/>
              <w:adjustRightInd w:val="0"/>
              <w:snapToGrid w:val="0"/>
              <w:jc w:val="center"/>
            </w:pPr>
            <w:r>
              <w:rPr>
                <w:rFonts w:hint="eastAsia"/>
                <w:color w:val="auto"/>
              </w:rPr>
              <w:t>卫生巾、尿巾及其它家庭卫生用品的生产与销售</w:t>
            </w:r>
          </w:p>
        </w:tc>
        <w:tc>
          <w:tcPr>
            <w:tcW w:w="1524" w:type="dxa"/>
            <w:vAlign w:val="center"/>
          </w:tcPr>
          <w:p>
            <w:pPr>
              <w:kinsoku w:val="0"/>
              <w:overflowPunct w:val="0"/>
              <w:autoSpaceDE w:val="0"/>
              <w:autoSpaceDN w:val="0"/>
              <w:adjustRightInd w:val="0"/>
              <w:snapToGrid w:val="0"/>
              <w:jc w:val="right"/>
              <w:rPr>
                <w:rFonts w:hint="default" w:eastAsia="宋体"/>
                <w:lang w:val="en-US" w:eastAsia="zh-CN"/>
              </w:rPr>
            </w:pPr>
            <w:r>
              <w:rPr>
                <w:rFonts w:hint="eastAsia"/>
                <w:color w:val="auto"/>
              </w:rPr>
              <w:t>USD2</w:t>
            </w:r>
            <w:r>
              <w:rPr>
                <w:rFonts w:hint="eastAsia"/>
                <w:color w:val="auto"/>
                <w:lang w:val="en-US" w:eastAsia="zh-CN"/>
              </w:rPr>
              <w:t>,</w:t>
            </w:r>
            <w:r>
              <w:rPr>
                <w:rFonts w:hint="eastAsia"/>
                <w:color w:val="auto"/>
              </w:rPr>
              <w:t>10</w:t>
            </w:r>
            <w:r>
              <w:rPr>
                <w:rFonts w:hint="eastAsia"/>
                <w:color w:val="auto"/>
                <w:lang w:val="en-US" w:eastAsia="zh-CN"/>
              </w:rPr>
              <w:t>0,000</w:t>
            </w:r>
          </w:p>
        </w:tc>
        <w:tc>
          <w:tcPr>
            <w:tcW w:w="1524" w:type="dxa"/>
            <w:vAlign w:val="center"/>
          </w:tcPr>
          <w:p>
            <w:pPr>
              <w:kinsoku w:val="0"/>
              <w:overflowPunct w:val="0"/>
              <w:autoSpaceDE w:val="0"/>
              <w:autoSpaceDN w:val="0"/>
              <w:adjustRightInd w:val="0"/>
              <w:snapToGrid w:val="0"/>
              <w:jc w:val="right"/>
            </w:pPr>
            <w:r>
              <w:rPr>
                <w:rFonts w:hint="eastAsia"/>
                <w:color w:val="auto"/>
              </w:rPr>
              <w:t>95,232.05</w:t>
            </w:r>
          </w:p>
        </w:tc>
        <w:tc>
          <w:tcPr>
            <w:tcW w:w="1524" w:type="dxa"/>
            <w:vAlign w:val="center"/>
          </w:tcPr>
          <w:p>
            <w:pPr>
              <w:kinsoku w:val="0"/>
              <w:overflowPunct w:val="0"/>
              <w:autoSpaceDE w:val="0"/>
              <w:autoSpaceDN w:val="0"/>
              <w:adjustRightInd w:val="0"/>
              <w:snapToGrid w:val="0"/>
              <w:jc w:val="right"/>
            </w:pPr>
            <w:r>
              <w:rPr>
                <w:rFonts w:hint="eastAsia"/>
                <w:color w:val="auto"/>
              </w:rPr>
              <w:t>-58,580,270.48</w:t>
            </w:r>
          </w:p>
        </w:tc>
        <w:tc>
          <w:tcPr>
            <w:tcW w:w="1524" w:type="dxa"/>
            <w:vAlign w:val="center"/>
          </w:tcPr>
          <w:p>
            <w:pPr>
              <w:kinsoku w:val="0"/>
              <w:overflowPunct w:val="0"/>
              <w:autoSpaceDE w:val="0"/>
              <w:autoSpaceDN w:val="0"/>
              <w:adjustRightInd w:val="0"/>
              <w:snapToGrid w:val="0"/>
              <w:jc w:val="right"/>
            </w:pPr>
            <w:r>
              <w:rPr>
                <w:rFonts w:hint="eastAsia"/>
                <w:color w:val="auto"/>
              </w:rPr>
              <w:t>0.00</w:t>
            </w:r>
          </w:p>
        </w:tc>
        <w:tc>
          <w:tcPr>
            <w:tcW w:w="1521" w:type="dxa"/>
            <w:vAlign w:val="center"/>
          </w:tcPr>
          <w:p>
            <w:pPr>
              <w:kinsoku w:val="0"/>
              <w:overflowPunct w:val="0"/>
              <w:autoSpaceDE w:val="0"/>
              <w:autoSpaceDN w:val="0"/>
              <w:adjustRightInd w:val="0"/>
              <w:snapToGrid w:val="0"/>
              <w:jc w:val="right"/>
            </w:pPr>
            <w:r>
              <w:rPr>
                <w:rFonts w:hint="eastAsia"/>
                <w:color w:val="auto"/>
              </w:rPr>
              <w:t>-453.10</w:t>
            </w:r>
          </w:p>
        </w:tc>
        <w:tc>
          <w:tcPr>
            <w:tcW w:w="1624" w:type="dxa"/>
            <w:vAlign w:val="center"/>
          </w:tcPr>
          <w:p>
            <w:pPr>
              <w:kinsoku w:val="0"/>
              <w:overflowPunct w:val="0"/>
              <w:autoSpaceDE w:val="0"/>
              <w:autoSpaceDN w:val="0"/>
              <w:adjustRightInd w:val="0"/>
              <w:snapToGrid w:val="0"/>
              <w:jc w:val="right"/>
            </w:pPr>
            <w:r>
              <w:rPr>
                <w:rFonts w:hint="eastAsia"/>
                <w:color w:val="auto"/>
              </w:rPr>
              <w:t>4,263.96</w:t>
            </w:r>
          </w:p>
        </w:tc>
      </w:tr>
    </w:tbl>
    <w:p>
      <w:pPr>
        <w:sectPr>
          <w:pgSz w:w="16838" w:h="11906" w:orient="landscape"/>
          <w:pgMar w:top="1797" w:right="1525" w:bottom="1276" w:left="1440" w:header="855" w:footer="992" w:gutter="0"/>
          <w:cols w:space="425" w:num="1"/>
          <w:docGrid w:linePitch="312" w:charSpace="0"/>
        </w:sectPr>
      </w:pPr>
    </w:p>
    <w:p>
      <w:r>
        <w:rPr>
          <w:rFonts w:hint="eastAsia"/>
        </w:rPr>
        <w:t>报告期内取得和处置子公司的情况</w:t>
      </w:r>
    </w:p>
    <w:sdt>
      <w:sdtPr>
        <w:rPr>
          <w:rFonts w:hint="eastAsia"/>
          <w:color w:val="000000"/>
        </w:rPr>
        <w:alias w:val="是否适用：报告期内取得和处置子公司的情况[双击切换]"/>
        <w:tag w:val="_GBC_8383e40750d74718b38f01647f22c9e6"/>
        <w:id w:val="5991"/>
        <w:placeholder>
          <w:docPart w:val="GBC22222222222222222222222222222"/>
        </w:placeholder>
      </w:sdtPr>
      <w:sdtEndPr>
        <w:rPr>
          <w:rFonts w:hint="eastAsia"/>
          <w:color w:val="000000"/>
        </w:rPr>
      </w:sdtEndPr>
      <w:sdtContent>
        <w:p>
          <w:pPr>
            <w:rPr>
              <w:color w:val="000000"/>
            </w:rPr>
          </w:pPr>
          <w:r>
            <w:rPr>
              <w:rFonts w:hint="eastAsia" w:ascii="宋体" w:hAnsi="宋体"/>
              <w:color w:val="000000"/>
            </w:rPr>
            <w:fldChar w:fldCharType="begin"/>
          </w:r>
          <w:r>
            <w:rPr>
              <w:rFonts w:hint="eastAsia" w:ascii="宋体" w:hAnsi="宋体"/>
              <w:color w:val="000000"/>
            </w:rPr>
            <w:instrText xml:space="preserve"> MACROBUTTON  SnrToggleCheckbox √适用 </w:instrText>
          </w:r>
          <w:r>
            <w:rPr>
              <w:rFonts w:hint="eastAsia" w:ascii="宋体" w:hAnsi="宋体"/>
              <w:color w:val="000000"/>
            </w:rPr>
            <w:fldChar w:fldCharType="end"/>
          </w:r>
          <w:r>
            <w:rPr>
              <w:rFonts w:hint="eastAsia" w:ascii="宋体" w:hAnsi="宋体"/>
              <w:color w:val="000000"/>
            </w:rPr>
            <w:fldChar w:fldCharType="begin"/>
          </w:r>
          <w:r>
            <w:rPr>
              <w:rFonts w:hint="eastAsia" w:ascii="宋体" w:hAnsi="宋体"/>
              <w:color w:val="000000"/>
            </w:rPr>
            <w:instrText xml:space="preserve"> MACROBUTTON  SnrToggleCheckbox □不适用 </w:instrText>
          </w:r>
          <w:r>
            <w:rPr>
              <w:rFonts w:hint="eastAsia" w:ascii="宋体" w:hAnsi="宋体"/>
              <w:color w:val="000000"/>
            </w:rPr>
            <w:fldChar w:fldCharType="end"/>
          </w:r>
        </w:p>
      </w:sdtContent>
    </w:sdt>
    <w:tbl>
      <w:tblPr>
        <w:tblStyle w:val="38"/>
        <w:tblW w:w="88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2689"/>
        <w:gridCol w:w="3254"/>
        <w:gridCol w:w="2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2689" w:type="dxa"/>
            <w:vAlign w:val="center"/>
          </w:tcPr>
          <w:sdt>
            <w:sdtPr>
              <w:tag w:val="_PLD_2d034ed94ce04d9eb110d2aff1c94fd4"/>
              <w:id w:val="5992"/>
            </w:sdtPr>
            <w:sdtContent>
              <w:p>
                <w:pPr>
                  <w:kinsoku w:val="0"/>
                  <w:overflowPunct w:val="0"/>
                  <w:autoSpaceDE w:val="0"/>
                  <w:autoSpaceDN w:val="0"/>
                  <w:adjustRightInd w:val="0"/>
                  <w:snapToGrid w:val="0"/>
                  <w:jc w:val="center"/>
                </w:pPr>
                <w:r>
                  <w:t>公司名称</w:t>
                </w:r>
              </w:p>
            </w:sdtContent>
          </w:sdt>
        </w:tc>
        <w:tc>
          <w:tcPr>
            <w:tcW w:w="3254" w:type="dxa"/>
            <w:vAlign w:val="center"/>
          </w:tcPr>
          <w:sdt>
            <w:sdtPr>
              <w:tag w:val="_PLD_849498aa2cf54d3a9966096634347592"/>
              <w:id w:val="5993"/>
            </w:sdtPr>
            <w:sdtContent>
              <w:p>
                <w:pPr>
                  <w:kinsoku w:val="0"/>
                  <w:overflowPunct w:val="0"/>
                  <w:autoSpaceDE w:val="0"/>
                  <w:autoSpaceDN w:val="0"/>
                  <w:adjustRightInd w:val="0"/>
                  <w:snapToGrid w:val="0"/>
                  <w:jc w:val="center"/>
                </w:pPr>
                <w:r>
                  <w:t>报告期内取得和处置子公司方式</w:t>
                </w:r>
              </w:p>
            </w:sdtContent>
          </w:sdt>
        </w:tc>
        <w:tc>
          <w:tcPr>
            <w:tcW w:w="2909" w:type="dxa"/>
            <w:vAlign w:val="center"/>
          </w:tcPr>
          <w:sdt>
            <w:sdtPr>
              <w:tag w:val="_PLD_a616762339ba4d9794a4fc9a395e6c92"/>
              <w:id w:val="5994"/>
            </w:sdtPr>
            <w:sdtContent>
              <w:p>
                <w:pPr>
                  <w:kinsoku w:val="0"/>
                  <w:overflowPunct w:val="0"/>
                  <w:autoSpaceDE w:val="0"/>
                  <w:autoSpaceDN w:val="0"/>
                  <w:adjustRightInd w:val="0"/>
                  <w:snapToGrid w:val="0"/>
                  <w:jc w:val="center"/>
                  <w:rPr>
                    <w:highlight w:val="cyan"/>
                  </w:rPr>
                </w:pPr>
                <w:r>
                  <w:t>对整体生产经营和业绩的影响</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2689" w:type="dxa"/>
            <w:vAlign w:val="center"/>
          </w:tcPr>
          <w:p>
            <w:pPr>
              <w:kinsoku w:val="0"/>
              <w:overflowPunct w:val="0"/>
              <w:autoSpaceDE w:val="0"/>
              <w:autoSpaceDN w:val="0"/>
              <w:adjustRightInd w:val="0"/>
              <w:snapToGrid w:val="0"/>
              <w:rPr>
                <w:rFonts w:hint="eastAsia"/>
              </w:rPr>
            </w:pPr>
            <w:r>
              <w:rPr>
                <w:rFonts w:hint="eastAsia"/>
                <w:color w:val="auto"/>
              </w:rPr>
              <w:t>柳州两面针供应链有限公司</w:t>
            </w:r>
          </w:p>
        </w:tc>
        <w:tc>
          <w:tcPr>
            <w:tcW w:w="3254" w:type="dxa"/>
            <w:vAlign w:val="center"/>
          </w:tcPr>
          <w:p>
            <w:pPr>
              <w:kinsoku w:val="0"/>
              <w:overflowPunct w:val="0"/>
              <w:autoSpaceDE w:val="0"/>
              <w:autoSpaceDN w:val="0"/>
              <w:adjustRightInd w:val="0"/>
              <w:snapToGrid w:val="0"/>
              <w:jc w:val="center"/>
              <w:rPr>
                <w:rFonts w:hint="eastAsia"/>
              </w:rPr>
            </w:pPr>
            <w:r>
              <w:rPr>
                <w:rFonts w:hint="eastAsia"/>
                <w:color w:val="auto"/>
              </w:rPr>
              <w:t>母公司投资设立全资子公司</w:t>
            </w:r>
          </w:p>
        </w:tc>
        <w:tc>
          <w:tcPr>
            <w:tcW w:w="2909" w:type="dxa"/>
            <w:vAlign w:val="center"/>
          </w:tcPr>
          <w:p>
            <w:pPr>
              <w:kinsoku w:val="0"/>
              <w:overflowPunct w:val="0"/>
              <w:autoSpaceDE w:val="0"/>
              <w:autoSpaceDN w:val="0"/>
              <w:adjustRightInd w:val="0"/>
              <w:snapToGrid w:val="0"/>
              <w:jc w:val="center"/>
              <w:rPr>
                <w:rFonts w:hint="eastAsia"/>
              </w:rPr>
            </w:pPr>
            <w:r>
              <w:rPr>
                <w:rFonts w:hint="eastAsia"/>
                <w:color w:val="auto"/>
              </w:rPr>
              <w:t>未对公司当期财务状况和经营成果产生重大影响</w:t>
            </w:r>
          </w:p>
        </w:tc>
      </w:tr>
    </w:tbl>
    <w:p/>
    <w:p>
      <w:r>
        <w:rPr>
          <w:rFonts w:hint="eastAsia"/>
        </w:rPr>
        <w:t>其他说明</w:t>
      </w:r>
    </w:p>
    <w:sdt>
      <w:sdtPr>
        <w:rPr>
          <w:rFonts w:hint="eastAsia"/>
          <w:color w:val="000000"/>
        </w:rPr>
        <w:alias w:val="是否适用：主要控股参股公司分析其他说明[双击切换]"/>
        <w:tag w:val="_GBC_c4a3529b582540698fd8e7e129c87fbc"/>
        <w:id w:val="5995"/>
        <w:placeholder>
          <w:docPart w:val="GBC22222222222222222222222222222"/>
        </w:placeholder>
      </w:sdtPr>
      <w:sdtEndPr>
        <w:rPr>
          <w:rFonts w:hint="eastAsia"/>
          <w:color w:val="000000"/>
        </w:rPr>
      </w:sdtEndPr>
      <w:sdtContent>
        <w:p>
          <w:pPr>
            <w:rPr>
              <w:color w:val="000000"/>
            </w:rPr>
          </w:pPr>
          <w:r>
            <w:rPr>
              <w:rFonts w:hint="eastAsia" w:ascii="宋体" w:hAnsi="宋体"/>
              <w:color w:val="000000"/>
            </w:rPr>
            <w:fldChar w:fldCharType="begin"/>
          </w:r>
          <w:r>
            <w:rPr>
              <w:rFonts w:hint="eastAsia" w:ascii="宋体" w:hAnsi="宋体"/>
              <w:color w:val="000000"/>
            </w:rPr>
            <w:instrText xml:space="preserve"> MACROBUTTON  SnrToggleCheckbox √适用 </w:instrText>
          </w:r>
          <w:r>
            <w:rPr>
              <w:rFonts w:hint="eastAsia" w:ascii="宋体" w:hAnsi="宋体"/>
              <w:color w:val="000000"/>
            </w:rPr>
            <w:fldChar w:fldCharType="end"/>
          </w:r>
          <w:r>
            <w:rPr>
              <w:rFonts w:hint="eastAsia" w:ascii="宋体" w:hAnsi="宋体"/>
              <w:color w:val="000000"/>
            </w:rPr>
            <w:fldChar w:fldCharType="begin"/>
          </w:r>
          <w:r>
            <w:rPr>
              <w:rFonts w:hint="eastAsia" w:ascii="宋体" w:hAnsi="宋体"/>
              <w:color w:val="000000"/>
            </w:rPr>
            <w:instrText xml:space="preserve"> MACROBUTTON  SnrToggleCheckbox □不适用 </w:instrText>
          </w:r>
          <w:r>
            <w:rPr>
              <w:rFonts w:hint="eastAsia" w:ascii="宋体" w:hAnsi="宋体"/>
              <w:color w:val="000000"/>
            </w:rPr>
            <w:fldChar w:fldCharType="end"/>
          </w:r>
        </w:p>
      </w:sdtContent>
    </w:sdt>
    <w:sdt>
      <w:sdtPr>
        <w:rPr>
          <w:rFonts w:hint="eastAsia" w:ascii="Times New Roman" w:hAnsi="Times New Roman"/>
          <w:color w:val="000000" w:themeColor="text1"/>
          <w:sz w:val="21"/>
          <w14:textFill>
            <w14:solidFill>
              <w14:schemeClr w14:val="tx1"/>
            </w14:solidFill>
          </w14:textFill>
        </w:rPr>
        <w:alias w:val="主要子公司、参股公司分析"/>
        <w:tag w:val="_GBC_4e7829f79d484fdca34d727699bf9490"/>
        <w:id w:val="5996"/>
        <w:placeholder>
          <w:docPart w:val="GBC22222222222222222222222222222"/>
        </w:placeholder>
      </w:sdtPr>
      <w:sdtEndPr>
        <w:rPr>
          <w:rFonts w:hint="eastAsia" w:ascii="Times New Roman" w:hAnsi="Times New Roman"/>
          <w:color w:val="000000" w:themeColor="text1"/>
          <w:sz w:val="21"/>
          <w14:textFill>
            <w14:solidFill>
              <w14:schemeClr w14:val="tx1"/>
            </w14:solidFill>
          </w14:textFill>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color w:val="000000" w:themeColor="text1"/>
              <w:sz w:val="21"/>
              <w14:textFill>
                <w14:solidFill>
                  <w14:schemeClr w14:val="tx1"/>
                </w14:solidFill>
              </w14:textFill>
            </w:rPr>
          </w:pPr>
          <w:r>
            <w:rPr>
              <w:rFonts w:hint="eastAsia" w:ascii="Times New Roman" w:hAnsi="Times New Roman" w:eastAsia="宋体"/>
              <w:sz w:val="21"/>
              <w:szCs w:val="21"/>
            </w:rPr>
            <w:t>本公司直接持有安徽两面针·芳草日化有限公司70%的股权，通过控股子公司两面针（江苏）实业有限公司间接持股15%。</w:t>
          </w:r>
        </w:p>
      </w:sdtContent>
    </w:sdt>
    <w:p>
      <w:pPr>
        <w:rPr>
          <w:color w:val="000000" w:themeColor="text1"/>
          <w14:textFill>
            <w14:solidFill>
              <w14:schemeClr w14:val="tx1"/>
            </w14:solidFill>
          </w14:textFill>
        </w:rPr>
      </w:pPr>
    </w:p>
    <w:bookmarkEnd w:id="87"/>
    <w:bookmarkEnd w:id="88"/>
    <w:p>
      <w:pPr>
        <w:pStyle w:val="4"/>
        <w:numPr>
          <w:ilvl w:val="0"/>
          <w:numId w:val="8"/>
        </w:numPr>
        <w:rPr>
          <w:rFonts w:hint="eastAsia" w:ascii="宋体" w:hAnsi="宋体" w:cs="宋体"/>
          <w:kern w:val="0"/>
          <w:szCs w:val="21"/>
        </w:rPr>
      </w:pPr>
      <w:r>
        <w:rPr>
          <w:rFonts w:ascii="宋体" w:hAnsi="宋体" w:cs="宋体"/>
          <w:kern w:val="0"/>
          <w:szCs w:val="21"/>
        </w:rPr>
        <w:t>公司控制的</w:t>
      </w:r>
      <w:r>
        <w:rPr>
          <w:rFonts w:hint="eastAsia" w:ascii="宋体" w:hAnsi="宋体" w:cs="宋体"/>
          <w:kern w:val="0"/>
          <w:szCs w:val="21"/>
        </w:rPr>
        <w:t>结构化</w:t>
      </w:r>
      <w:r>
        <w:rPr>
          <w:rFonts w:ascii="宋体" w:hAnsi="宋体" w:cs="宋体"/>
          <w:kern w:val="0"/>
          <w:szCs w:val="21"/>
        </w:rPr>
        <w:t>主体情况</w:t>
      </w:r>
    </w:p>
    <w:sdt>
      <w:sdtPr>
        <w:rPr>
          <w:rFonts w:hint="eastAsia"/>
          <w:szCs w:val="21"/>
        </w:rPr>
        <w:alias w:val="是否适用：公司控制的结构化主体情况[双击切换]"/>
        <w:tag w:val="_GBC_844e5a5ece8c488e933f7fbfd0650339"/>
        <w:id w:val="5997"/>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rPr>
          <w:szCs w:val="21"/>
        </w:rPr>
        <w:sectPr>
          <w:pgSz w:w="11906" w:h="16838"/>
          <w:pgMar w:top="1525" w:right="1276" w:bottom="1440" w:left="1797" w:header="855" w:footer="992" w:gutter="0"/>
          <w:cols w:space="425" w:num="1"/>
          <w:docGrid w:linePitch="312" w:charSpace="0"/>
        </w:sectPr>
      </w:pPr>
    </w:p>
    <w:sdt>
      <w:sdtPr>
        <w:tag w:val="_PLD_dc5b6bce1b7f451cbf91183ef019fe72"/>
        <w:id w:val="5998"/>
      </w:sdtPr>
      <w:sdtEndPr>
        <w:rPr>
          <w:rFonts w:hint="default"/>
        </w:rPr>
      </w:sdtEndPr>
      <w:sdtContent>
        <w:p>
          <w:pPr>
            <w:pStyle w:val="3"/>
            <w:numPr>
              <w:ilvl w:val="0"/>
              <w:numId w:val="7"/>
            </w:numPr>
            <w:ind w:left="422" w:hanging="422" w:hangingChars="200"/>
          </w:pPr>
          <w:r>
            <w:rPr>
              <w:rFonts w:hint="eastAsia"/>
            </w:rPr>
            <w:t>公司</w:t>
          </w:r>
          <w:r>
            <w:t>关于公司未来发展的讨论与分析</w:t>
          </w:r>
        </w:p>
      </w:sdtContent>
    </w:sdt>
    <w:p>
      <w:pPr>
        <w:pStyle w:val="4"/>
        <w:numPr>
          <w:ilvl w:val="3"/>
          <w:numId w:val="20"/>
        </w:numPr>
        <w:rPr>
          <w:szCs w:val="21"/>
        </w:rPr>
      </w:pPr>
      <w:r>
        <w:rPr>
          <w:szCs w:val="21"/>
        </w:rPr>
        <w:t>行业格局和趋势</w:t>
      </w:r>
    </w:p>
    <w:sdt>
      <w:sdtPr>
        <w:rPr>
          <w:rFonts w:hint="eastAsia"/>
          <w:szCs w:val="21"/>
        </w:rPr>
        <w:alias w:val="是否适用：行业格局和趋势[双击切换]"/>
        <w:tag w:val="_GBC_da53e2a4423f4116b5d03ba76b630af9"/>
        <w:id w:val="5999"/>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szCs w:val="21"/>
        </w:rPr>
        <w:alias w:val="行业竞争格局和发展趋势"/>
        <w:tag w:val="_GBC_c38788dc300c4c4592543c5db64e9308"/>
        <w:id w:val="6000"/>
        <w:placeholder>
          <w:docPart w:val="GBC22222222222222222222222222222"/>
        </w:placeholder>
      </w:sdtPr>
      <w:sdtEndPr>
        <w:rPr>
          <w:rFonts w:hint="eastAsia"/>
          <w:szCs w:val="21"/>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szCs w:val="21"/>
            </w:rPr>
          </w:pPr>
          <w:r>
            <w:rPr>
              <w:rFonts w:hint="eastAsia"/>
              <w:szCs w:val="21"/>
            </w:rPr>
            <w:t xml:space="preserve">  </w:t>
          </w:r>
          <w:r>
            <w:rPr>
              <w:rFonts w:hint="eastAsia"/>
              <w:szCs w:val="21"/>
              <w:lang w:val="en-US" w:eastAsia="zh-CN"/>
            </w:rPr>
            <w:t xml:space="preserve">  </w:t>
          </w:r>
          <w:r>
            <w:rPr>
              <w:rFonts w:hint="eastAsia"/>
              <w:szCs w:val="21"/>
            </w:rPr>
            <w:t>详见本报告“第三节 管理层讨论与分析”之“五、报告期内主要经营情况（四）行业经营性信息分析”的相关内容。</w:t>
          </w:r>
        </w:p>
      </w:sdtContent>
    </w:sdt>
    <w:p>
      <w:pPr>
        <w:rPr>
          <w:szCs w:val="21"/>
        </w:rPr>
      </w:pPr>
    </w:p>
    <w:p>
      <w:pPr>
        <w:pStyle w:val="4"/>
        <w:numPr>
          <w:ilvl w:val="3"/>
          <w:numId w:val="20"/>
        </w:numPr>
        <w:rPr>
          <w:rFonts w:hint="eastAsia" w:ascii="宋体" w:hAnsi="宋体" w:cs="宋体"/>
          <w:kern w:val="0"/>
          <w:szCs w:val="21"/>
        </w:rPr>
      </w:pPr>
      <w:r>
        <w:rPr>
          <w:rFonts w:ascii="宋体" w:hAnsi="宋体" w:cs="宋体"/>
          <w:kern w:val="0"/>
          <w:szCs w:val="21"/>
        </w:rPr>
        <w:t>公司发展战略</w:t>
      </w:r>
    </w:p>
    <w:sdt>
      <w:sdtPr>
        <w:rPr>
          <w:rFonts w:hint="eastAsia"/>
          <w:szCs w:val="21"/>
        </w:rPr>
        <w:alias w:val="是否适用：公司发展战略[双击切换]"/>
        <w:tag w:val="_GBC_5cdf4718a6044c1fbf76e22df729f9b7"/>
        <w:id w:val="6001"/>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szCs w:val="21"/>
        </w:rPr>
        <w:alias w:val="公司发展战略"/>
        <w:tag w:val="_GBC_afe9ed534944441fae5223f90c2521f1"/>
        <w:id w:val="6002"/>
        <w:placeholder>
          <w:docPart w:val="GBC22222222222222222222222222222"/>
        </w:placeholder>
      </w:sdtPr>
      <w:sdtEndPr>
        <w:rPr>
          <w:rFonts w:hint="eastAsia"/>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szCs w:val="21"/>
            </w:rPr>
          </w:pPr>
          <w:r>
            <w:rPr>
              <w:rFonts w:hint="eastAsia" w:ascii="宋体" w:hAnsi="宋体" w:eastAsia="宋体" w:cs="宋体"/>
              <w:szCs w:val="21"/>
            </w:rPr>
            <w:t>公司聚焦主责主业，秉持“传承、健康、时尚”的品牌理念，以创新驱动产品升级、数字赋能管理提升、责任引领可持续发展，推动日化和医药两产业协同发展，将两面针打造成中药理念下的大健康产业技术领先型企业，致力于提高消费者生活品质。</w:t>
          </w:r>
        </w:p>
      </w:sdtContent>
    </w:sdt>
    <w:p>
      <w:pPr>
        <w:pStyle w:val="4"/>
        <w:numPr>
          <w:ilvl w:val="3"/>
          <w:numId w:val="20"/>
        </w:numPr>
        <w:rPr>
          <w:rFonts w:hint="eastAsia" w:ascii="宋体" w:hAnsi="宋体" w:cs="宋体"/>
          <w:kern w:val="0"/>
          <w:szCs w:val="21"/>
        </w:rPr>
      </w:pPr>
      <w:r>
        <w:rPr>
          <w:rFonts w:ascii="宋体" w:hAnsi="宋体" w:cs="宋体"/>
          <w:kern w:val="0"/>
          <w:szCs w:val="21"/>
        </w:rPr>
        <w:t>经营计划</w:t>
      </w:r>
    </w:p>
    <w:sdt>
      <w:sdtPr>
        <w:rPr>
          <w:rFonts w:hint="eastAsia"/>
          <w:szCs w:val="21"/>
        </w:rPr>
        <w:alias w:val="是否适用：经营计划[双击切换]"/>
        <w:tag w:val="_GBC_871dbf3fc5a0422cadcc3452003278de"/>
        <w:id w:val="6003"/>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szCs w:val="21"/>
        </w:rPr>
        <w:alias w:val="公司经营计划"/>
        <w:tag w:val="_GBC_3f9bf7d7a36444cab37005d22ebc798c"/>
        <w:id w:val="6004"/>
        <w:placeholder>
          <w:docPart w:val="GBC22222222222222222222222222222"/>
        </w:placeholder>
      </w:sdtPr>
      <w:sdtEndPr>
        <w:rPr>
          <w:rFonts w:hint="eastAsia" w:ascii="Times New Roman" w:hAnsi="Times New Roman" w:eastAsia="宋体" w:cs="宋体"/>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宋体"/>
              <w:sz w:val="21"/>
              <w:szCs w:val="21"/>
            </w:rPr>
          </w:pPr>
          <w:r>
            <w:rPr>
              <w:rFonts w:hint="eastAsia" w:ascii="Times New Roman" w:hAnsi="Times New Roman" w:eastAsia="宋体" w:cs="宋体"/>
              <w:sz w:val="21"/>
              <w:szCs w:val="21"/>
            </w:rPr>
            <w:t>2026年是 “十五五” 规划开局之年，更是公司高质量发展攻坚之年。公司将锚定战略目标，聚焦主责主业，统筹各业务板块协同发力，构建多元产品矩阵，深化全域渠道融合；以科技创新为引领筑牢核心竞争壁垒，加快数智转型升级赋能全流程高效运营，持续夯实经营管理基础，提升降本增效能力。同时优化生产要素配置，推动产业集聚发展与绿色发展落地，全面提升核心竞争力与可持续发展能力。</w:t>
          </w:r>
        </w:p>
      </w:sdtContent>
    </w:sd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宋体"/>
          <w:sz w:val="21"/>
          <w:szCs w:val="21"/>
        </w:rPr>
      </w:pPr>
    </w:p>
    <w:p>
      <w:pPr>
        <w:pStyle w:val="4"/>
        <w:numPr>
          <w:ilvl w:val="3"/>
          <w:numId w:val="20"/>
        </w:numPr>
        <w:rPr>
          <w:rFonts w:hint="eastAsia" w:ascii="宋体" w:hAnsi="宋体" w:cs="宋体"/>
          <w:kern w:val="0"/>
          <w:szCs w:val="21"/>
        </w:rPr>
      </w:pPr>
      <w:r>
        <w:rPr>
          <w:rFonts w:ascii="宋体" w:hAnsi="宋体" w:cs="宋体"/>
          <w:kern w:val="0"/>
          <w:szCs w:val="21"/>
        </w:rPr>
        <w:t>可能面对的风险</w:t>
      </w:r>
    </w:p>
    <w:sdt>
      <w:sdtPr>
        <w:rPr>
          <w:rFonts w:hint="eastAsia"/>
          <w:szCs w:val="21"/>
        </w:rPr>
        <w:alias w:val="是否适用：可能面对的风险[双击切换]"/>
        <w:tag w:val="_GBC_1b74f2e1039c4fe9acc819e860071020"/>
        <w:id w:val="6005"/>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szCs w:val="21"/>
        </w:rPr>
        <w:alias w:val="公司可能面对的风险"/>
        <w:tag w:val="_GBC_c62723d12603412ba692148cd4961de5"/>
        <w:id w:val="6006"/>
        <w:placeholder>
          <w:docPart w:val="GBC22222222222222222222222222222"/>
        </w:placeholder>
      </w:sdtPr>
      <w:sdtEndPr>
        <w:rPr>
          <w:rFonts w:hint="eastAsia" w:ascii="Times New Roman" w:hAnsi="Times New Roman"/>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17"/>
            <w:textAlignment w:val="auto"/>
            <w:rPr>
              <w:rFonts w:ascii="Times New Roman" w:hAnsi="Times New Roman"/>
              <w:sz w:val="21"/>
              <w:szCs w:val="21"/>
            </w:rPr>
          </w:pPr>
          <w:r>
            <w:rPr>
              <w:rFonts w:hint="eastAsia" w:ascii="Times New Roman" w:hAnsi="Times New Roman" w:eastAsia="宋体"/>
              <w:sz w:val="21"/>
              <w:szCs w:val="21"/>
            </w:rPr>
            <w:t>1、市场竞争加剧风险</w:t>
          </w:r>
        </w:p>
        <w:p>
          <w:pPr>
            <w:keepNext w:val="0"/>
            <w:keepLines w:val="0"/>
            <w:pageBreakBefore w:val="0"/>
            <w:widowControl/>
            <w:kinsoku/>
            <w:wordWrap/>
            <w:overflowPunct/>
            <w:topLinePunct w:val="0"/>
            <w:autoSpaceDE/>
            <w:autoSpaceDN/>
            <w:bidi w:val="0"/>
            <w:adjustRightInd/>
            <w:snapToGrid/>
            <w:spacing w:line="400" w:lineRule="exact"/>
            <w:ind w:firstLine="317"/>
            <w:textAlignment w:val="auto"/>
            <w:rPr>
              <w:rFonts w:ascii="Times New Roman" w:hAnsi="Times New Roman"/>
              <w:sz w:val="21"/>
              <w:szCs w:val="21"/>
            </w:rPr>
          </w:pPr>
          <w:r>
            <w:rPr>
              <w:rFonts w:hint="eastAsia" w:ascii="Times New Roman" w:hAnsi="Times New Roman" w:eastAsia="宋体"/>
              <w:sz w:val="21"/>
              <w:szCs w:val="21"/>
            </w:rPr>
            <w:t>日化产业已经进入成熟期，市场细分程度高，跨行业投资者不断进入，产品品牌和品类数目繁多，消费需求呈现出多样化、个性化、品质化的趋势，日化行业竞争加剧。公司日化产业面临着价格、研发技术、服务质量等全方面的市场竞争，竞争压力不断增大。公司要积极发挥自身的研发优势、质量优势和品牌优势，精准定位，提高市场竞争力。</w:t>
          </w:r>
        </w:p>
        <w:p>
          <w:pPr>
            <w:keepNext w:val="0"/>
            <w:keepLines w:val="0"/>
            <w:pageBreakBefore w:val="0"/>
            <w:widowControl/>
            <w:kinsoku/>
            <w:wordWrap/>
            <w:overflowPunct/>
            <w:topLinePunct w:val="0"/>
            <w:autoSpaceDE/>
            <w:autoSpaceDN/>
            <w:bidi w:val="0"/>
            <w:adjustRightInd/>
            <w:snapToGrid/>
            <w:spacing w:line="400" w:lineRule="exact"/>
            <w:ind w:firstLine="317"/>
            <w:jc w:val="both"/>
            <w:textAlignment w:val="auto"/>
            <w:rPr>
              <w:rFonts w:ascii="Times New Roman" w:hAnsi="Times New Roman"/>
              <w:sz w:val="21"/>
              <w:szCs w:val="21"/>
            </w:rPr>
          </w:pPr>
          <w:r>
            <w:rPr>
              <w:rFonts w:hint="eastAsia" w:ascii="Times New Roman" w:hAnsi="Times New Roman" w:eastAsia="宋体"/>
              <w:sz w:val="21"/>
              <w:szCs w:val="21"/>
            </w:rPr>
            <w:t>2、渠道结构变革风险</w:t>
          </w:r>
        </w:p>
        <w:p>
          <w:pPr>
            <w:keepNext w:val="0"/>
            <w:keepLines w:val="0"/>
            <w:pageBreakBefore w:val="0"/>
            <w:widowControl/>
            <w:kinsoku/>
            <w:wordWrap/>
            <w:overflowPunct/>
            <w:topLinePunct w:val="0"/>
            <w:autoSpaceDE/>
            <w:autoSpaceDN/>
            <w:bidi w:val="0"/>
            <w:adjustRightInd/>
            <w:snapToGrid/>
            <w:spacing w:line="400" w:lineRule="exact"/>
            <w:ind w:firstLine="317"/>
            <w:textAlignment w:val="auto"/>
            <w:rPr>
              <w:rFonts w:ascii="Times New Roman" w:hAnsi="Times New Roman"/>
              <w:sz w:val="21"/>
              <w:szCs w:val="21"/>
            </w:rPr>
          </w:pPr>
          <w:r>
            <w:rPr>
              <w:rFonts w:hint="eastAsia" w:ascii="Times New Roman" w:hAnsi="Times New Roman" w:eastAsia="宋体"/>
              <w:sz w:val="21"/>
              <w:szCs w:val="21"/>
            </w:rPr>
            <w:t>中国零售渠道变革加剧，新渠道不断涌现。在消费品行业渠道变革的趋势下，公司针对消费者购买习惯的不同和变化持续完善渠道布局，行业渠道变革常变常新，不排除未来存在开拓不及时、不达预期的可能性。公司根据自身情况和市场需求，选择并沉淀匹配的商业模式和策略的同时，不断创新和拓展渠道，积极拥抱多元化渠道发展趋势。</w:t>
          </w:r>
        </w:p>
        <w:p>
          <w:pPr>
            <w:keepNext w:val="0"/>
            <w:keepLines w:val="0"/>
            <w:pageBreakBefore w:val="0"/>
            <w:widowControl/>
            <w:kinsoku/>
            <w:wordWrap/>
            <w:overflowPunct/>
            <w:topLinePunct w:val="0"/>
            <w:autoSpaceDE/>
            <w:autoSpaceDN/>
            <w:bidi w:val="0"/>
            <w:adjustRightInd/>
            <w:snapToGrid/>
            <w:spacing w:line="400" w:lineRule="exact"/>
            <w:ind w:firstLine="317"/>
            <w:textAlignment w:val="auto"/>
            <w:rPr>
              <w:rFonts w:ascii="Times New Roman" w:hAnsi="Times New Roman"/>
              <w:sz w:val="21"/>
              <w:szCs w:val="21"/>
            </w:rPr>
          </w:pPr>
          <w:r>
            <w:rPr>
              <w:rFonts w:hint="eastAsia" w:ascii="Times New Roman" w:hAnsi="Times New Roman" w:eastAsia="宋体"/>
              <w:sz w:val="21"/>
              <w:szCs w:val="21"/>
            </w:rPr>
            <w:t>3、原材料价格波动风险</w:t>
          </w:r>
        </w:p>
        <w:p>
          <w:pPr>
            <w:keepNext w:val="0"/>
            <w:keepLines w:val="0"/>
            <w:pageBreakBefore w:val="0"/>
            <w:widowControl/>
            <w:kinsoku/>
            <w:wordWrap/>
            <w:overflowPunct/>
            <w:topLinePunct w:val="0"/>
            <w:autoSpaceDE/>
            <w:autoSpaceDN/>
            <w:bidi w:val="0"/>
            <w:adjustRightInd/>
            <w:snapToGrid/>
            <w:spacing w:line="400" w:lineRule="exact"/>
            <w:ind w:firstLine="317"/>
            <w:jc w:val="both"/>
            <w:textAlignment w:val="auto"/>
            <w:rPr>
              <w:rFonts w:ascii="Times New Roman" w:hAnsi="Times New Roman"/>
              <w:sz w:val="21"/>
              <w:szCs w:val="21"/>
            </w:rPr>
          </w:pPr>
          <w:r>
            <w:rPr>
              <w:rFonts w:hint="eastAsia" w:ascii="Times New Roman" w:hAnsi="Times New Roman" w:eastAsia="宋体"/>
              <w:sz w:val="21"/>
              <w:szCs w:val="21"/>
            </w:rPr>
            <w:t>受诸多因素影响，原材料价格波动风险较高。如原材料上涨较多，将会造成公司采购成本的增加，对公司毛利造成不利影响。公司加强对上游大宗原料的行情信息收集，做好价格走势预测分析，适时采购储备，拓宽供应渠道，有效控制采购成本。</w:t>
          </w:r>
        </w:p>
        <w:p>
          <w:pPr>
            <w:keepNext w:val="0"/>
            <w:keepLines w:val="0"/>
            <w:pageBreakBefore w:val="0"/>
            <w:widowControl/>
            <w:kinsoku/>
            <w:wordWrap/>
            <w:overflowPunct/>
            <w:topLinePunct w:val="0"/>
            <w:autoSpaceDE/>
            <w:autoSpaceDN/>
            <w:bidi w:val="0"/>
            <w:adjustRightInd/>
            <w:snapToGrid/>
            <w:spacing w:line="400" w:lineRule="exact"/>
            <w:ind w:firstLine="317"/>
            <w:textAlignment w:val="auto"/>
            <w:rPr>
              <w:rFonts w:ascii="Times New Roman" w:hAnsi="Times New Roman"/>
              <w:sz w:val="21"/>
              <w:szCs w:val="21"/>
            </w:rPr>
          </w:pPr>
          <w:r>
            <w:rPr>
              <w:rFonts w:hint="eastAsia" w:ascii="Times New Roman" w:hAnsi="Times New Roman" w:eastAsia="宋体"/>
              <w:sz w:val="21"/>
              <w:szCs w:val="21"/>
            </w:rPr>
            <w:t>4、投资风险</w:t>
          </w:r>
        </w:p>
        <w:p>
          <w:pPr>
            <w:keepNext w:val="0"/>
            <w:keepLines w:val="0"/>
            <w:pageBreakBefore w:val="0"/>
            <w:widowControl/>
            <w:kinsoku/>
            <w:wordWrap/>
            <w:overflowPunct/>
            <w:topLinePunct w:val="0"/>
            <w:autoSpaceDE/>
            <w:autoSpaceDN/>
            <w:bidi w:val="0"/>
            <w:adjustRightInd/>
            <w:snapToGrid/>
            <w:spacing w:line="400" w:lineRule="exact"/>
            <w:ind w:firstLine="317"/>
            <w:textAlignment w:val="auto"/>
            <w:rPr>
              <w:rFonts w:ascii="Times New Roman" w:hAnsi="Times New Roman"/>
              <w:sz w:val="21"/>
              <w:szCs w:val="21"/>
            </w:rPr>
          </w:pPr>
          <w:r>
            <w:rPr>
              <w:rFonts w:hint="eastAsia" w:ascii="Times New Roman" w:hAnsi="Times New Roman" w:eastAsia="宋体"/>
              <w:sz w:val="21"/>
              <w:szCs w:val="21"/>
            </w:rPr>
            <w:t>公司持有上市公司的股权在每个报告期末根据其公允价值确定，公允价值计入当期损益，市场波动可能会给公司公允价值计量金融资产带来重大影响，从而导致公司的净利润产生大幅波动。公司密切关注所投资上市公司的股价走势以便就该等投资及时作出应对决策。</w:t>
          </w:r>
        </w:p>
      </w:sdtContent>
    </w:sdt>
    <w:p>
      <w:pPr>
        <w:rPr>
          <w:szCs w:val="21"/>
        </w:rPr>
      </w:pPr>
    </w:p>
    <w:p>
      <w:pPr>
        <w:pStyle w:val="4"/>
        <w:numPr>
          <w:ilvl w:val="3"/>
          <w:numId w:val="20"/>
        </w:numPr>
        <w:rPr>
          <w:rFonts w:hint="eastAsia" w:ascii="宋体" w:hAnsi="宋体" w:cs="宋体"/>
          <w:kern w:val="0"/>
          <w:szCs w:val="21"/>
        </w:rPr>
      </w:pPr>
      <w:r>
        <w:rPr>
          <w:rFonts w:ascii="宋体" w:hAnsi="宋体" w:cs="宋体"/>
          <w:kern w:val="0"/>
          <w:szCs w:val="21"/>
        </w:rPr>
        <w:t>其他</w:t>
      </w:r>
    </w:p>
    <w:sdt>
      <w:sdtPr>
        <w:rPr>
          <w:rFonts w:hint="eastAsia"/>
          <w:szCs w:val="21"/>
        </w:rPr>
        <w:alias w:val="是否适用：公司其他未来发展的讨论和分析[双击切换]"/>
        <w:tag w:val="_GBC_aad5c59ba9344d37bc5cc7a8eba5f048"/>
        <w:id w:val="6007"/>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3"/>
        <w:numPr>
          <w:ilvl w:val="0"/>
          <w:numId w:val="7"/>
        </w:numPr>
        <w:rPr>
          <w:rFonts w:ascii="Cambria" w:hAnsi="Cambria"/>
        </w:rPr>
      </w:pPr>
      <w:r>
        <w:rPr>
          <w:rFonts w:hint="eastAsia" w:ascii="Cambria" w:hAnsi="Cambria"/>
        </w:rPr>
        <w:t>公司因不适用准则规定或国家秘密、商业秘密等特殊原因，未按准则披露的情况和原因说明</w:t>
      </w:r>
    </w:p>
    <w:sdt>
      <w:sdtPr>
        <w:rPr>
          <w:rFonts w:hint="eastAsia"/>
        </w:rPr>
        <w:alias w:val="是否适用：公司因不适用准则规定或国家秘密、商业秘密等特殊原因，未按准则披露的情况和原因说明[双击切换]"/>
        <w:tag w:val="_GBC_6605deed04a2449fa3161699caf92e3e"/>
        <w:id w:val="6008"/>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sdt>
      <w:sdtPr>
        <w:tag w:val="_PLD_9b21439ba8ef445791d644ea6af7f642"/>
        <w:id w:val="6009"/>
      </w:sdtPr>
      <w:sdtContent>
        <w:p>
          <w:pPr>
            <w:pStyle w:val="2"/>
            <w:numPr>
              <w:ilvl w:val="0"/>
              <w:numId w:val="2"/>
            </w:numPr>
            <w:spacing w:before="0" w:after="0"/>
            <w:rPr>
              <w:bCs w:val="0"/>
            </w:rPr>
          </w:pPr>
          <w:bookmarkStart w:id="89" w:name="_Toc437440716"/>
          <w:bookmarkStart w:id="90" w:name="_Toc409437610"/>
          <w:bookmarkStart w:id="91" w:name="_Toc191024259"/>
          <w:r>
            <w:rPr>
              <w:bCs w:val="0"/>
            </w:rPr>
            <w:t>公司治理</w:t>
          </w:r>
          <w:bookmarkEnd w:id="89"/>
          <w:bookmarkEnd w:id="90"/>
          <w:r>
            <w:rPr>
              <w:rFonts w:hint="eastAsia"/>
              <w:bCs w:val="0"/>
            </w:rPr>
            <w:t>、环境和社会</w:t>
          </w:r>
        </w:p>
      </w:sdtContent>
    </w:sdt>
    <w:bookmarkEnd w:id="91"/>
    <w:p>
      <w:pPr>
        <w:pStyle w:val="3"/>
        <w:numPr>
          <w:ilvl w:val="0"/>
          <w:numId w:val="21"/>
        </w:numPr>
      </w:pPr>
      <w:r>
        <w:t>公司治理相关情况说明</w:t>
      </w:r>
    </w:p>
    <w:sdt>
      <w:sdtPr>
        <w:rPr>
          <w:rFonts w:hint="eastAsia"/>
          <w:szCs w:val="21"/>
        </w:rPr>
        <w:alias w:val="是否适用：公司治理相关情况说明[双击切换]"/>
        <w:tag w:val="_GBC_fcded3e74c5842408b5da723b3a757fa"/>
        <w:id w:val="6010"/>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szCs w:val="21"/>
        </w:rPr>
        <w:alias w:val="公司治理相关情况说明"/>
        <w:tag w:val="_GBC_b4d29a30dc2b4ea6b942196a3b52c2d0"/>
        <w:id w:val="6011"/>
        <w:placeholder>
          <w:docPart w:val="GBC22222222222222222222222222222"/>
        </w:placeholder>
      </w:sdtPr>
      <w:sdtEndPr>
        <w:rPr>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Times New Roman"/>
              <w:sz w:val="21"/>
              <w:szCs w:val="21"/>
            </w:rPr>
            <w:t>报告期内，公司</w:t>
          </w:r>
          <w:r>
            <w:rPr>
              <w:rFonts w:hint="eastAsia" w:ascii="Times New Roman" w:hAnsi="Times New Roman" w:eastAsia="宋体"/>
              <w:sz w:val="21"/>
              <w:szCs w:val="21"/>
            </w:rPr>
            <w:t>严格</w:t>
          </w:r>
          <w:r>
            <w:rPr>
              <w:rFonts w:hint="eastAsia" w:ascii="Times New Roman" w:hAnsi="Times New Roman" w:eastAsia="Times New Roman"/>
              <w:sz w:val="21"/>
              <w:szCs w:val="21"/>
            </w:rPr>
            <w:t>按照《公司法》《证券法》《上市公司治理准则》</w:t>
          </w:r>
          <w:r>
            <w:rPr>
              <w:rFonts w:hint="eastAsia" w:ascii="Times New Roman" w:hAnsi="Times New Roman" w:eastAsia="宋体"/>
              <w:sz w:val="21"/>
              <w:szCs w:val="21"/>
            </w:rPr>
            <w:t>等法律法规及</w:t>
          </w:r>
          <w:r>
            <w:rPr>
              <w:rFonts w:hint="eastAsia" w:ascii="Times New Roman" w:hAnsi="Times New Roman" w:eastAsia="Times New Roman"/>
              <w:sz w:val="21"/>
              <w:szCs w:val="21"/>
            </w:rPr>
            <w:t>中国证监会、上交所有关规范性文件的要求开展公司治理工作。公司已建立了较为完善的公司治理结构和公司治理制度，公司权力机构、决策机构、监督机构和经营管理层之间权责明确，运作规范。</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Times New Roman" w:hAnsi="Times New Roman"/>
              <w:sz w:val="21"/>
              <w:szCs w:val="21"/>
            </w:rPr>
          </w:pPr>
          <w:r>
            <w:rPr>
              <w:rFonts w:hint="eastAsia" w:ascii="Times New Roman" w:hAnsi="Times New Roman" w:eastAsia="宋体"/>
              <w:b/>
              <w:sz w:val="21"/>
              <w:szCs w:val="21"/>
            </w:rPr>
            <w:t>1．关于股东与股东会</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公司根据《公司法》《上海证券交易所股票上市规则》及公司制定的《公司章程》《股东会议事规则》召集、召开股东会，平等对待所有股东，特别是中小股东与大股东享有平等的地位，确保全体股东能够充分行使自己的权利。按照证监会的相关规定，公司2025年召开3次股东会，均提供了现场投票和网络投票的渠道，保证广大中小股东能充分行使投票权。</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Times New Roman" w:hAnsi="Times New Roman"/>
              <w:sz w:val="21"/>
              <w:szCs w:val="21"/>
            </w:rPr>
          </w:pPr>
          <w:r>
            <w:rPr>
              <w:rFonts w:hint="eastAsia" w:ascii="Times New Roman" w:hAnsi="Times New Roman" w:eastAsia="宋体"/>
              <w:b/>
              <w:sz w:val="21"/>
              <w:szCs w:val="21"/>
            </w:rPr>
            <w:t>2．关于控股股东与上市公司的关系</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公司控股股东行为规范，依法行使出资人权利，避免出现直接或间接干预公司经营决策的情形。报告期内，公司与控股股东在其人员、资产、机构、业务、财务等方面均保持独立，具有完整的业务体系和直接面向市场独立经营的能力，独立组织生产销售和经营规划，均按《公司章程》和有关法律法规的规定由股东会、董事会依法做出重大决策，与控股股东不存在同业竞争的情况，也不存在控股股东干预公司决策和经营的情况，未发生大股东占用上市公司资金和资产的情况。公司已建立防止控股股东及其附属企业占用上市公司资金、侵害上市公司利益的长效机制。</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Times New Roman" w:hAnsi="Times New Roman"/>
              <w:sz w:val="21"/>
              <w:szCs w:val="21"/>
            </w:rPr>
          </w:pPr>
          <w:r>
            <w:rPr>
              <w:rFonts w:hint="eastAsia" w:ascii="Times New Roman" w:hAnsi="Times New Roman" w:eastAsia="宋体"/>
              <w:b/>
              <w:sz w:val="21"/>
              <w:szCs w:val="21"/>
            </w:rPr>
            <w:t>3．关于董事与董事会</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公司董事会职责清晰，全体董事（包括独立董事）均能认真、负责地履行职责。董事会的召集、召开程序符合《公司法》《公司章程》以及《公司董事会议事规则》等有关规定。各董事的任职符合《公司法》《证券法》等相关法律法规对董事任职资格的要求。各董事任职期间勤勉尽责，能积极参加公司董事会会议并认真履行职责，严格维护公司和全体股东的合法权益。公司董事的选举严格按照《公司法》《公司章程》等相关规定的程序进行，各位董事能够以认真、负责的态度出席董事会，并熟悉有关法律法规，能充分行使和履行作为董事的权利、义务和责任。为更好履职，公司董事会设立战略委员会、审计委员会、提名委员会、薪酬与考核委员会并制定相关议事细则，以及设置独立董事专门会议程序并制定《独立董事工作制度》，充分发挥专业职能。2025年度，公司召开董事会9次，审计委员会8次，提名委员会3次。</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Times New Roman" w:hAnsi="Times New Roman"/>
              <w:sz w:val="21"/>
              <w:szCs w:val="21"/>
            </w:rPr>
          </w:pPr>
          <w:r>
            <w:rPr>
              <w:rFonts w:hint="eastAsia" w:ascii="Times New Roman" w:hAnsi="Times New Roman" w:eastAsia="宋体"/>
              <w:b/>
              <w:sz w:val="21"/>
              <w:szCs w:val="21"/>
            </w:rPr>
            <w:t>4．关于绩效评估和激励约束机制</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公司中层管理人员竞争上岗，全部实行绩效考核，薪酬及任免与责任业绩挂钩，高级管理人员按《公司章程》规定的任职条件和选聘程序选聘，由董事会聘任。</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Times New Roman" w:hAnsi="Times New Roman"/>
              <w:sz w:val="21"/>
              <w:szCs w:val="21"/>
            </w:rPr>
          </w:pPr>
          <w:r>
            <w:rPr>
              <w:rFonts w:hint="eastAsia" w:ascii="Times New Roman" w:hAnsi="Times New Roman" w:eastAsia="宋体"/>
              <w:b/>
              <w:sz w:val="21"/>
              <w:szCs w:val="21"/>
            </w:rPr>
            <w:t>5．关于信息披露与透明度</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2025年，公司按照法律、法规和中国证监会、上交所及公司有关制度的规定，真实、准确、完整、及时地披露相关信息，确保所有股东、投资者享有平等的机会获得信息。公司指定董事会秘书负责信息披露工作、接待股东来访和咨询，指定《上海证券报》《中国证券报》《证券日报》为公司法定信息披露的报纸；公司严格按照有关法律法规的要求，真实、准确、完整、及时地披露有关信息，并确保所有股东有平等的机会获得信息。</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Times New Roman" w:hAnsi="Times New Roman"/>
              <w:sz w:val="21"/>
              <w:szCs w:val="21"/>
            </w:rPr>
          </w:pPr>
          <w:r>
            <w:rPr>
              <w:rFonts w:hint="eastAsia" w:ascii="Times New Roman" w:hAnsi="Times New Roman" w:eastAsia="宋体"/>
              <w:b/>
              <w:sz w:val="21"/>
              <w:szCs w:val="21"/>
            </w:rPr>
            <w:t>6．关于利益相关者</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公司充分尊重和维护利益相关者的合法权益，努力实现股东、员工、社会等各方利益的协调平衡，共同推动公司持续、健康地发展。</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Times New Roman" w:hAnsi="Times New Roman"/>
              <w:sz w:val="21"/>
              <w:szCs w:val="21"/>
            </w:rPr>
          </w:pPr>
          <w:r>
            <w:rPr>
              <w:rFonts w:hint="eastAsia" w:ascii="Times New Roman" w:hAnsi="Times New Roman" w:eastAsia="宋体"/>
              <w:b/>
              <w:sz w:val="21"/>
              <w:szCs w:val="21"/>
            </w:rPr>
            <w:t>7．关于投资者关系管理工作</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公司一贯重视投资者关系管理工作，制定有《投资者关系管理制度》，并积极落实规定要求。除认真做好信息披露外，通过电话咨询、接待投资者来访、上证e互动平台、业绩说明会等方式，在不违反保密规定的前提下认真负责解答股东的询问、投资者调研以及接受媒体的采访，在公平披露的前提下，充分保证投资者的知情权。</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Times New Roman" w:hAnsi="Times New Roman"/>
              <w:sz w:val="21"/>
              <w:szCs w:val="21"/>
            </w:rPr>
          </w:pPr>
          <w:r>
            <w:rPr>
              <w:rFonts w:hint="eastAsia" w:ascii="Times New Roman" w:hAnsi="Times New Roman" w:eastAsia="宋体"/>
              <w:b/>
              <w:sz w:val="21"/>
              <w:szCs w:val="21"/>
            </w:rPr>
            <w:t>8．内幕知情人登记管理等相关情况</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szCs w:val="21"/>
            </w:rPr>
          </w:pPr>
          <w:r>
            <w:rPr>
              <w:rFonts w:ascii="Times New Roman" w:hAnsi="Times New Roman"/>
              <w:sz w:val="21"/>
            </w:rPr>
            <w:t>公司制定有《内幕信息知情人登记管理制度》。按照有关要求，公司明确董事长为公司加强内幕信息管理和内幕交易防控工作的主要责任人，指定董事会秘书负责办理公司内幕信息知情人的登记入档事宜，公司董事会办公室是公司信息披露机构，协助董事会秘书具体负责公司内幕信息知情人登记管理日常工作。报告期内，公司严格按照制度规定做好内幕信息知情人登记备案工作，公司及相关人员没有因内幕信息知情人登记管理制度执行不力或涉嫌内幕交易被监管部门采取监管措施和行政处罚情况。</w:t>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szCs w:val="21"/>
        </w:rPr>
      </w:pPr>
    </w:p>
    <w:p>
      <w:pPr>
        <w:keepNext w:val="0"/>
        <w:keepLines w:val="0"/>
        <w:pageBreakBefore w:val="0"/>
        <w:widowControl/>
        <w:kinsoku/>
        <w:wordWrap/>
        <w:overflowPunct/>
        <w:topLinePunct w:val="0"/>
        <w:autoSpaceDE/>
        <w:autoSpaceDN/>
        <w:bidi w:val="0"/>
        <w:adjustRightInd/>
        <w:snapToGrid/>
        <w:spacing w:line="400" w:lineRule="exact"/>
        <w:textAlignment w:val="auto"/>
        <w:rPr>
          <w:szCs w:val="21"/>
        </w:rPr>
      </w:pPr>
      <w:r>
        <w:rPr>
          <w:szCs w:val="21"/>
        </w:rPr>
        <w:t>公司治理</w:t>
      </w:r>
      <w:r>
        <w:rPr>
          <w:rFonts w:hint="eastAsia"/>
          <w:szCs w:val="21"/>
        </w:rPr>
        <w:t>与法律、行政法规和中国证监会关于上市公司治理的规定</w:t>
      </w:r>
      <w:r>
        <w:rPr>
          <w:szCs w:val="21"/>
        </w:rPr>
        <w:t>是否存在</w:t>
      </w:r>
      <w:r>
        <w:rPr>
          <w:rFonts w:hint="eastAsia"/>
          <w:szCs w:val="21"/>
        </w:rPr>
        <w:t>重大</w:t>
      </w:r>
      <w:r>
        <w:rPr>
          <w:szCs w:val="21"/>
        </w:rPr>
        <w:t>差异；如有</w:t>
      </w:r>
      <w:r>
        <w:rPr>
          <w:rFonts w:hint="eastAsia"/>
          <w:szCs w:val="21"/>
        </w:rPr>
        <w:t>重大</w:t>
      </w:r>
      <w:r>
        <w:rPr>
          <w:szCs w:val="21"/>
        </w:rPr>
        <w:t>差异，应当说明原因</w:t>
      </w:r>
    </w:p>
    <w:sdt>
      <w:sdtPr>
        <w:rPr>
          <w:szCs w:val="21"/>
        </w:rPr>
        <w:alias w:val="是否适用：公司治理与中国证监会相关规定的要求是否存在重大差异[双击切换]"/>
        <w:tag w:val="_GBC_19571e68abe346ceb8159aac5aa1b941"/>
        <w:id w:val="6012"/>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Pr>
        <w:pStyle w:val="3"/>
        <w:numPr>
          <w:ilvl w:val="0"/>
          <w:numId w:val="21"/>
        </w:numPr>
        <w:ind w:left="0" w:firstLine="0"/>
      </w:pPr>
      <w:r>
        <w:rPr>
          <w:rFonts w:hint="eastAsia"/>
        </w:rPr>
        <w:t>公司</w:t>
      </w:r>
      <w:r>
        <w:t>控股股东、实际控制人</w:t>
      </w:r>
      <w:r>
        <w:rPr>
          <w:rFonts w:hint="eastAsia"/>
        </w:rPr>
        <w:t>在保证公司</w:t>
      </w:r>
      <w:r>
        <w:t>资产、人员、财务、机构、业务等方面独立性的具体措施，以及</w:t>
      </w:r>
      <w:r>
        <w:rPr>
          <w:rFonts w:hint="eastAsia"/>
        </w:rPr>
        <w:t>影响公司独立性而采取的解决方案、工作进度及后续工作计划</w:t>
      </w:r>
    </w:p>
    <w:sdt>
      <w:sdtPr>
        <w:rPr>
          <w:rFonts w:hint="eastAsia"/>
          <w:szCs w:val="21"/>
        </w:rPr>
        <w:alias w:val="是否适用：公司就其与控股股东在业务、人员、资产、机构、财务等方面存在的不能保证独立性、不能保持自主经营能力的情况说明[双击切换]"/>
        <w:tag w:val="_GBC_50c3f410fb5f41fcb5dafe7e6ee9876f"/>
        <w:id w:val="6013"/>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eastAsia="宋体"/>
          <w:szCs w:val="21"/>
          <w:lang w:eastAsia="zh-CN"/>
        </w:rPr>
      </w:pPr>
      <w:r>
        <w:t>控</w:t>
      </w:r>
      <w:r>
        <w:rPr>
          <w:rFonts w:hint="eastAsia"/>
        </w:rPr>
        <w:t>股股东、实际控制人及其控制的其他单位从事与公司相同或者相近业务的情况，以及同业竞争情况发生较大变化对公司的影响、已采取的解决措施、解决进展以及后续解决计划</w:t>
      </w:r>
      <w:r>
        <w:rPr>
          <w:rFonts w:hint="eastAsia"/>
          <w:lang w:eastAsia="zh-CN"/>
        </w:rPr>
        <w:t>。</w:t>
      </w:r>
    </w:p>
    <w:sdt>
      <w:sdtPr>
        <w:rPr>
          <w:rFonts w:hint="eastAsia"/>
          <w:szCs w:val="21"/>
        </w:rPr>
        <w:alias w:val="是否适用：存在同业竞争的，公司相应的解决措施、工作进度及后续工作计划[双击切换]"/>
        <w:tag w:val="_GBC_1883b6583caa4429822c73ae5e75f9f4"/>
        <w:id w:val="6014"/>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
      <w:pPr>
        <w:pStyle w:val="17"/>
        <w:sectPr>
          <w:pgSz w:w="11906" w:h="16838"/>
          <w:pgMar w:top="1525" w:right="1276" w:bottom="1440" w:left="1797" w:header="855" w:footer="992" w:gutter="0"/>
          <w:cols w:space="425" w:num="1"/>
          <w:docGrid w:linePitch="312" w:charSpace="0"/>
        </w:sectPr>
      </w:pPr>
    </w:p>
    <w:sdt>
      <w:sdtPr>
        <w:tag w:val="_PLD_68425cdd1596424d9c247a797a338a5b"/>
        <w:id w:val="6015"/>
      </w:sdtPr>
      <w:sdtContent>
        <w:p>
          <w:pPr>
            <w:pStyle w:val="3"/>
            <w:numPr>
              <w:ilvl w:val="0"/>
              <w:numId w:val="21"/>
            </w:numPr>
            <w:ind w:left="450" w:hanging="450"/>
          </w:pPr>
          <w:r>
            <w:t>董事和高级管理人员的情况</w:t>
          </w:r>
        </w:p>
      </w:sdtContent>
    </w:sdt>
    <w:p>
      <w:pPr>
        <w:pStyle w:val="4"/>
        <w:numPr>
          <w:ilvl w:val="0"/>
          <w:numId w:val="22"/>
        </w:numPr>
        <w:ind w:left="0" w:firstLine="0"/>
      </w:pPr>
      <w:r>
        <w:rPr>
          <w:rFonts w:hint="eastAsia"/>
        </w:rPr>
        <w:t xml:space="preserve"> </w:t>
      </w:r>
      <w:r>
        <w:t>现任及报告期内离任董事</w:t>
      </w:r>
      <w:r>
        <w:rPr>
          <w:rFonts w:hint="eastAsia"/>
        </w:rPr>
        <w:t>和</w:t>
      </w:r>
      <w:r>
        <w:t>高级管理人员持股变动及</w:t>
      </w:r>
      <w:r>
        <w:rPr>
          <w:rFonts w:hint="eastAsia"/>
        </w:rPr>
        <w:t>薪</w:t>
      </w:r>
      <w:r>
        <w:t>酬情况</w:t>
      </w:r>
    </w:p>
    <w:sdt>
      <w:sdtPr>
        <w:alias w:val="是否适用：董事、监事和高级管理人员持股变动[双击切换]"/>
        <w:tag w:val="_GBC_336639f5f1254c87a3d81a366e432afd"/>
        <w:id w:val="6016"/>
        <w:lock w:val="contentLocked"/>
        <w:placeholder>
          <w:docPart w:val="GBC22222222222222222222222222222"/>
        </w:placeholder>
      </w:sdtPr>
      <w:sdtContent>
        <w:p>
          <w:bookmarkStart w:id="92" w:name="_Hlk89179934"/>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董事、监事、高级管理人员基本情况"/>
          <w:tag w:val="_GBC_3851936d51d842bf9f2c82131d0787cc"/>
          <w:id w:val="6017"/>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rPr>
            <w:rFonts w:hint="eastAsia"/>
            <w:szCs w:val="21"/>
          </w:rPr>
        </w:sdtEndPr>
        <w:sdtContent>
          <w:r>
            <w:rPr>
              <w:rFonts w:hint="eastAsia"/>
              <w:szCs w:val="21"/>
            </w:rPr>
            <w:t>股</w:t>
          </w:r>
        </w:sdtContent>
      </w:sdt>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203"/>
        <w:gridCol w:w="946"/>
        <w:gridCol w:w="946"/>
        <w:gridCol w:w="1248"/>
        <w:gridCol w:w="1248"/>
        <w:gridCol w:w="1191"/>
        <w:gridCol w:w="1180"/>
        <w:gridCol w:w="1363"/>
        <w:gridCol w:w="1217"/>
        <w:gridCol w:w="1211"/>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118" w:type="dxa"/>
            <w:vAlign w:val="center"/>
          </w:tcPr>
          <w:sdt>
            <w:sdtPr>
              <w:tag w:val="_PLD_3e935958e5b542f38f53ca8a2618690d"/>
              <w:id w:val="6018"/>
            </w:sdtPr>
            <w:sdtContent>
              <w:p>
                <w:pPr>
                  <w:widowControl w:val="0"/>
                  <w:jc w:val="center"/>
                  <w:rPr>
                    <w:szCs w:val="21"/>
                  </w:rPr>
                </w:pPr>
                <w:r>
                  <w:rPr>
                    <w:szCs w:val="21"/>
                  </w:rPr>
                  <w:t>姓名</w:t>
                </w:r>
              </w:p>
            </w:sdtContent>
          </w:sdt>
        </w:tc>
        <w:tc>
          <w:tcPr>
            <w:tcW w:w="1203" w:type="dxa"/>
            <w:vAlign w:val="center"/>
          </w:tcPr>
          <w:sdt>
            <w:sdtPr>
              <w:tag w:val="_PLD_5ecaa59058dd4312acb6ebb4d88eb6c8"/>
              <w:id w:val="6019"/>
            </w:sdtPr>
            <w:sdtContent>
              <w:p>
                <w:pPr>
                  <w:widowControl w:val="0"/>
                  <w:jc w:val="center"/>
                  <w:rPr>
                    <w:szCs w:val="21"/>
                  </w:rPr>
                </w:pPr>
                <w:r>
                  <w:rPr>
                    <w:szCs w:val="21"/>
                  </w:rPr>
                  <w:t>职务</w:t>
                </w:r>
              </w:p>
            </w:sdtContent>
          </w:sdt>
        </w:tc>
        <w:tc>
          <w:tcPr>
            <w:tcW w:w="946" w:type="dxa"/>
            <w:vAlign w:val="center"/>
          </w:tcPr>
          <w:sdt>
            <w:sdtPr>
              <w:tag w:val="_PLD_f907f9c5cdf94b2ba9e217c0aaaf2c60"/>
              <w:id w:val="6020"/>
            </w:sdtPr>
            <w:sdtContent>
              <w:p>
                <w:pPr>
                  <w:widowControl w:val="0"/>
                  <w:jc w:val="center"/>
                  <w:rPr>
                    <w:szCs w:val="21"/>
                  </w:rPr>
                </w:pPr>
                <w:r>
                  <w:rPr>
                    <w:szCs w:val="21"/>
                  </w:rPr>
                  <w:t>性别</w:t>
                </w:r>
              </w:p>
            </w:sdtContent>
          </w:sdt>
        </w:tc>
        <w:tc>
          <w:tcPr>
            <w:tcW w:w="946" w:type="dxa"/>
            <w:vAlign w:val="center"/>
          </w:tcPr>
          <w:sdt>
            <w:sdtPr>
              <w:tag w:val="_PLD_9b2689bca35f4a3ebc7adf135b295bd6"/>
              <w:id w:val="6021"/>
            </w:sdtPr>
            <w:sdtContent>
              <w:p>
                <w:pPr>
                  <w:widowControl w:val="0"/>
                  <w:jc w:val="center"/>
                  <w:rPr>
                    <w:szCs w:val="21"/>
                  </w:rPr>
                </w:pPr>
                <w:r>
                  <w:rPr>
                    <w:szCs w:val="21"/>
                  </w:rPr>
                  <w:t>年龄</w:t>
                </w:r>
              </w:p>
            </w:sdtContent>
          </w:sdt>
        </w:tc>
        <w:tc>
          <w:tcPr>
            <w:tcW w:w="1248" w:type="dxa"/>
            <w:vAlign w:val="center"/>
          </w:tcPr>
          <w:sdt>
            <w:sdtPr>
              <w:tag w:val="_PLD_3844eb481c79444fba199a9d3c3b8bf7"/>
              <w:id w:val="6022"/>
            </w:sdtPr>
            <w:sdtContent>
              <w:p>
                <w:pPr>
                  <w:widowControl w:val="0"/>
                  <w:jc w:val="center"/>
                  <w:rPr>
                    <w:szCs w:val="21"/>
                  </w:rPr>
                </w:pPr>
                <w:r>
                  <w:rPr>
                    <w:szCs w:val="21"/>
                  </w:rPr>
                  <w:t>任期起始日期</w:t>
                </w:r>
              </w:p>
            </w:sdtContent>
          </w:sdt>
        </w:tc>
        <w:tc>
          <w:tcPr>
            <w:tcW w:w="1248" w:type="dxa"/>
            <w:vAlign w:val="center"/>
          </w:tcPr>
          <w:sdt>
            <w:sdtPr>
              <w:tag w:val="_PLD_94806df607544b4b97b389da94daaf66"/>
              <w:id w:val="6023"/>
            </w:sdtPr>
            <w:sdtContent>
              <w:p>
                <w:pPr>
                  <w:widowControl w:val="0"/>
                  <w:jc w:val="center"/>
                  <w:rPr>
                    <w:szCs w:val="21"/>
                  </w:rPr>
                </w:pPr>
                <w:r>
                  <w:rPr>
                    <w:szCs w:val="21"/>
                  </w:rPr>
                  <w:t>任期终止日期</w:t>
                </w:r>
              </w:p>
            </w:sdtContent>
          </w:sdt>
        </w:tc>
        <w:tc>
          <w:tcPr>
            <w:tcW w:w="1191" w:type="dxa"/>
            <w:vAlign w:val="center"/>
          </w:tcPr>
          <w:sdt>
            <w:sdtPr>
              <w:tag w:val="_PLD_5e35d588fd7f4cb3af49fcbd9e313ac2"/>
              <w:id w:val="6024"/>
            </w:sdtPr>
            <w:sdtContent>
              <w:p>
                <w:pPr>
                  <w:widowControl w:val="0"/>
                  <w:jc w:val="center"/>
                  <w:rPr>
                    <w:szCs w:val="21"/>
                  </w:rPr>
                </w:pPr>
                <w:r>
                  <w:rPr>
                    <w:szCs w:val="21"/>
                  </w:rPr>
                  <w:t>年初持股数</w:t>
                </w:r>
              </w:p>
            </w:sdtContent>
          </w:sdt>
        </w:tc>
        <w:tc>
          <w:tcPr>
            <w:tcW w:w="1180" w:type="dxa"/>
            <w:vAlign w:val="center"/>
          </w:tcPr>
          <w:sdt>
            <w:sdtPr>
              <w:tag w:val="_PLD_af0cabd7e3f44b95b26464bc652333c2"/>
              <w:id w:val="6025"/>
            </w:sdtPr>
            <w:sdtContent>
              <w:p>
                <w:pPr>
                  <w:widowControl w:val="0"/>
                  <w:jc w:val="center"/>
                  <w:rPr>
                    <w:szCs w:val="21"/>
                  </w:rPr>
                </w:pPr>
                <w:r>
                  <w:rPr>
                    <w:szCs w:val="21"/>
                  </w:rPr>
                  <w:t>年末持股数</w:t>
                </w:r>
              </w:p>
            </w:sdtContent>
          </w:sdt>
        </w:tc>
        <w:tc>
          <w:tcPr>
            <w:tcW w:w="1363" w:type="dxa"/>
            <w:vAlign w:val="center"/>
          </w:tcPr>
          <w:sdt>
            <w:sdtPr>
              <w:tag w:val="_PLD_0b9453da77b34ba68718efe69463399a"/>
              <w:id w:val="6026"/>
            </w:sdtPr>
            <w:sdtContent>
              <w:p>
                <w:pPr>
                  <w:widowControl w:val="0"/>
                  <w:jc w:val="center"/>
                  <w:rPr>
                    <w:szCs w:val="21"/>
                  </w:rPr>
                </w:pPr>
                <w:r>
                  <w:rPr>
                    <w:szCs w:val="21"/>
                  </w:rPr>
                  <w:t>年度内股份增减变动量</w:t>
                </w:r>
              </w:p>
            </w:sdtContent>
          </w:sdt>
        </w:tc>
        <w:tc>
          <w:tcPr>
            <w:tcW w:w="1217" w:type="dxa"/>
            <w:vAlign w:val="center"/>
          </w:tcPr>
          <w:sdt>
            <w:sdtPr>
              <w:tag w:val="_PLD_32c045d1529e42b7999b1f0c6b6e43a6"/>
              <w:id w:val="6027"/>
            </w:sdtPr>
            <w:sdtContent>
              <w:p>
                <w:pPr>
                  <w:widowControl w:val="0"/>
                  <w:jc w:val="center"/>
                  <w:rPr>
                    <w:szCs w:val="21"/>
                  </w:rPr>
                </w:pPr>
                <w:r>
                  <w:rPr>
                    <w:szCs w:val="21"/>
                  </w:rPr>
                  <w:t>增减变动原因</w:t>
                </w:r>
              </w:p>
            </w:sdtContent>
          </w:sdt>
        </w:tc>
        <w:sdt>
          <w:sdtPr>
            <w:tag w:val="_PLD_47ee572944fa4c8098ef9eeca67d2eb2"/>
            <w:id w:val="6028"/>
          </w:sdtPr>
          <w:sdtContent>
            <w:tc>
              <w:tcPr>
                <w:tcW w:w="1211" w:type="dxa"/>
                <w:vAlign w:val="center"/>
              </w:tcPr>
              <w:p>
                <w:pPr>
                  <w:widowControl w:val="0"/>
                  <w:jc w:val="center"/>
                </w:pPr>
                <w:r>
                  <w:rPr>
                    <w:rFonts w:hint="eastAsia"/>
                  </w:rPr>
                  <w:t>报告期内从公司获得的税前薪酬总额（</w:t>
                </w:r>
                <w:sdt>
                  <w:sdtPr>
                    <w:rPr>
                      <w:rFonts w:hint="eastAsia"/>
                    </w:rPr>
                    <w:alias w:val="单位：报告期内从公司获得的税前报酬总额"/>
                    <w:tag w:val="_GBC_84bf98b6209e4e62813239bd0860e78d"/>
                    <w:id w:val="6029"/>
                    <w:comboBox>
                      <w:listItem w:displayText="元" w:value="元"/>
                      <w:listItem w:displayText="千元" w:value="千元"/>
                      <w:listItem w:displayText="万元" w:value="万元"/>
                      <w:listItem w:displayText="百万元" w:value="百万元"/>
                      <w:listItem w:displayText="亿元" w:value="亿元"/>
                    </w:comboBox>
                  </w:sdtPr>
                  <w:sdtEndPr>
                    <w:rPr>
                      <w:rFonts w:hint="eastAsia"/>
                    </w:rPr>
                  </w:sdtEndPr>
                  <w:sdtContent>
                    <w:r>
                      <w:rPr>
                        <w:rFonts w:hint="eastAsia"/>
                      </w:rPr>
                      <w:t>万元</w:t>
                    </w:r>
                  </w:sdtContent>
                </w:sdt>
                <w:r>
                  <w:rPr>
                    <w:rFonts w:hint="eastAsia"/>
                  </w:rPr>
                  <w:t>）</w:t>
                </w:r>
              </w:p>
            </w:tc>
          </w:sdtContent>
        </w:sdt>
        <w:tc>
          <w:tcPr>
            <w:tcW w:w="1211" w:type="dxa"/>
            <w:vAlign w:val="center"/>
          </w:tcPr>
          <w:sdt>
            <w:sdtPr>
              <w:tag w:val="_PLD_efdfb631398b46bfa3656e39fd8c5fca"/>
              <w:id w:val="6030"/>
            </w:sdtPr>
            <w:sdtContent>
              <w:p>
                <w:pPr>
                  <w:widowControl w:val="0"/>
                  <w:jc w:val="center"/>
                </w:pPr>
                <w:r>
                  <w:rPr>
                    <w:rFonts w:hint="eastAsia"/>
                    <w:szCs w:val="21"/>
                  </w:rPr>
                  <w:t>是否在公司关联方获取薪酬</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118" w:type="dxa"/>
            <w:vAlign w:val="center"/>
          </w:tcPr>
          <w:p>
            <w:pPr>
              <w:widowControl w:val="0"/>
              <w:jc w:val="center"/>
              <w:rPr>
                <w:szCs w:val="21"/>
              </w:rPr>
            </w:pPr>
            <w:r>
              <w:rPr>
                <w:rFonts w:hint="eastAsia"/>
                <w:color w:val="auto"/>
              </w:rPr>
              <w:t>周云祥</w:t>
            </w:r>
          </w:p>
        </w:tc>
        <w:tc>
          <w:tcPr>
            <w:tcW w:w="1203" w:type="dxa"/>
            <w:vAlign w:val="center"/>
          </w:tcPr>
          <w:p>
            <w:pPr>
              <w:widowControl w:val="0"/>
              <w:jc w:val="center"/>
              <w:rPr>
                <w:szCs w:val="21"/>
              </w:rPr>
            </w:pPr>
            <w:r>
              <w:rPr>
                <w:rFonts w:hint="eastAsia"/>
                <w:szCs w:val="21"/>
              </w:rPr>
              <w:t>董事长</w:t>
            </w:r>
          </w:p>
        </w:tc>
        <w:tc>
          <w:tcPr>
            <w:tcW w:w="946" w:type="dxa"/>
            <w:vAlign w:val="center"/>
          </w:tcPr>
          <w:p>
            <w:pPr>
              <w:widowControl w:val="0"/>
              <w:jc w:val="center"/>
              <w:rPr>
                <w:szCs w:val="21"/>
              </w:rPr>
            </w:pPr>
            <w:r>
              <w:rPr>
                <w:rFonts w:hint="eastAsia"/>
                <w:color w:val="auto"/>
              </w:rPr>
              <w:t>男</w:t>
            </w:r>
          </w:p>
        </w:tc>
        <w:tc>
          <w:tcPr>
            <w:tcW w:w="946" w:type="dxa"/>
            <w:vAlign w:val="center"/>
          </w:tcPr>
          <w:p>
            <w:pPr>
              <w:widowControl w:val="0"/>
              <w:jc w:val="center"/>
              <w:rPr>
                <w:szCs w:val="21"/>
              </w:rPr>
            </w:pPr>
            <w:r>
              <w:rPr>
                <w:rFonts w:hint="eastAsia"/>
                <w:color w:val="auto"/>
              </w:rPr>
              <w:t>41</w:t>
            </w:r>
          </w:p>
        </w:tc>
        <w:tc>
          <w:tcPr>
            <w:tcW w:w="1248" w:type="dxa"/>
            <w:vAlign w:val="center"/>
          </w:tcPr>
          <w:p>
            <w:pPr>
              <w:widowControl w:val="0"/>
              <w:jc w:val="center"/>
              <w:rPr>
                <w:szCs w:val="21"/>
              </w:rPr>
            </w:pPr>
            <w:r>
              <w:rPr>
                <w:rFonts w:hint="eastAsia"/>
                <w:color w:val="auto"/>
              </w:rPr>
              <w:t>2025-02-27</w:t>
            </w:r>
          </w:p>
        </w:tc>
        <w:tc>
          <w:tcPr>
            <w:tcW w:w="1248" w:type="dxa"/>
            <w:vAlign w:val="center"/>
          </w:tcPr>
          <w:p>
            <w:pPr>
              <w:widowControl w:val="0"/>
              <w:jc w:val="center"/>
              <w:rPr>
                <w:szCs w:val="21"/>
              </w:rPr>
            </w:pPr>
            <w:r>
              <w:rPr>
                <w:rFonts w:hint="eastAsia"/>
                <w:color w:val="auto"/>
              </w:rPr>
              <w:t>2029-02-02</w:t>
            </w:r>
          </w:p>
        </w:tc>
        <w:tc>
          <w:tcPr>
            <w:tcW w:w="1191" w:type="dxa"/>
            <w:vAlign w:val="center"/>
          </w:tcPr>
          <w:p>
            <w:pPr>
              <w:widowControl w:val="0"/>
              <w:jc w:val="center"/>
              <w:rPr>
                <w:szCs w:val="21"/>
              </w:rPr>
            </w:pPr>
            <w:r>
              <w:rPr>
                <w:rFonts w:hint="eastAsia"/>
                <w:color w:val="auto"/>
              </w:rPr>
              <w:t>0</w:t>
            </w:r>
          </w:p>
        </w:tc>
        <w:tc>
          <w:tcPr>
            <w:tcW w:w="1180" w:type="dxa"/>
            <w:vAlign w:val="center"/>
          </w:tcPr>
          <w:p>
            <w:pPr>
              <w:widowControl w:val="0"/>
              <w:jc w:val="center"/>
              <w:rPr>
                <w:szCs w:val="21"/>
              </w:rPr>
            </w:pPr>
            <w:r>
              <w:rPr>
                <w:rFonts w:hint="eastAsia"/>
                <w:color w:val="auto"/>
              </w:rPr>
              <w:t>0</w:t>
            </w:r>
          </w:p>
        </w:tc>
        <w:tc>
          <w:tcPr>
            <w:tcW w:w="1363" w:type="dxa"/>
            <w:vAlign w:val="center"/>
          </w:tcPr>
          <w:p>
            <w:pPr>
              <w:widowControl w:val="0"/>
              <w:jc w:val="center"/>
              <w:rPr>
                <w:szCs w:val="21"/>
              </w:rPr>
            </w:pPr>
            <w:r>
              <w:rPr>
                <w:rFonts w:hint="eastAsia"/>
                <w:color w:val="auto"/>
              </w:rPr>
              <w:t>0</w:t>
            </w:r>
          </w:p>
        </w:tc>
        <w:tc>
          <w:tcPr>
            <w:tcW w:w="1217" w:type="dxa"/>
            <w:vAlign w:val="center"/>
          </w:tcPr>
          <w:p>
            <w:pPr>
              <w:widowControl w:val="0"/>
              <w:jc w:val="center"/>
              <w:rPr>
                <w:szCs w:val="21"/>
              </w:rPr>
            </w:pPr>
            <w:r>
              <w:rPr>
                <w:rFonts w:hint="eastAsia"/>
                <w:color w:val="auto"/>
              </w:rPr>
              <w:t>/</w:t>
            </w:r>
          </w:p>
        </w:tc>
        <w:tc>
          <w:tcPr>
            <w:tcW w:w="1211" w:type="dxa"/>
            <w:vAlign w:val="center"/>
          </w:tcPr>
          <w:p>
            <w:pPr>
              <w:widowControl w:val="0"/>
              <w:jc w:val="center"/>
              <w:rPr>
                <w:szCs w:val="21"/>
              </w:rPr>
            </w:pPr>
            <w:r>
              <w:rPr>
                <w:rStyle w:val="71"/>
                <w:rFonts w:hint="eastAsia"/>
                <w:color w:val="auto"/>
              </w:rPr>
              <w:t>0</w:t>
            </w:r>
          </w:p>
        </w:tc>
        <w:tc>
          <w:tcPr>
            <w:tcW w:w="1211" w:type="dxa"/>
            <w:vAlign w:val="center"/>
          </w:tcPr>
          <w:sdt>
            <w:sdtPr>
              <w:rPr>
                <w:rFonts w:asciiTheme="minorHAnsi" w:hAnsiTheme="minorHAnsi" w:eastAsiaTheme="minorEastAsia" w:cstheme="minorBidi"/>
                <w:kern w:val="2"/>
                <w:szCs w:val="21"/>
                <w14:ligatures w14:val="standardContextual"/>
              </w:rPr>
              <w:alias w:val="董事、监事、高级管理人员是否在公司关联方获取报酬"/>
              <w:tag w:val="_GBC_ca79c4e139754ecd84ca3e60eb23b31d"/>
              <w:id w:val="6031"/>
              <w:comboBox>
                <w:listItem w:displayText="是" w:value="是"/>
                <w:listItem w:displayText="否" w:value="否"/>
              </w:comboBox>
            </w:sdtPr>
            <w:sdtEndPr>
              <w:rPr>
                <w:rFonts w:asciiTheme="minorHAnsi" w:hAnsiTheme="minorHAnsi" w:eastAsiaTheme="minorEastAsia" w:cstheme="minorBidi"/>
                <w:kern w:val="2"/>
                <w:szCs w:val="21"/>
                <w14:ligatures w14:val="standardContextual"/>
              </w:rPr>
            </w:sdtEndPr>
            <w:sdtContent>
              <w:p>
                <w:pPr>
                  <w:widowControl w:val="0"/>
                  <w:jc w:val="center"/>
                  <w:rPr>
                    <w:rFonts w:asciiTheme="minorHAnsi" w:hAnsiTheme="minorHAnsi" w:eastAsiaTheme="minorEastAsia" w:cstheme="minorBidi"/>
                    <w:kern w:val="2"/>
                    <w:szCs w:val="21"/>
                    <w14:ligatures w14:val="standardContextual"/>
                  </w:rPr>
                </w:pPr>
                <w:r>
                  <w:rPr>
                    <w:rFonts w:asciiTheme="minorHAnsi" w:hAnsiTheme="minorHAnsi" w:eastAsiaTheme="minorEastAsia" w:cstheme="minorBidi"/>
                    <w:kern w:val="2"/>
                    <w:szCs w:val="21"/>
                    <w14:ligatures w14:val="standardContextual"/>
                  </w:rPr>
                  <w:t>是</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118" w:type="dxa"/>
            <w:vAlign w:val="center"/>
          </w:tcPr>
          <w:p>
            <w:pPr>
              <w:widowControl w:val="0"/>
              <w:jc w:val="center"/>
              <w:rPr>
                <w:szCs w:val="21"/>
              </w:rPr>
            </w:pPr>
            <w:r>
              <w:rPr>
                <w:rFonts w:hint="eastAsia"/>
                <w:color w:val="auto"/>
              </w:rPr>
              <w:t>林钻煌</w:t>
            </w:r>
          </w:p>
        </w:tc>
        <w:tc>
          <w:tcPr>
            <w:tcW w:w="1203" w:type="dxa"/>
            <w:vAlign w:val="center"/>
          </w:tcPr>
          <w:p>
            <w:pPr>
              <w:widowControl w:val="0"/>
              <w:jc w:val="center"/>
              <w:rPr>
                <w:szCs w:val="21"/>
              </w:rPr>
            </w:pPr>
            <w:r>
              <w:rPr>
                <w:rFonts w:hint="eastAsia"/>
                <w:szCs w:val="21"/>
              </w:rPr>
              <w:t>董事长（离任）</w:t>
            </w:r>
          </w:p>
        </w:tc>
        <w:tc>
          <w:tcPr>
            <w:tcW w:w="946" w:type="dxa"/>
            <w:vAlign w:val="center"/>
          </w:tcPr>
          <w:p>
            <w:pPr>
              <w:widowControl w:val="0"/>
              <w:jc w:val="center"/>
              <w:rPr>
                <w:szCs w:val="21"/>
              </w:rPr>
            </w:pPr>
            <w:r>
              <w:rPr>
                <w:rFonts w:hint="eastAsia"/>
                <w:color w:val="auto"/>
              </w:rPr>
              <w:t>男</w:t>
            </w:r>
          </w:p>
        </w:tc>
        <w:tc>
          <w:tcPr>
            <w:tcW w:w="946" w:type="dxa"/>
            <w:vAlign w:val="center"/>
          </w:tcPr>
          <w:p>
            <w:pPr>
              <w:widowControl w:val="0"/>
              <w:jc w:val="center"/>
              <w:rPr>
                <w:szCs w:val="21"/>
              </w:rPr>
            </w:pPr>
            <w:r>
              <w:rPr>
                <w:rFonts w:hint="eastAsia"/>
                <w:color w:val="auto"/>
              </w:rPr>
              <w:t>60</w:t>
            </w:r>
          </w:p>
        </w:tc>
        <w:tc>
          <w:tcPr>
            <w:tcW w:w="1248" w:type="dxa"/>
            <w:vAlign w:val="center"/>
          </w:tcPr>
          <w:p>
            <w:pPr>
              <w:widowControl w:val="0"/>
              <w:jc w:val="center"/>
              <w:rPr>
                <w:szCs w:val="21"/>
              </w:rPr>
            </w:pPr>
            <w:r>
              <w:rPr>
                <w:rFonts w:hint="eastAsia"/>
                <w:color w:val="auto"/>
              </w:rPr>
              <w:t>2021-07-16</w:t>
            </w:r>
          </w:p>
        </w:tc>
        <w:tc>
          <w:tcPr>
            <w:tcW w:w="1248" w:type="dxa"/>
            <w:vAlign w:val="center"/>
          </w:tcPr>
          <w:p>
            <w:pPr>
              <w:widowControl w:val="0"/>
              <w:jc w:val="center"/>
              <w:rPr>
                <w:szCs w:val="21"/>
              </w:rPr>
            </w:pPr>
            <w:r>
              <w:rPr>
                <w:rFonts w:hint="eastAsia"/>
                <w:color w:val="auto"/>
              </w:rPr>
              <w:t>2025-02-09</w:t>
            </w:r>
          </w:p>
        </w:tc>
        <w:tc>
          <w:tcPr>
            <w:tcW w:w="1191" w:type="dxa"/>
            <w:vAlign w:val="center"/>
          </w:tcPr>
          <w:p>
            <w:pPr>
              <w:widowControl w:val="0"/>
              <w:jc w:val="center"/>
              <w:rPr>
                <w:szCs w:val="21"/>
              </w:rPr>
            </w:pPr>
            <w:r>
              <w:rPr>
                <w:rFonts w:hint="eastAsia"/>
                <w:color w:val="auto"/>
              </w:rPr>
              <w:t>36,680</w:t>
            </w:r>
          </w:p>
        </w:tc>
        <w:tc>
          <w:tcPr>
            <w:tcW w:w="1180" w:type="dxa"/>
            <w:vAlign w:val="center"/>
          </w:tcPr>
          <w:p>
            <w:pPr>
              <w:widowControl w:val="0"/>
              <w:jc w:val="center"/>
              <w:rPr>
                <w:szCs w:val="21"/>
              </w:rPr>
            </w:pPr>
            <w:r>
              <w:rPr>
                <w:rFonts w:hint="eastAsia"/>
                <w:color w:val="auto"/>
              </w:rPr>
              <w:t>36,680</w:t>
            </w:r>
          </w:p>
        </w:tc>
        <w:tc>
          <w:tcPr>
            <w:tcW w:w="1363" w:type="dxa"/>
            <w:vAlign w:val="center"/>
          </w:tcPr>
          <w:p>
            <w:pPr>
              <w:widowControl w:val="0"/>
              <w:jc w:val="center"/>
              <w:rPr>
                <w:szCs w:val="21"/>
              </w:rPr>
            </w:pPr>
            <w:r>
              <w:rPr>
                <w:rFonts w:hint="eastAsia"/>
                <w:color w:val="auto"/>
              </w:rPr>
              <w:t>0</w:t>
            </w:r>
          </w:p>
        </w:tc>
        <w:tc>
          <w:tcPr>
            <w:tcW w:w="1217" w:type="dxa"/>
            <w:vAlign w:val="center"/>
          </w:tcPr>
          <w:p>
            <w:pPr>
              <w:widowControl w:val="0"/>
              <w:jc w:val="center"/>
              <w:rPr>
                <w:szCs w:val="21"/>
              </w:rPr>
            </w:pPr>
            <w:r>
              <w:rPr>
                <w:rFonts w:hint="eastAsia"/>
                <w:color w:val="auto"/>
              </w:rPr>
              <w:t>/</w:t>
            </w:r>
          </w:p>
        </w:tc>
        <w:tc>
          <w:tcPr>
            <w:tcW w:w="1211" w:type="dxa"/>
            <w:vAlign w:val="center"/>
          </w:tcPr>
          <w:p>
            <w:pPr>
              <w:widowControl w:val="0"/>
              <w:jc w:val="center"/>
              <w:rPr>
                <w:szCs w:val="21"/>
              </w:rPr>
            </w:pPr>
            <w:r>
              <w:rPr>
                <w:rStyle w:val="71"/>
                <w:rFonts w:hint="eastAsia"/>
                <w:color w:val="auto"/>
              </w:rPr>
              <w:t>16.71</w:t>
            </w:r>
          </w:p>
        </w:tc>
        <w:tc>
          <w:tcPr>
            <w:tcW w:w="1211" w:type="dxa"/>
            <w:vAlign w:val="center"/>
          </w:tcPr>
          <w:p>
            <w:pPr>
              <w:widowControl w:val="0"/>
              <w:jc w:val="center"/>
              <w:rPr>
                <w:rFonts w:asciiTheme="minorHAnsi" w:hAnsiTheme="minorHAnsi" w:eastAsiaTheme="minorEastAsia" w:cstheme="minorBidi"/>
                <w:kern w:val="2"/>
                <w:szCs w:val="21"/>
                <w14:ligatures w14:val="standardContextual"/>
              </w:rPr>
            </w:pPr>
            <w:r>
              <w:rPr>
                <w:rFonts w:asciiTheme="minorHAnsi" w:hAnsiTheme="minorHAnsi" w:eastAsiaTheme="minorEastAsia" w:cstheme="minorBidi"/>
                <w:kern w:val="2"/>
                <w:szCs w:val="21"/>
                <w14:ligatures w14:val="standardContextua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118" w:type="dxa"/>
            <w:vMerge w:val="restart"/>
            <w:vAlign w:val="center"/>
          </w:tcPr>
          <w:p>
            <w:pPr>
              <w:widowControl w:val="0"/>
              <w:jc w:val="center"/>
              <w:rPr>
                <w:szCs w:val="21"/>
              </w:rPr>
            </w:pPr>
            <w:r>
              <w:rPr>
                <w:rFonts w:hint="eastAsia"/>
                <w:color w:val="auto"/>
              </w:rPr>
              <w:t>龚慧泉</w:t>
            </w:r>
          </w:p>
        </w:tc>
        <w:tc>
          <w:tcPr>
            <w:tcW w:w="1203" w:type="dxa"/>
            <w:vAlign w:val="center"/>
          </w:tcPr>
          <w:p>
            <w:pPr>
              <w:widowControl w:val="0"/>
              <w:jc w:val="center"/>
              <w:rPr>
                <w:szCs w:val="21"/>
              </w:rPr>
            </w:pPr>
            <w:r>
              <w:rPr>
                <w:rFonts w:hint="eastAsia"/>
                <w:szCs w:val="21"/>
              </w:rPr>
              <w:t>总裁</w:t>
            </w:r>
          </w:p>
        </w:tc>
        <w:tc>
          <w:tcPr>
            <w:tcW w:w="946" w:type="dxa"/>
            <w:vMerge w:val="restart"/>
            <w:vAlign w:val="center"/>
          </w:tcPr>
          <w:p>
            <w:pPr>
              <w:widowControl w:val="0"/>
              <w:jc w:val="center"/>
              <w:rPr>
                <w:szCs w:val="21"/>
              </w:rPr>
            </w:pPr>
            <w:r>
              <w:rPr>
                <w:rFonts w:hint="eastAsia"/>
                <w:color w:val="auto"/>
              </w:rPr>
              <w:t>男</w:t>
            </w:r>
          </w:p>
        </w:tc>
        <w:tc>
          <w:tcPr>
            <w:tcW w:w="946" w:type="dxa"/>
            <w:vMerge w:val="restart"/>
            <w:vAlign w:val="center"/>
          </w:tcPr>
          <w:p>
            <w:pPr>
              <w:widowControl w:val="0"/>
              <w:jc w:val="center"/>
              <w:rPr>
                <w:szCs w:val="21"/>
              </w:rPr>
            </w:pPr>
            <w:r>
              <w:rPr>
                <w:rFonts w:hint="eastAsia"/>
                <w:color w:val="auto"/>
              </w:rPr>
              <w:t>55</w:t>
            </w:r>
          </w:p>
        </w:tc>
        <w:tc>
          <w:tcPr>
            <w:tcW w:w="1248" w:type="dxa"/>
            <w:vAlign w:val="center"/>
          </w:tcPr>
          <w:p>
            <w:pPr>
              <w:widowControl w:val="0"/>
              <w:jc w:val="center"/>
              <w:rPr>
                <w:szCs w:val="21"/>
              </w:rPr>
            </w:pPr>
            <w:r>
              <w:rPr>
                <w:rFonts w:hint="eastAsia"/>
                <w:color w:val="auto"/>
              </w:rPr>
              <w:t>2022-07-20</w:t>
            </w:r>
          </w:p>
        </w:tc>
        <w:tc>
          <w:tcPr>
            <w:tcW w:w="1248" w:type="dxa"/>
            <w:vAlign w:val="center"/>
          </w:tcPr>
          <w:p>
            <w:pPr>
              <w:widowControl w:val="0"/>
              <w:jc w:val="center"/>
              <w:rPr>
                <w:szCs w:val="21"/>
              </w:rPr>
            </w:pPr>
            <w:r>
              <w:rPr>
                <w:rFonts w:hint="eastAsia"/>
                <w:color w:val="auto"/>
              </w:rPr>
              <w:t>2029-02-02</w:t>
            </w:r>
          </w:p>
        </w:tc>
        <w:tc>
          <w:tcPr>
            <w:tcW w:w="1191" w:type="dxa"/>
            <w:vAlign w:val="center"/>
          </w:tcPr>
          <w:p>
            <w:pPr>
              <w:widowControl w:val="0"/>
              <w:jc w:val="center"/>
              <w:rPr>
                <w:szCs w:val="21"/>
              </w:rPr>
            </w:pPr>
            <w:r>
              <w:rPr>
                <w:rFonts w:hint="eastAsia"/>
                <w:color w:val="auto"/>
              </w:rPr>
              <w:t>0</w:t>
            </w:r>
          </w:p>
        </w:tc>
        <w:tc>
          <w:tcPr>
            <w:tcW w:w="1180" w:type="dxa"/>
            <w:vAlign w:val="center"/>
          </w:tcPr>
          <w:p>
            <w:pPr>
              <w:widowControl w:val="0"/>
              <w:jc w:val="center"/>
              <w:rPr>
                <w:szCs w:val="21"/>
              </w:rPr>
            </w:pPr>
            <w:r>
              <w:rPr>
                <w:rFonts w:hint="eastAsia"/>
                <w:color w:val="auto"/>
              </w:rPr>
              <w:t>0</w:t>
            </w:r>
          </w:p>
        </w:tc>
        <w:tc>
          <w:tcPr>
            <w:tcW w:w="1363" w:type="dxa"/>
            <w:vAlign w:val="center"/>
          </w:tcPr>
          <w:p>
            <w:pPr>
              <w:widowControl w:val="0"/>
              <w:jc w:val="center"/>
              <w:rPr>
                <w:szCs w:val="21"/>
              </w:rPr>
            </w:pPr>
            <w:r>
              <w:rPr>
                <w:rFonts w:hint="eastAsia"/>
                <w:color w:val="auto"/>
              </w:rPr>
              <w:t>0</w:t>
            </w:r>
          </w:p>
        </w:tc>
        <w:tc>
          <w:tcPr>
            <w:tcW w:w="1217" w:type="dxa"/>
            <w:vAlign w:val="center"/>
          </w:tcPr>
          <w:p>
            <w:pPr>
              <w:widowControl w:val="0"/>
              <w:jc w:val="center"/>
              <w:rPr>
                <w:szCs w:val="21"/>
              </w:rPr>
            </w:pPr>
            <w:r>
              <w:rPr>
                <w:rFonts w:hint="eastAsia"/>
                <w:color w:val="auto"/>
              </w:rPr>
              <w:t>/</w:t>
            </w:r>
          </w:p>
        </w:tc>
        <w:tc>
          <w:tcPr>
            <w:tcW w:w="1211" w:type="dxa"/>
            <w:vMerge w:val="restart"/>
            <w:vAlign w:val="center"/>
          </w:tcPr>
          <w:p>
            <w:pPr>
              <w:widowControl w:val="0"/>
              <w:jc w:val="center"/>
              <w:rPr>
                <w:szCs w:val="21"/>
              </w:rPr>
            </w:pPr>
            <w:r>
              <w:rPr>
                <w:rStyle w:val="71"/>
                <w:rFonts w:hint="eastAsia"/>
                <w:color w:val="auto"/>
              </w:rPr>
              <w:t>37.05</w:t>
            </w:r>
          </w:p>
        </w:tc>
        <w:tc>
          <w:tcPr>
            <w:tcW w:w="1211" w:type="dxa"/>
            <w:vAlign w:val="center"/>
          </w:tcPr>
          <w:p>
            <w:pPr>
              <w:widowControl w:val="0"/>
              <w:jc w:val="center"/>
              <w:rPr>
                <w:rFonts w:asciiTheme="minorHAnsi" w:hAnsiTheme="minorHAnsi" w:eastAsiaTheme="minorEastAsia" w:cstheme="minorBidi"/>
                <w:kern w:val="2"/>
                <w:szCs w:val="21"/>
                <w14:ligatures w14:val="standardContextual"/>
              </w:rPr>
            </w:pPr>
            <w:r>
              <w:rPr>
                <w:rFonts w:asciiTheme="minorHAnsi" w:hAnsiTheme="minorHAnsi" w:eastAsiaTheme="minorEastAsia" w:cstheme="minorBidi"/>
                <w:kern w:val="2"/>
                <w:szCs w:val="21"/>
                <w14:ligatures w14:val="standardContextua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118" w:type="dxa"/>
            <w:vMerge w:val="continue"/>
            <w:vAlign w:val="center"/>
          </w:tcPr>
          <w:p>
            <w:pPr>
              <w:widowControl w:val="0"/>
              <w:jc w:val="center"/>
              <w:rPr>
                <w:szCs w:val="21"/>
              </w:rPr>
            </w:pPr>
          </w:p>
        </w:tc>
        <w:tc>
          <w:tcPr>
            <w:tcW w:w="1203" w:type="dxa"/>
            <w:vAlign w:val="center"/>
          </w:tcPr>
          <w:p>
            <w:pPr>
              <w:widowControl w:val="0"/>
              <w:jc w:val="center"/>
              <w:rPr>
                <w:szCs w:val="21"/>
              </w:rPr>
            </w:pPr>
            <w:r>
              <w:rPr>
                <w:rFonts w:hint="eastAsia"/>
                <w:szCs w:val="21"/>
              </w:rPr>
              <w:t>副董事长</w:t>
            </w:r>
          </w:p>
        </w:tc>
        <w:tc>
          <w:tcPr>
            <w:tcW w:w="946" w:type="dxa"/>
            <w:vMerge w:val="continue"/>
            <w:vAlign w:val="center"/>
          </w:tcPr>
          <w:p>
            <w:pPr>
              <w:widowControl w:val="0"/>
              <w:jc w:val="center"/>
              <w:rPr>
                <w:szCs w:val="21"/>
              </w:rPr>
            </w:pPr>
          </w:p>
        </w:tc>
        <w:tc>
          <w:tcPr>
            <w:tcW w:w="946" w:type="dxa"/>
            <w:vMerge w:val="continue"/>
            <w:vAlign w:val="center"/>
          </w:tcPr>
          <w:p>
            <w:pPr>
              <w:widowControl w:val="0"/>
              <w:jc w:val="center"/>
              <w:rPr>
                <w:szCs w:val="21"/>
              </w:rPr>
            </w:pPr>
          </w:p>
        </w:tc>
        <w:tc>
          <w:tcPr>
            <w:tcW w:w="1248" w:type="dxa"/>
            <w:vAlign w:val="center"/>
          </w:tcPr>
          <w:p>
            <w:pPr>
              <w:widowControl w:val="0"/>
              <w:jc w:val="center"/>
              <w:rPr>
                <w:szCs w:val="21"/>
              </w:rPr>
            </w:pPr>
            <w:r>
              <w:rPr>
                <w:rFonts w:hint="eastAsia"/>
                <w:color w:val="auto"/>
              </w:rPr>
              <w:t>2022-11-18</w:t>
            </w:r>
          </w:p>
        </w:tc>
        <w:tc>
          <w:tcPr>
            <w:tcW w:w="1248" w:type="dxa"/>
            <w:vAlign w:val="center"/>
          </w:tcPr>
          <w:p>
            <w:pPr>
              <w:widowControl w:val="0"/>
              <w:jc w:val="center"/>
              <w:rPr>
                <w:szCs w:val="21"/>
              </w:rPr>
            </w:pPr>
            <w:r>
              <w:rPr>
                <w:rFonts w:hint="eastAsia"/>
                <w:color w:val="auto"/>
              </w:rPr>
              <w:t>2029-02-02</w:t>
            </w:r>
          </w:p>
        </w:tc>
        <w:tc>
          <w:tcPr>
            <w:tcW w:w="1191" w:type="dxa"/>
            <w:vAlign w:val="center"/>
          </w:tcPr>
          <w:p>
            <w:pPr>
              <w:widowControl w:val="0"/>
              <w:jc w:val="center"/>
              <w:rPr>
                <w:szCs w:val="21"/>
              </w:rPr>
            </w:pPr>
            <w:r>
              <w:rPr>
                <w:rFonts w:hint="eastAsia"/>
                <w:color w:val="auto"/>
              </w:rPr>
              <w:t>0</w:t>
            </w:r>
          </w:p>
        </w:tc>
        <w:tc>
          <w:tcPr>
            <w:tcW w:w="1180" w:type="dxa"/>
            <w:vAlign w:val="center"/>
          </w:tcPr>
          <w:p>
            <w:pPr>
              <w:widowControl w:val="0"/>
              <w:jc w:val="center"/>
              <w:rPr>
                <w:szCs w:val="21"/>
              </w:rPr>
            </w:pPr>
            <w:r>
              <w:rPr>
                <w:rFonts w:hint="eastAsia"/>
                <w:color w:val="auto"/>
              </w:rPr>
              <w:t>0</w:t>
            </w:r>
          </w:p>
        </w:tc>
        <w:tc>
          <w:tcPr>
            <w:tcW w:w="1363" w:type="dxa"/>
            <w:vAlign w:val="center"/>
          </w:tcPr>
          <w:p>
            <w:pPr>
              <w:widowControl w:val="0"/>
              <w:jc w:val="center"/>
              <w:rPr>
                <w:szCs w:val="21"/>
              </w:rPr>
            </w:pPr>
            <w:r>
              <w:rPr>
                <w:rFonts w:hint="eastAsia"/>
                <w:color w:val="auto"/>
              </w:rPr>
              <w:t>0</w:t>
            </w:r>
          </w:p>
        </w:tc>
        <w:tc>
          <w:tcPr>
            <w:tcW w:w="1217" w:type="dxa"/>
            <w:vAlign w:val="center"/>
          </w:tcPr>
          <w:p>
            <w:pPr>
              <w:widowControl w:val="0"/>
              <w:jc w:val="center"/>
              <w:rPr>
                <w:szCs w:val="21"/>
              </w:rPr>
            </w:pPr>
            <w:r>
              <w:rPr>
                <w:rFonts w:hint="eastAsia"/>
                <w:color w:val="auto"/>
              </w:rPr>
              <w:t>/</w:t>
            </w:r>
          </w:p>
        </w:tc>
        <w:tc>
          <w:tcPr>
            <w:tcW w:w="1211" w:type="dxa"/>
            <w:vMerge w:val="continue"/>
            <w:vAlign w:val="center"/>
          </w:tcPr>
          <w:p>
            <w:pPr>
              <w:widowControl w:val="0"/>
              <w:jc w:val="center"/>
              <w:rPr>
                <w:szCs w:val="21"/>
              </w:rPr>
            </w:pPr>
          </w:p>
        </w:tc>
        <w:tc>
          <w:tcPr>
            <w:tcW w:w="1211" w:type="dxa"/>
            <w:vAlign w:val="center"/>
          </w:tcPr>
          <w:p>
            <w:pPr>
              <w:widowControl w:val="0"/>
              <w:jc w:val="center"/>
              <w:rPr>
                <w:rFonts w:asciiTheme="minorHAnsi" w:hAnsiTheme="minorHAnsi" w:eastAsiaTheme="minorEastAsia" w:cstheme="minorBidi"/>
                <w:kern w:val="2"/>
                <w:szCs w:val="21"/>
                <w14:ligatures w14:val="standardContextual"/>
              </w:rPr>
            </w:pPr>
            <w:r>
              <w:rPr>
                <w:rFonts w:asciiTheme="minorHAnsi" w:hAnsiTheme="minorHAnsi" w:eastAsiaTheme="minorEastAsia" w:cstheme="minorBidi"/>
                <w:kern w:val="2"/>
                <w:szCs w:val="21"/>
                <w14:ligatures w14:val="standardContextua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118" w:type="dxa"/>
            <w:vAlign w:val="center"/>
          </w:tcPr>
          <w:p>
            <w:pPr>
              <w:widowControl w:val="0"/>
              <w:jc w:val="center"/>
              <w:rPr>
                <w:szCs w:val="21"/>
              </w:rPr>
            </w:pPr>
            <w:r>
              <w:rPr>
                <w:rFonts w:hint="eastAsia"/>
                <w:color w:val="auto"/>
              </w:rPr>
              <w:t>王为民</w:t>
            </w:r>
          </w:p>
        </w:tc>
        <w:tc>
          <w:tcPr>
            <w:tcW w:w="1203" w:type="dxa"/>
            <w:vAlign w:val="center"/>
          </w:tcPr>
          <w:p>
            <w:pPr>
              <w:widowControl w:val="0"/>
              <w:jc w:val="center"/>
              <w:rPr>
                <w:szCs w:val="21"/>
              </w:rPr>
            </w:pPr>
            <w:r>
              <w:rPr>
                <w:rFonts w:hint="eastAsia"/>
                <w:szCs w:val="21"/>
              </w:rPr>
              <w:t>董事、副总裁、财务总监（离任）</w:t>
            </w:r>
          </w:p>
        </w:tc>
        <w:tc>
          <w:tcPr>
            <w:tcW w:w="946" w:type="dxa"/>
            <w:vAlign w:val="center"/>
          </w:tcPr>
          <w:p>
            <w:pPr>
              <w:widowControl w:val="0"/>
              <w:jc w:val="center"/>
              <w:rPr>
                <w:szCs w:val="21"/>
              </w:rPr>
            </w:pPr>
            <w:r>
              <w:rPr>
                <w:rFonts w:hint="eastAsia"/>
                <w:color w:val="auto"/>
              </w:rPr>
              <w:t>男</w:t>
            </w:r>
          </w:p>
        </w:tc>
        <w:tc>
          <w:tcPr>
            <w:tcW w:w="946" w:type="dxa"/>
            <w:vAlign w:val="center"/>
          </w:tcPr>
          <w:p>
            <w:pPr>
              <w:widowControl w:val="0"/>
              <w:jc w:val="center"/>
              <w:rPr>
                <w:szCs w:val="21"/>
              </w:rPr>
            </w:pPr>
            <w:r>
              <w:rPr>
                <w:rFonts w:hint="eastAsia"/>
                <w:color w:val="auto"/>
              </w:rPr>
              <w:t>59</w:t>
            </w:r>
          </w:p>
        </w:tc>
        <w:tc>
          <w:tcPr>
            <w:tcW w:w="1248" w:type="dxa"/>
            <w:vAlign w:val="center"/>
          </w:tcPr>
          <w:p>
            <w:pPr>
              <w:widowControl w:val="0"/>
              <w:jc w:val="center"/>
              <w:rPr>
                <w:szCs w:val="21"/>
              </w:rPr>
            </w:pPr>
            <w:r>
              <w:rPr>
                <w:rFonts w:hint="eastAsia"/>
                <w:color w:val="auto"/>
              </w:rPr>
              <w:t>2021-07-16</w:t>
            </w:r>
          </w:p>
        </w:tc>
        <w:tc>
          <w:tcPr>
            <w:tcW w:w="1248" w:type="dxa"/>
            <w:vAlign w:val="center"/>
          </w:tcPr>
          <w:p>
            <w:pPr>
              <w:widowControl w:val="0"/>
              <w:jc w:val="center"/>
              <w:rPr>
                <w:szCs w:val="21"/>
              </w:rPr>
            </w:pPr>
            <w:r>
              <w:rPr>
                <w:rFonts w:hint="eastAsia"/>
                <w:color w:val="auto"/>
              </w:rPr>
              <w:t>2025-06-30</w:t>
            </w:r>
          </w:p>
        </w:tc>
        <w:tc>
          <w:tcPr>
            <w:tcW w:w="1191" w:type="dxa"/>
            <w:vAlign w:val="center"/>
          </w:tcPr>
          <w:p>
            <w:pPr>
              <w:widowControl w:val="0"/>
              <w:jc w:val="center"/>
              <w:rPr>
                <w:szCs w:val="21"/>
              </w:rPr>
            </w:pPr>
            <w:r>
              <w:rPr>
                <w:rFonts w:hint="eastAsia"/>
                <w:color w:val="auto"/>
              </w:rPr>
              <w:t>35,000</w:t>
            </w:r>
          </w:p>
        </w:tc>
        <w:tc>
          <w:tcPr>
            <w:tcW w:w="1180" w:type="dxa"/>
            <w:vAlign w:val="center"/>
          </w:tcPr>
          <w:p>
            <w:pPr>
              <w:widowControl w:val="0"/>
              <w:jc w:val="center"/>
              <w:rPr>
                <w:szCs w:val="21"/>
              </w:rPr>
            </w:pPr>
            <w:r>
              <w:rPr>
                <w:rFonts w:hint="eastAsia"/>
                <w:color w:val="auto"/>
              </w:rPr>
              <w:t>35,000</w:t>
            </w:r>
          </w:p>
        </w:tc>
        <w:tc>
          <w:tcPr>
            <w:tcW w:w="1363" w:type="dxa"/>
            <w:vAlign w:val="center"/>
          </w:tcPr>
          <w:p>
            <w:pPr>
              <w:widowControl w:val="0"/>
              <w:jc w:val="center"/>
              <w:rPr>
                <w:szCs w:val="21"/>
              </w:rPr>
            </w:pPr>
            <w:r>
              <w:rPr>
                <w:rFonts w:hint="eastAsia"/>
                <w:color w:val="auto"/>
              </w:rPr>
              <w:t>0</w:t>
            </w:r>
          </w:p>
        </w:tc>
        <w:tc>
          <w:tcPr>
            <w:tcW w:w="1217" w:type="dxa"/>
            <w:vAlign w:val="center"/>
          </w:tcPr>
          <w:p>
            <w:pPr>
              <w:widowControl w:val="0"/>
              <w:jc w:val="center"/>
              <w:rPr>
                <w:szCs w:val="21"/>
              </w:rPr>
            </w:pPr>
            <w:r>
              <w:rPr>
                <w:rFonts w:hint="eastAsia"/>
                <w:color w:val="auto"/>
              </w:rPr>
              <w:t>/</w:t>
            </w:r>
          </w:p>
        </w:tc>
        <w:tc>
          <w:tcPr>
            <w:tcW w:w="1211" w:type="dxa"/>
            <w:vAlign w:val="center"/>
          </w:tcPr>
          <w:p>
            <w:pPr>
              <w:widowControl w:val="0"/>
              <w:jc w:val="center"/>
              <w:rPr>
                <w:szCs w:val="21"/>
              </w:rPr>
            </w:pPr>
            <w:r>
              <w:rPr>
                <w:rStyle w:val="71"/>
                <w:rFonts w:hint="eastAsia"/>
                <w:color w:val="auto"/>
              </w:rPr>
              <w:t>23.90</w:t>
            </w:r>
          </w:p>
        </w:tc>
        <w:tc>
          <w:tcPr>
            <w:tcW w:w="1211" w:type="dxa"/>
            <w:vAlign w:val="center"/>
          </w:tcPr>
          <w:p>
            <w:pPr>
              <w:widowControl w:val="0"/>
              <w:jc w:val="center"/>
              <w:rPr>
                <w:rFonts w:asciiTheme="minorHAnsi" w:hAnsiTheme="minorHAnsi" w:eastAsiaTheme="minorEastAsia" w:cstheme="minorBidi"/>
                <w:kern w:val="2"/>
                <w:szCs w:val="21"/>
                <w14:ligatures w14:val="standardContextual"/>
              </w:rPr>
            </w:pPr>
            <w:r>
              <w:rPr>
                <w:rFonts w:asciiTheme="minorHAnsi" w:hAnsiTheme="minorHAnsi" w:eastAsiaTheme="minorEastAsia" w:cstheme="minorBidi"/>
                <w:kern w:val="2"/>
                <w:szCs w:val="21"/>
                <w14:ligatures w14:val="standardContextua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118" w:type="dxa"/>
            <w:vAlign w:val="center"/>
          </w:tcPr>
          <w:p>
            <w:pPr>
              <w:widowControl w:val="0"/>
              <w:jc w:val="center"/>
              <w:rPr>
                <w:szCs w:val="21"/>
              </w:rPr>
            </w:pPr>
            <w:r>
              <w:rPr>
                <w:rFonts w:hint="eastAsia"/>
                <w:color w:val="auto"/>
              </w:rPr>
              <w:t>熊剑峰</w:t>
            </w:r>
          </w:p>
        </w:tc>
        <w:tc>
          <w:tcPr>
            <w:tcW w:w="1203" w:type="dxa"/>
            <w:vAlign w:val="center"/>
          </w:tcPr>
          <w:p>
            <w:pPr>
              <w:widowControl w:val="0"/>
              <w:jc w:val="center"/>
              <w:rPr>
                <w:szCs w:val="21"/>
              </w:rPr>
            </w:pPr>
            <w:r>
              <w:rPr>
                <w:rFonts w:hint="eastAsia"/>
                <w:szCs w:val="21"/>
              </w:rPr>
              <w:t>副总裁</w:t>
            </w:r>
          </w:p>
        </w:tc>
        <w:tc>
          <w:tcPr>
            <w:tcW w:w="946" w:type="dxa"/>
            <w:vAlign w:val="center"/>
          </w:tcPr>
          <w:p>
            <w:pPr>
              <w:widowControl w:val="0"/>
              <w:jc w:val="center"/>
              <w:rPr>
                <w:szCs w:val="21"/>
              </w:rPr>
            </w:pPr>
            <w:r>
              <w:rPr>
                <w:rFonts w:hint="eastAsia"/>
                <w:color w:val="auto"/>
              </w:rPr>
              <w:t>男</w:t>
            </w:r>
          </w:p>
        </w:tc>
        <w:tc>
          <w:tcPr>
            <w:tcW w:w="946" w:type="dxa"/>
            <w:vAlign w:val="center"/>
          </w:tcPr>
          <w:p>
            <w:pPr>
              <w:widowControl w:val="0"/>
              <w:jc w:val="center"/>
              <w:rPr>
                <w:szCs w:val="21"/>
              </w:rPr>
            </w:pPr>
            <w:r>
              <w:rPr>
                <w:rFonts w:hint="eastAsia"/>
                <w:color w:val="auto"/>
              </w:rPr>
              <w:t>41</w:t>
            </w:r>
          </w:p>
        </w:tc>
        <w:tc>
          <w:tcPr>
            <w:tcW w:w="1248" w:type="dxa"/>
            <w:vAlign w:val="center"/>
          </w:tcPr>
          <w:p>
            <w:pPr>
              <w:widowControl w:val="0"/>
              <w:jc w:val="center"/>
              <w:rPr>
                <w:szCs w:val="21"/>
              </w:rPr>
            </w:pPr>
            <w:r>
              <w:rPr>
                <w:rFonts w:hint="eastAsia"/>
                <w:color w:val="auto"/>
              </w:rPr>
              <w:t>2025-02-11</w:t>
            </w:r>
          </w:p>
        </w:tc>
        <w:tc>
          <w:tcPr>
            <w:tcW w:w="1248" w:type="dxa"/>
            <w:vAlign w:val="center"/>
          </w:tcPr>
          <w:p>
            <w:pPr>
              <w:widowControl w:val="0"/>
              <w:jc w:val="center"/>
              <w:rPr>
                <w:szCs w:val="21"/>
              </w:rPr>
            </w:pPr>
            <w:r>
              <w:rPr>
                <w:rFonts w:hint="eastAsia"/>
                <w:color w:val="auto"/>
              </w:rPr>
              <w:t>2029-02-02</w:t>
            </w:r>
          </w:p>
        </w:tc>
        <w:tc>
          <w:tcPr>
            <w:tcW w:w="1191" w:type="dxa"/>
            <w:vAlign w:val="center"/>
          </w:tcPr>
          <w:p>
            <w:pPr>
              <w:widowControl w:val="0"/>
              <w:jc w:val="center"/>
              <w:rPr>
                <w:szCs w:val="21"/>
              </w:rPr>
            </w:pPr>
            <w:r>
              <w:rPr>
                <w:rFonts w:hint="eastAsia"/>
                <w:color w:val="auto"/>
              </w:rPr>
              <w:t>0</w:t>
            </w:r>
          </w:p>
        </w:tc>
        <w:tc>
          <w:tcPr>
            <w:tcW w:w="1180" w:type="dxa"/>
            <w:vAlign w:val="center"/>
          </w:tcPr>
          <w:p>
            <w:pPr>
              <w:widowControl w:val="0"/>
              <w:jc w:val="center"/>
              <w:rPr>
                <w:szCs w:val="21"/>
              </w:rPr>
            </w:pPr>
            <w:r>
              <w:rPr>
                <w:rFonts w:hint="eastAsia"/>
                <w:color w:val="auto"/>
              </w:rPr>
              <w:t>0</w:t>
            </w:r>
          </w:p>
        </w:tc>
        <w:tc>
          <w:tcPr>
            <w:tcW w:w="1363" w:type="dxa"/>
            <w:vAlign w:val="center"/>
          </w:tcPr>
          <w:p>
            <w:pPr>
              <w:widowControl w:val="0"/>
              <w:jc w:val="center"/>
              <w:rPr>
                <w:szCs w:val="21"/>
              </w:rPr>
            </w:pPr>
            <w:r>
              <w:rPr>
                <w:rFonts w:hint="eastAsia"/>
                <w:color w:val="auto"/>
              </w:rPr>
              <w:t>0</w:t>
            </w:r>
          </w:p>
        </w:tc>
        <w:tc>
          <w:tcPr>
            <w:tcW w:w="1217" w:type="dxa"/>
            <w:vAlign w:val="center"/>
          </w:tcPr>
          <w:p>
            <w:pPr>
              <w:widowControl w:val="0"/>
              <w:jc w:val="center"/>
              <w:rPr>
                <w:szCs w:val="21"/>
              </w:rPr>
            </w:pPr>
            <w:r>
              <w:rPr>
                <w:rFonts w:hint="eastAsia"/>
                <w:color w:val="auto"/>
              </w:rPr>
              <w:t>/</w:t>
            </w:r>
          </w:p>
        </w:tc>
        <w:tc>
          <w:tcPr>
            <w:tcW w:w="1211" w:type="dxa"/>
            <w:vAlign w:val="center"/>
          </w:tcPr>
          <w:p>
            <w:pPr>
              <w:widowControl w:val="0"/>
              <w:jc w:val="center"/>
              <w:rPr>
                <w:szCs w:val="21"/>
              </w:rPr>
            </w:pPr>
            <w:r>
              <w:rPr>
                <w:rStyle w:val="71"/>
                <w:rFonts w:hint="eastAsia"/>
                <w:color w:val="auto"/>
              </w:rPr>
              <w:t>20.20</w:t>
            </w:r>
          </w:p>
        </w:tc>
        <w:tc>
          <w:tcPr>
            <w:tcW w:w="1211" w:type="dxa"/>
            <w:vAlign w:val="center"/>
          </w:tcPr>
          <w:p>
            <w:pPr>
              <w:widowControl w:val="0"/>
              <w:jc w:val="center"/>
              <w:rPr>
                <w:rFonts w:asciiTheme="minorHAnsi" w:hAnsiTheme="minorHAnsi" w:eastAsiaTheme="minorEastAsia" w:cstheme="minorBidi"/>
                <w:kern w:val="2"/>
                <w:szCs w:val="21"/>
                <w14:ligatures w14:val="standardContextual"/>
              </w:rPr>
            </w:pPr>
            <w:r>
              <w:rPr>
                <w:rFonts w:asciiTheme="minorHAnsi" w:hAnsiTheme="minorHAnsi" w:eastAsiaTheme="minorEastAsia" w:cstheme="minorBidi"/>
                <w:kern w:val="2"/>
                <w:szCs w:val="21"/>
                <w14:ligatures w14:val="standardContextua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118" w:type="dxa"/>
            <w:vAlign w:val="center"/>
          </w:tcPr>
          <w:p>
            <w:pPr>
              <w:widowControl w:val="0"/>
              <w:jc w:val="center"/>
              <w:rPr>
                <w:szCs w:val="21"/>
              </w:rPr>
            </w:pPr>
            <w:r>
              <w:rPr>
                <w:rFonts w:hint="eastAsia"/>
                <w:color w:val="auto"/>
              </w:rPr>
              <w:t>孙雪东</w:t>
            </w:r>
          </w:p>
        </w:tc>
        <w:tc>
          <w:tcPr>
            <w:tcW w:w="1203" w:type="dxa"/>
            <w:vAlign w:val="center"/>
          </w:tcPr>
          <w:p>
            <w:pPr>
              <w:widowControl w:val="0"/>
              <w:jc w:val="center"/>
              <w:rPr>
                <w:szCs w:val="21"/>
              </w:rPr>
            </w:pPr>
            <w:r>
              <w:rPr>
                <w:rFonts w:hint="eastAsia"/>
                <w:szCs w:val="21"/>
              </w:rPr>
              <w:t>董事</w:t>
            </w:r>
          </w:p>
        </w:tc>
        <w:tc>
          <w:tcPr>
            <w:tcW w:w="946" w:type="dxa"/>
            <w:vAlign w:val="center"/>
          </w:tcPr>
          <w:p>
            <w:pPr>
              <w:widowControl w:val="0"/>
              <w:jc w:val="center"/>
              <w:rPr>
                <w:szCs w:val="21"/>
              </w:rPr>
            </w:pPr>
            <w:r>
              <w:rPr>
                <w:rFonts w:hint="eastAsia"/>
                <w:color w:val="auto"/>
              </w:rPr>
              <w:t>男</w:t>
            </w:r>
          </w:p>
        </w:tc>
        <w:tc>
          <w:tcPr>
            <w:tcW w:w="946" w:type="dxa"/>
            <w:vAlign w:val="center"/>
          </w:tcPr>
          <w:p>
            <w:pPr>
              <w:widowControl w:val="0"/>
              <w:jc w:val="center"/>
              <w:rPr>
                <w:szCs w:val="21"/>
              </w:rPr>
            </w:pPr>
            <w:r>
              <w:rPr>
                <w:rFonts w:hint="eastAsia"/>
                <w:color w:val="auto"/>
              </w:rPr>
              <w:t>50</w:t>
            </w:r>
          </w:p>
        </w:tc>
        <w:tc>
          <w:tcPr>
            <w:tcW w:w="1248" w:type="dxa"/>
            <w:vAlign w:val="center"/>
          </w:tcPr>
          <w:p>
            <w:pPr>
              <w:widowControl w:val="0"/>
              <w:jc w:val="center"/>
              <w:rPr>
                <w:szCs w:val="21"/>
              </w:rPr>
            </w:pPr>
            <w:r>
              <w:rPr>
                <w:rFonts w:hint="eastAsia"/>
                <w:color w:val="auto"/>
              </w:rPr>
              <w:t>2022-06-24</w:t>
            </w:r>
          </w:p>
        </w:tc>
        <w:tc>
          <w:tcPr>
            <w:tcW w:w="1248" w:type="dxa"/>
            <w:vAlign w:val="center"/>
          </w:tcPr>
          <w:p>
            <w:pPr>
              <w:widowControl w:val="0"/>
              <w:jc w:val="center"/>
              <w:rPr>
                <w:szCs w:val="21"/>
              </w:rPr>
            </w:pPr>
            <w:r>
              <w:rPr>
                <w:rFonts w:hint="eastAsia"/>
                <w:color w:val="auto"/>
              </w:rPr>
              <w:t>2029-02-02</w:t>
            </w:r>
          </w:p>
        </w:tc>
        <w:tc>
          <w:tcPr>
            <w:tcW w:w="1191" w:type="dxa"/>
            <w:vAlign w:val="center"/>
          </w:tcPr>
          <w:p>
            <w:pPr>
              <w:widowControl w:val="0"/>
              <w:jc w:val="center"/>
              <w:rPr>
                <w:szCs w:val="21"/>
              </w:rPr>
            </w:pPr>
            <w:r>
              <w:rPr>
                <w:rFonts w:hint="eastAsia"/>
                <w:color w:val="auto"/>
              </w:rPr>
              <w:t>0</w:t>
            </w:r>
          </w:p>
        </w:tc>
        <w:tc>
          <w:tcPr>
            <w:tcW w:w="1180" w:type="dxa"/>
            <w:vAlign w:val="center"/>
          </w:tcPr>
          <w:p>
            <w:pPr>
              <w:widowControl w:val="0"/>
              <w:jc w:val="center"/>
              <w:rPr>
                <w:szCs w:val="21"/>
              </w:rPr>
            </w:pPr>
            <w:r>
              <w:rPr>
                <w:rFonts w:hint="eastAsia"/>
                <w:color w:val="auto"/>
              </w:rPr>
              <w:t>0</w:t>
            </w:r>
          </w:p>
        </w:tc>
        <w:tc>
          <w:tcPr>
            <w:tcW w:w="1363" w:type="dxa"/>
            <w:vAlign w:val="center"/>
          </w:tcPr>
          <w:p>
            <w:pPr>
              <w:widowControl w:val="0"/>
              <w:jc w:val="center"/>
              <w:rPr>
                <w:szCs w:val="21"/>
              </w:rPr>
            </w:pPr>
            <w:r>
              <w:rPr>
                <w:rFonts w:hint="eastAsia"/>
                <w:color w:val="auto"/>
              </w:rPr>
              <w:t>0</w:t>
            </w:r>
          </w:p>
        </w:tc>
        <w:tc>
          <w:tcPr>
            <w:tcW w:w="1217" w:type="dxa"/>
            <w:vAlign w:val="center"/>
          </w:tcPr>
          <w:p>
            <w:pPr>
              <w:widowControl w:val="0"/>
              <w:jc w:val="center"/>
              <w:rPr>
                <w:szCs w:val="21"/>
              </w:rPr>
            </w:pPr>
            <w:r>
              <w:rPr>
                <w:rFonts w:hint="eastAsia"/>
                <w:color w:val="auto"/>
              </w:rPr>
              <w:t>/</w:t>
            </w:r>
          </w:p>
        </w:tc>
        <w:tc>
          <w:tcPr>
            <w:tcW w:w="1211" w:type="dxa"/>
            <w:vAlign w:val="center"/>
          </w:tcPr>
          <w:p>
            <w:pPr>
              <w:widowControl w:val="0"/>
              <w:jc w:val="center"/>
              <w:rPr>
                <w:szCs w:val="21"/>
              </w:rPr>
            </w:pPr>
            <w:r>
              <w:rPr>
                <w:rStyle w:val="71"/>
                <w:rFonts w:hint="eastAsia"/>
                <w:color w:val="auto"/>
              </w:rPr>
              <w:t>0</w:t>
            </w:r>
          </w:p>
        </w:tc>
        <w:tc>
          <w:tcPr>
            <w:tcW w:w="1211" w:type="dxa"/>
            <w:vAlign w:val="center"/>
          </w:tcPr>
          <w:p>
            <w:pPr>
              <w:widowControl w:val="0"/>
              <w:jc w:val="center"/>
              <w:rPr>
                <w:rFonts w:asciiTheme="minorHAnsi" w:hAnsiTheme="minorHAnsi" w:eastAsiaTheme="minorEastAsia" w:cstheme="minorBidi"/>
                <w:kern w:val="2"/>
                <w:szCs w:val="21"/>
                <w14:ligatures w14:val="standardContextual"/>
              </w:rPr>
            </w:pPr>
            <w:r>
              <w:rPr>
                <w:rFonts w:asciiTheme="minorHAnsi" w:hAnsiTheme="minorHAnsi" w:eastAsiaTheme="minorEastAsia" w:cstheme="minorBidi"/>
                <w:kern w:val="2"/>
                <w:szCs w:val="21"/>
                <w14:ligatures w14:val="standardContextua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118" w:type="dxa"/>
            <w:vAlign w:val="center"/>
          </w:tcPr>
          <w:p>
            <w:pPr>
              <w:widowControl w:val="0"/>
              <w:jc w:val="center"/>
              <w:rPr>
                <w:szCs w:val="21"/>
              </w:rPr>
            </w:pPr>
            <w:r>
              <w:rPr>
                <w:rFonts w:hint="eastAsia"/>
                <w:color w:val="auto"/>
              </w:rPr>
              <w:t>刘瑰</w:t>
            </w:r>
          </w:p>
        </w:tc>
        <w:tc>
          <w:tcPr>
            <w:tcW w:w="1203" w:type="dxa"/>
            <w:vAlign w:val="center"/>
          </w:tcPr>
          <w:p>
            <w:pPr>
              <w:widowControl w:val="0"/>
              <w:jc w:val="center"/>
              <w:rPr>
                <w:szCs w:val="21"/>
              </w:rPr>
            </w:pPr>
            <w:r>
              <w:rPr>
                <w:rFonts w:hint="eastAsia"/>
                <w:szCs w:val="21"/>
              </w:rPr>
              <w:t>董事</w:t>
            </w:r>
          </w:p>
        </w:tc>
        <w:tc>
          <w:tcPr>
            <w:tcW w:w="946" w:type="dxa"/>
            <w:vAlign w:val="center"/>
          </w:tcPr>
          <w:p>
            <w:pPr>
              <w:widowControl w:val="0"/>
              <w:jc w:val="center"/>
              <w:rPr>
                <w:szCs w:val="21"/>
              </w:rPr>
            </w:pPr>
            <w:r>
              <w:rPr>
                <w:rFonts w:hint="eastAsia"/>
                <w:color w:val="auto"/>
              </w:rPr>
              <w:t>男</w:t>
            </w:r>
          </w:p>
        </w:tc>
        <w:tc>
          <w:tcPr>
            <w:tcW w:w="946" w:type="dxa"/>
            <w:vAlign w:val="center"/>
          </w:tcPr>
          <w:p>
            <w:pPr>
              <w:widowControl w:val="0"/>
              <w:jc w:val="center"/>
              <w:rPr>
                <w:szCs w:val="21"/>
              </w:rPr>
            </w:pPr>
            <w:r>
              <w:rPr>
                <w:rFonts w:hint="eastAsia"/>
                <w:color w:val="auto"/>
              </w:rPr>
              <w:t>41</w:t>
            </w:r>
          </w:p>
        </w:tc>
        <w:tc>
          <w:tcPr>
            <w:tcW w:w="1248" w:type="dxa"/>
            <w:vAlign w:val="center"/>
          </w:tcPr>
          <w:p>
            <w:pPr>
              <w:widowControl w:val="0"/>
              <w:jc w:val="center"/>
              <w:rPr>
                <w:szCs w:val="21"/>
              </w:rPr>
            </w:pPr>
            <w:r>
              <w:rPr>
                <w:rFonts w:hint="eastAsia"/>
                <w:color w:val="auto"/>
              </w:rPr>
              <w:t>2026-02-03</w:t>
            </w:r>
          </w:p>
        </w:tc>
        <w:tc>
          <w:tcPr>
            <w:tcW w:w="1248" w:type="dxa"/>
            <w:vAlign w:val="center"/>
          </w:tcPr>
          <w:p>
            <w:pPr>
              <w:widowControl w:val="0"/>
              <w:jc w:val="center"/>
              <w:rPr>
                <w:szCs w:val="21"/>
              </w:rPr>
            </w:pPr>
            <w:r>
              <w:rPr>
                <w:rFonts w:hint="eastAsia"/>
                <w:color w:val="auto"/>
              </w:rPr>
              <w:t>2029-02-02</w:t>
            </w:r>
          </w:p>
        </w:tc>
        <w:tc>
          <w:tcPr>
            <w:tcW w:w="1191" w:type="dxa"/>
            <w:vAlign w:val="center"/>
          </w:tcPr>
          <w:p>
            <w:pPr>
              <w:widowControl w:val="0"/>
              <w:jc w:val="center"/>
              <w:rPr>
                <w:szCs w:val="21"/>
              </w:rPr>
            </w:pPr>
            <w:r>
              <w:rPr>
                <w:rFonts w:hint="eastAsia"/>
                <w:color w:val="auto"/>
              </w:rPr>
              <w:t>0</w:t>
            </w:r>
          </w:p>
        </w:tc>
        <w:tc>
          <w:tcPr>
            <w:tcW w:w="1180" w:type="dxa"/>
            <w:vAlign w:val="center"/>
          </w:tcPr>
          <w:p>
            <w:pPr>
              <w:widowControl w:val="0"/>
              <w:jc w:val="center"/>
              <w:rPr>
                <w:szCs w:val="21"/>
              </w:rPr>
            </w:pPr>
            <w:r>
              <w:rPr>
                <w:rFonts w:hint="eastAsia"/>
                <w:color w:val="auto"/>
              </w:rPr>
              <w:t>0</w:t>
            </w:r>
          </w:p>
        </w:tc>
        <w:tc>
          <w:tcPr>
            <w:tcW w:w="1363" w:type="dxa"/>
            <w:vAlign w:val="center"/>
          </w:tcPr>
          <w:p>
            <w:pPr>
              <w:widowControl w:val="0"/>
              <w:jc w:val="center"/>
              <w:rPr>
                <w:szCs w:val="21"/>
              </w:rPr>
            </w:pPr>
            <w:r>
              <w:rPr>
                <w:rFonts w:hint="eastAsia"/>
                <w:color w:val="auto"/>
              </w:rPr>
              <w:t>0</w:t>
            </w:r>
          </w:p>
        </w:tc>
        <w:tc>
          <w:tcPr>
            <w:tcW w:w="1217" w:type="dxa"/>
            <w:vAlign w:val="center"/>
          </w:tcPr>
          <w:p>
            <w:pPr>
              <w:widowControl w:val="0"/>
              <w:jc w:val="center"/>
              <w:rPr>
                <w:szCs w:val="21"/>
              </w:rPr>
            </w:pPr>
            <w:r>
              <w:rPr>
                <w:rFonts w:hint="eastAsia"/>
                <w:color w:val="auto"/>
              </w:rPr>
              <w:t>/</w:t>
            </w:r>
          </w:p>
        </w:tc>
        <w:tc>
          <w:tcPr>
            <w:tcW w:w="1211" w:type="dxa"/>
            <w:vAlign w:val="center"/>
          </w:tcPr>
          <w:p>
            <w:pPr>
              <w:widowControl w:val="0"/>
              <w:jc w:val="center"/>
              <w:rPr>
                <w:szCs w:val="21"/>
              </w:rPr>
            </w:pPr>
            <w:r>
              <w:rPr>
                <w:rStyle w:val="71"/>
                <w:rFonts w:hint="eastAsia"/>
                <w:color w:val="auto"/>
              </w:rPr>
              <w:t>/</w:t>
            </w:r>
          </w:p>
        </w:tc>
        <w:tc>
          <w:tcPr>
            <w:tcW w:w="1211" w:type="dxa"/>
            <w:vAlign w:val="center"/>
          </w:tcPr>
          <w:p>
            <w:pPr>
              <w:widowControl w:val="0"/>
              <w:jc w:val="center"/>
              <w:rPr>
                <w:rFonts w:asciiTheme="minorHAnsi" w:hAnsiTheme="minorHAnsi" w:eastAsiaTheme="minorEastAsia" w:cstheme="minorBidi"/>
                <w:kern w:val="2"/>
                <w:szCs w:val="21"/>
                <w14:ligatures w14:val="standardContextual"/>
              </w:rPr>
            </w:pPr>
            <w:r>
              <w:rPr>
                <w:rFonts w:asciiTheme="minorHAnsi" w:hAnsiTheme="minorHAnsi" w:eastAsiaTheme="minorEastAsia" w:cstheme="minorBidi"/>
                <w:kern w:val="2"/>
                <w:szCs w:val="21"/>
                <w14:ligatures w14:val="standardContextua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118" w:type="dxa"/>
            <w:vAlign w:val="center"/>
          </w:tcPr>
          <w:p>
            <w:pPr>
              <w:widowControl w:val="0"/>
              <w:jc w:val="center"/>
              <w:rPr>
                <w:szCs w:val="21"/>
              </w:rPr>
            </w:pPr>
            <w:r>
              <w:rPr>
                <w:rFonts w:hint="eastAsia"/>
                <w:color w:val="auto"/>
              </w:rPr>
              <w:t>唐 鹏</w:t>
            </w:r>
          </w:p>
        </w:tc>
        <w:tc>
          <w:tcPr>
            <w:tcW w:w="1203" w:type="dxa"/>
            <w:vAlign w:val="center"/>
          </w:tcPr>
          <w:p>
            <w:pPr>
              <w:widowControl w:val="0"/>
              <w:jc w:val="center"/>
              <w:rPr>
                <w:szCs w:val="21"/>
              </w:rPr>
            </w:pPr>
            <w:r>
              <w:rPr>
                <w:rFonts w:hint="eastAsia"/>
                <w:szCs w:val="21"/>
              </w:rPr>
              <w:t>职工董事（离任）</w:t>
            </w:r>
          </w:p>
        </w:tc>
        <w:tc>
          <w:tcPr>
            <w:tcW w:w="946" w:type="dxa"/>
            <w:vAlign w:val="center"/>
          </w:tcPr>
          <w:p>
            <w:pPr>
              <w:widowControl w:val="0"/>
              <w:jc w:val="center"/>
              <w:rPr>
                <w:szCs w:val="21"/>
              </w:rPr>
            </w:pPr>
            <w:r>
              <w:rPr>
                <w:rFonts w:hint="eastAsia"/>
                <w:color w:val="auto"/>
              </w:rPr>
              <w:t>男</w:t>
            </w:r>
          </w:p>
        </w:tc>
        <w:tc>
          <w:tcPr>
            <w:tcW w:w="946" w:type="dxa"/>
            <w:vAlign w:val="center"/>
          </w:tcPr>
          <w:p>
            <w:pPr>
              <w:widowControl w:val="0"/>
              <w:jc w:val="center"/>
              <w:rPr>
                <w:szCs w:val="21"/>
              </w:rPr>
            </w:pPr>
            <w:r>
              <w:rPr>
                <w:rFonts w:hint="eastAsia"/>
                <w:color w:val="auto"/>
              </w:rPr>
              <w:t>49</w:t>
            </w:r>
          </w:p>
        </w:tc>
        <w:tc>
          <w:tcPr>
            <w:tcW w:w="1248" w:type="dxa"/>
            <w:vAlign w:val="center"/>
          </w:tcPr>
          <w:p>
            <w:pPr>
              <w:widowControl w:val="0"/>
              <w:jc w:val="center"/>
              <w:rPr>
                <w:szCs w:val="21"/>
              </w:rPr>
            </w:pPr>
            <w:r>
              <w:rPr>
                <w:rFonts w:hint="eastAsia"/>
                <w:color w:val="auto"/>
              </w:rPr>
              <w:t>2021-07-16</w:t>
            </w:r>
          </w:p>
        </w:tc>
        <w:tc>
          <w:tcPr>
            <w:tcW w:w="1248" w:type="dxa"/>
            <w:vAlign w:val="center"/>
          </w:tcPr>
          <w:p>
            <w:pPr>
              <w:widowControl w:val="0"/>
              <w:jc w:val="center"/>
              <w:rPr>
                <w:szCs w:val="21"/>
              </w:rPr>
            </w:pPr>
            <w:r>
              <w:rPr>
                <w:rFonts w:hint="eastAsia"/>
                <w:color w:val="auto"/>
              </w:rPr>
              <w:t>2026-02-03</w:t>
            </w:r>
          </w:p>
        </w:tc>
        <w:tc>
          <w:tcPr>
            <w:tcW w:w="1191" w:type="dxa"/>
            <w:vAlign w:val="center"/>
          </w:tcPr>
          <w:p>
            <w:pPr>
              <w:widowControl w:val="0"/>
              <w:jc w:val="center"/>
              <w:rPr>
                <w:szCs w:val="21"/>
              </w:rPr>
            </w:pPr>
            <w:r>
              <w:rPr>
                <w:rFonts w:hint="eastAsia"/>
                <w:color w:val="auto"/>
              </w:rPr>
              <w:t>0</w:t>
            </w:r>
          </w:p>
        </w:tc>
        <w:tc>
          <w:tcPr>
            <w:tcW w:w="1180" w:type="dxa"/>
            <w:vAlign w:val="center"/>
          </w:tcPr>
          <w:p>
            <w:pPr>
              <w:widowControl w:val="0"/>
              <w:jc w:val="center"/>
              <w:rPr>
                <w:szCs w:val="21"/>
              </w:rPr>
            </w:pPr>
            <w:r>
              <w:rPr>
                <w:rFonts w:hint="eastAsia"/>
                <w:color w:val="auto"/>
              </w:rPr>
              <w:t>0</w:t>
            </w:r>
          </w:p>
        </w:tc>
        <w:tc>
          <w:tcPr>
            <w:tcW w:w="1363" w:type="dxa"/>
            <w:vAlign w:val="center"/>
          </w:tcPr>
          <w:p>
            <w:pPr>
              <w:widowControl w:val="0"/>
              <w:jc w:val="center"/>
              <w:rPr>
                <w:szCs w:val="21"/>
              </w:rPr>
            </w:pPr>
            <w:r>
              <w:rPr>
                <w:rFonts w:hint="eastAsia"/>
                <w:color w:val="auto"/>
              </w:rPr>
              <w:t>0</w:t>
            </w:r>
          </w:p>
        </w:tc>
        <w:tc>
          <w:tcPr>
            <w:tcW w:w="1217" w:type="dxa"/>
            <w:vAlign w:val="center"/>
          </w:tcPr>
          <w:p>
            <w:pPr>
              <w:widowControl w:val="0"/>
              <w:jc w:val="center"/>
              <w:rPr>
                <w:szCs w:val="21"/>
              </w:rPr>
            </w:pPr>
            <w:r>
              <w:rPr>
                <w:rFonts w:hint="eastAsia"/>
                <w:color w:val="auto"/>
              </w:rPr>
              <w:t>/</w:t>
            </w:r>
          </w:p>
        </w:tc>
        <w:tc>
          <w:tcPr>
            <w:tcW w:w="1211" w:type="dxa"/>
            <w:vAlign w:val="center"/>
          </w:tcPr>
          <w:p>
            <w:pPr>
              <w:widowControl w:val="0"/>
              <w:jc w:val="center"/>
              <w:rPr>
                <w:szCs w:val="21"/>
              </w:rPr>
            </w:pPr>
            <w:r>
              <w:rPr>
                <w:rStyle w:val="71"/>
                <w:rFonts w:hint="eastAsia"/>
                <w:color w:val="auto"/>
              </w:rPr>
              <w:t>15.69</w:t>
            </w:r>
          </w:p>
        </w:tc>
        <w:tc>
          <w:tcPr>
            <w:tcW w:w="1211" w:type="dxa"/>
            <w:vAlign w:val="center"/>
          </w:tcPr>
          <w:p>
            <w:pPr>
              <w:widowControl w:val="0"/>
              <w:jc w:val="center"/>
              <w:rPr>
                <w:rFonts w:asciiTheme="minorHAnsi" w:hAnsiTheme="minorHAnsi" w:eastAsiaTheme="minorEastAsia" w:cstheme="minorBidi"/>
                <w:kern w:val="2"/>
                <w:szCs w:val="21"/>
                <w14:ligatures w14:val="standardContextual"/>
              </w:rPr>
            </w:pPr>
            <w:r>
              <w:rPr>
                <w:rFonts w:asciiTheme="minorHAnsi" w:hAnsiTheme="minorHAnsi" w:eastAsiaTheme="minorEastAsia" w:cstheme="minorBidi"/>
                <w:kern w:val="2"/>
                <w:szCs w:val="21"/>
                <w14:ligatures w14:val="standardContextua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118" w:type="dxa"/>
            <w:vAlign w:val="center"/>
          </w:tcPr>
          <w:p>
            <w:pPr>
              <w:widowControl w:val="0"/>
              <w:jc w:val="center"/>
              <w:rPr>
                <w:szCs w:val="21"/>
              </w:rPr>
            </w:pPr>
            <w:r>
              <w:rPr>
                <w:rFonts w:hint="eastAsia"/>
                <w:color w:val="auto"/>
              </w:rPr>
              <w:t>俞鹃</w:t>
            </w:r>
          </w:p>
        </w:tc>
        <w:tc>
          <w:tcPr>
            <w:tcW w:w="1203" w:type="dxa"/>
            <w:vAlign w:val="center"/>
          </w:tcPr>
          <w:p>
            <w:pPr>
              <w:widowControl w:val="0"/>
              <w:jc w:val="center"/>
              <w:rPr>
                <w:szCs w:val="21"/>
              </w:rPr>
            </w:pPr>
            <w:r>
              <w:rPr>
                <w:rFonts w:hint="eastAsia"/>
                <w:szCs w:val="21"/>
              </w:rPr>
              <w:t>职工董事</w:t>
            </w:r>
          </w:p>
        </w:tc>
        <w:tc>
          <w:tcPr>
            <w:tcW w:w="946" w:type="dxa"/>
            <w:vAlign w:val="center"/>
          </w:tcPr>
          <w:p>
            <w:pPr>
              <w:widowControl w:val="0"/>
              <w:jc w:val="center"/>
              <w:rPr>
                <w:szCs w:val="21"/>
              </w:rPr>
            </w:pPr>
            <w:r>
              <w:rPr>
                <w:rFonts w:hint="eastAsia"/>
                <w:color w:val="auto"/>
              </w:rPr>
              <w:t>女</w:t>
            </w:r>
          </w:p>
        </w:tc>
        <w:tc>
          <w:tcPr>
            <w:tcW w:w="946" w:type="dxa"/>
            <w:vAlign w:val="center"/>
          </w:tcPr>
          <w:p>
            <w:pPr>
              <w:widowControl w:val="0"/>
              <w:jc w:val="center"/>
              <w:rPr>
                <w:szCs w:val="21"/>
              </w:rPr>
            </w:pPr>
            <w:r>
              <w:rPr>
                <w:rFonts w:hint="eastAsia"/>
                <w:color w:val="auto"/>
              </w:rPr>
              <w:t>46</w:t>
            </w:r>
          </w:p>
        </w:tc>
        <w:tc>
          <w:tcPr>
            <w:tcW w:w="1248" w:type="dxa"/>
            <w:vAlign w:val="center"/>
          </w:tcPr>
          <w:p>
            <w:pPr>
              <w:widowControl w:val="0"/>
              <w:jc w:val="center"/>
              <w:rPr>
                <w:szCs w:val="21"/>
              </w:rPr>
            </w:pPr>
            <w:r>
              <w:rPr>
                <w:rFonts w:hint="eastAsia"/>
                <w:color w:val="auto"/>
              </w:rPr>
              <w:t>2026-02-03</w:t>
            </w:r>
          </w:p>
        </w:tc>
        <w:tc>
          <w:tcPr>
            <w:tcW w:w="1248" w:type="dxa"/>
            <w:vAlign w:val="center"/>
          </w:tcPr>
          <w:p>
            <w:pPr>
              <w:widowControl w:val="0"/>
              <w:jc w:val="center"/>
              <w:rPr>
                <w:szCs w:val="21"/>
              </w:rPr>
            </w:pPr>
            <w:r>
              <w:rPr>
                <w:rFonts w:hint="eastAsia"/>
                <w:color w:val="auto"/>
              </w:rPr>
              <w:t>2029-02-02</w:t>
            </w:r>
          </w:p>
        </w:tc>
        <w:tc>
          <w:tcPr>
            <w:tcW w:w="1191" w:type="dxa"/>
            <w:vAlign w:val="center"/>
          </w:tcPr>
          <w:p>
            <w:pPr>
              <w:widowControl w:val="0"/>
              <w:jc w:val="center"/>
              <w:rPr>
                <w:szCs w:val="21"/>
              </w:rPr>
            </w:pPr>
            <w:r>
              <w:rPr>
                <w:rFonts w:hint="eastAsia"/>
                <w:color w:val="auto"/>
              </w:rPr>
              <w:t>0</w:t>
            </w:r>
          </w:p>
        </w:tc>
        <w:tc>
          <w:tcPr>
            <w:tcW w:w="1180" w:type="dxa"/>
            <w:vAlign w:val="center"/>
          </w:tcPr>
          <w:p>
            <w:pPr>
              <w:widowControl w:val="0"/>
              <w:jc w:val="center"/>
              <w:rPr>
                <w:szCs w:val="21"/>
              </w:rPr>
            </w:pPr>
            <w:r>
              <w:rPr>
                <w:rFonts w:hint="eastAsia"/>
                <w:color w:val="auto"/>
              </w:rPr>
              <w:t>0</w:t>
            </w:r>
          </w:p>
        </w:tc>
        <w:tc>
          <w:tcPr>
            <w:tcW w:w="1363" w:type="dxa"/>
            <w:vAlign w:val="center"/>
          </w:tcPr>
          <w:p>
            <w:pPr>
              <w:widowControl w:val="0"/>
              <w:jc w:val="center"/>
              <w:rPr>
                <w:szCs w:val="21"/>
              </w:rPr>
            </w:pPr>
            <w:r>
              <w:rPr>
                <w:rFonts w:hint="eastAsia"/>
                <w:color w:val="auto"/>
              </w:rPr>
              <w:t>0</w:t>
            </w:r>
          </w:p>
        </w:tc>
        <w:tc>
          <w:tcPr>
            <w:tcW w:w="1217" w:type="dxa"/>
            <w:vAlign w:val="center"/>
          </w:tcPr>
          <w:p>
            <w:pPr>
              <w:widowControl w:val="0"/>
              <w:jc w:val="center"/>
              <w:rPr>
                <w:szCs w:val="21"/>
              </w:rPr>
            </w:pPr>
            <w:r>
              <w:rPr>
                <w:rFonts w:hint="eastAsia"/>
                <w:color w:val="auto"/>
              </w:rPr>
              <w:t>/</w:t>
            </w:r>
          </w:p>
        </w:tc>
        <w:tc>
          <w:tcPr>
            <w:tcW w:w="1211" w:type="dxa"/>
            <w:vAlign w:val="center"/>
          </w:tcPr>
          <w:p>
            <w:pPr>
              <w:widowControl w:val="0"/>
              <w:jc w:val="center"/>
              <w:rPr>
                <w:szCs w:val="21"/>
              </w:rPr>
            </w:pPr>
            <w:r>
              <w:rPr>
                <w:rStyle w:val="71"/>
                <w:rFonts w:hint="eastAsia"/>
                <w:color w:val="auto"/>
              </w:rPr>
              <w:t>25.75</w:t>
            </w:r>
          </w:p>
        </w:tc>
        <w:tc>
          <w:tcPr>
            <w:tcW w:w="1211" w:type="dxa"/>
            <w:vAlign w:val="center"/>
          </w:tcPr>
          <w:p>
            <w:pPr>
              <w:widowControl w:val="0"/>
              <w:jc w:val="center"/>
              <w:rPr>
                <w:rFonts w:asciiTheme="minorHAnsi" w:hAnsiTheme="minorHAnsi" w:eastAsiaTheme="minorEastAsia" w:cstheme="minorBidi"/>
                <w:kern w:val="2"/>
                <w:szCs w:val="21"/>
                <w14:ligatures w14:val="standardContextual"/>
              </w:rPr>
            </w:pPr>
            <w:r>
              <w:rPr>
                <w:rFonts w:asciiTheme="minorHAnsi" w:hAnsiTheme="minorHAnsi" w:eastAsiaTheme="minorEastAsia" w:cstheme="minorBidi"/>
                <w:kern w:val="2"/>
                <w:szCs w:val="21"/>
                <w14:ligatures w14:val="standardContextua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118" w:type="dxa"/>
            <w:vAlign w:val="center"/>
          </w:tcPr>
          <w:p>
            <w:pPr>
              <w:widowControl w:val="0"/>
              <w:jc w:val="center"/>
              <w:rPr>
                <w:szCs w:val="21"/>
              </w:rPr>
            </w:pPr>
            <w:r>
              <w:rPr>
                <w:rFonts w:hint="eastAsia"/>
                <w:color w:val="auto"/>
              </w:rPr>
              <w:t>张重义</w:t>
            </w:r>
          </w:p>
        </w:tc>
        <w:tc>
          <w:tcPr>
            <w:tcW w:w="1203" w:type="dxa"/>
            <w:vAlign w:val="center"/>
          </w:tcPr>
          <w:p>
            <w:pPr>
              <w:widowControl w:val="0"/>
              <w:jc w:val="center"/>
              <w:rPr>
                <w:szCs w:val="21"/>
              </w:rPr>
            </w:pPr>
            <w:r>
              <w:rPr>
                <w:rFonts w:hint="eastAsia"/>
                <w:szCs w:val="21"/>
              </w:rPr>
              <w:t>独立董事（离任）</w:t>
            </w:r>
          </w:p>
        </w:tc>
        <w:tc>
          <w:tcPr>
            <w:tcW w:w="946" w:type="dxa"/>
            <w:vAlign w:val="center"/>
          </w:tcPr>
          <w:p>
            <w:pPr>
              <w:widowControl w:val="0"/>
              <w:jc w:val="center"/>
              <w:rPr>
                <w:szCs w:val="21"/>
              </w:rPr>
            </w:pPr>
            <w:r>
              <w:rPr>
                <w:rFonts w:hint="eastAsia"/>
                <w:color w:val="auto"/>
              </w:rPr>
              <w:t>男</w:t>
            </w:r>
          </w:p>
        </w:tc>
        <w:tc>
          <w:tcPr>
            <w:tcW w:w="946" w:type="dxa"/>
            <w:vAlign w:val="center"/>
          </w:tcPr>
          <w:p>
            <w:pPr>
              <w:widowControl w:val="0"/>
              <w:jc w:val="center"/>
              <w:rPr>
                <w:szCs w:val="21"/>
              </w:rPr>
            </w:pPr>
            <w:r>
              <w:rPr>
                <w:rFonts w:hint="eastAsia"/>
                <w:color w:val="auto"/>
              </w:rPr>
              <w:t>62</w:t>
            </w:r>
          </w:p>
        </w:tc>
        <w:tc>
          <w:tcPr>
            <w:tcW w:w="1248" w:type="dxa"/>
            <w:vAlign w:val="center"/>
          </w:tcPr>
          <w:p>
            <w:pPr>
              <w:widowControl w:val="0"/>
              <w:jc w:val="center"/>
              <w:rPr>
                <w:szCs w:val="21"/>
              </w:rPr>
            </w:pPr>
            <w:r>
              <w:rPr>
                <w:rFonts w:hint="eastAsia"/>
                <w:color w:val="auto"/>
              </w:rPr>
              <w:t>2021-07-16</w:t>
            </w:r>
          </w:p>
        </w:tc>
        <w:tc>
          <w:tcPr>
            <w:tcW w:w="1248" w:type="dxa"/>
            <w:vAlign w:val="center"/>
          </w:tcPr>
          <w:p>
            <w:pPr>
              <w:widowControl w:val="0"/>
              <w:jc w:val="center"/>
              <w:rPr>
                <w:szCs w:val="21"/>
              </w:rPr>
            </w:pPr>
            <w:r>
              <w:rPr>
                <w:rFonts w:hint="eastAsia"/>
                <w:color w:val="auto"/>
              </w:rPr>
              <w:t>2026-02-03</w:t>
            </w:r>
          </w:p>
        </w:tc>
        <w:tc>
          <w:tcPr>
            <w:tcW w:w="1191" w:type="dxa"/>
            <w:vAlign w:val="center"/>
          </w:tcPr>
          <w:p>
            <w:pPr>
              <w:widowControl w:val="0"/>
              <w:jc w:val="center"/>
              <w:rPr>
                <w:szCs w:val="21"/>
              </w:rPr>
            </w:pPr>
            <w:r>
              <w:rPr>
                <w:rFonts w:hint="eastAsia"/>
                <w:color w:val="auto"/>
              </w:rPr>
              <w:t>0</w:t>
            </w:r>
          </w:p>
        </w:tc>
        <w:tc>
          <w:tcPr>
            <w:tcW w:w="1180" w:type="dxa"/>
            <w:vAlign w:val="center"/>
          </w:tcPr>
          <w:p>
            <w:pPr>
              <w:widowControl w:val="0"/>
              <w:jc w:val="center"/>
              <w:rPr>
                <w:szCs w:val="21"/>
              </w:rPr>
            </w:pPr>
            <w:r>
              <w:rPr>
                <w:rFonts w:hint="eastAsia"/>
                <w:color w:val="auto"/>
              </w:rPr>
              <w:t>0</w:t>
            </w:r>
          </w:p>
        </w:tc>
        <w:tc>
          <w:tcPr>
            <w:tcW w:w="1363" w:type="dxa"/>
            <w:vAlign w:val="center"/>
          </w:tcPr>
          <w:p>
            <w:pPr>
              <w:widowControl w:val="0"/>
              <w:jc w:val="center"/>
              <w:rPr>
                <w:szCs w:val="21"/>
              </w:rPr>
            </w:pPr>
            <w:r>
              <w:rPr>
                <w:rFonts w:hint="eastAsia"/>
                <w:color w:val="auto"/>
              </w:rPr>
              <w:t>0</w:t>
            </w:r>
          </w:p>
        </w:tc>
        <w:tc>
          <w:tcPr>
            <w:tcW w:w="1217" w:type="dxa"/>
            <w:vAlign w:val="center"/>
          </w:tcPr>
          <w:p>
            <w:pPr>
              <w:widowControl w:val="0"/>
              <w:jc w:val="center"/>
              <w:rPr>
                <w:szCs w:val="21"/>
              </w:rPr>
            </w:pPr>
            <w:r>
              <w:rPr>
                <w:rFonts w:hint="eastAsia"/>
                <w:color w:val="auto"/>
              </w:rPr>
              <w:t>/</w:t>
            </w:r>
          </w:p>
        </w:tc>
        <w:tc>
          <w:tcPr>
            <w:tcW w:w="1211" w:type="dxa"/>
            <w:vAlign w:val="center"/>
          </w:tcPr>
          <w:p>
            <w:pPr>
              <w:widowControl w:val="0"/>
              <w:jc w:val="center"/>
              <w:rPr>
                <w:szCs w:val="21"/>
              </w:rPr>
            </w:pPr>
            <w:r>
              <w:rPr>
                <w:rStyle w:val="71"/>
                <w:rFonts w:hint="eastAsia"/>
                <w:color w:val="auto"/>
              </w:rPr>
              <w:t>4.57</w:t>
            </w:r>
          </w:p>
        </w:tc>
        <w:tc>
          <w:tcPr>
            <w:tcW w:w="1211" w:type="dxa"/>
            <w:vAlign w:val="center"/>
          </w:tcPr>
          <w:p>
            <w:pPr>
              <w:widowControl w:val="0"/>
              <w:jc w:val="center"/>
              <w:rPr>
                <w:rFonts w:asciiTheme="minorHAnsi" w:hAnsiTheme="minorHAnsi" w:eastAsiaTheme="minorEastAsia" w:cstheme="minorBidi"/>
                <w:kern w:val="2"/>
                <w:szCs w:val="21"/>
                <w14:ligatures w14:val="standardContextual"/>
              </w:rPr>
            </w:pPr>
            <w:r>
              <w:rPr>
                <w:rFonts w:asciiTheme="minorHAnsi" w:hAnsiTheme="minorHAnsi" w:eastAsiaTheme="minorEastAsia" w:cstheme="minorBidi"/>
                <w:kern w:val="2"/>
                <w:szCs w:val="21"/>
                <w14:ligatures w14:val="standardContextua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118" w:type="dxa"/>
            <w:vAlign w:val="center"/>
          </w:tcPr>
          <w:p>
            <w:pPr>
              <w:widowControl w:val="0"/>
              <w:jc w:val="center"/>
              <w:rPr>
                <w:szCs w:val="21"/>
              </w:rPr>
            </w:pPr>
            <w:r>
              <w:rPr>
                <w:rFonts w:hint="eastAsia"/>
                <w:color w:val="auto"/>
              </w:rPr>
              <w:t>余</w:t>
            </w:r>
            <w:r>
              <w:rPr>
                <w:rFonts w:hint="eastAsia"/>
                <w:color w:val="auto"/>
                <w:lang w:val="en-US" w:eastAsia="zh-CN"/>
              </w:rPr>
              <w:t xml:space="preserve"> </w:t>
            </w:r>
            <w:r>
              <w:rPr>
                <w:rFonts w:hint="eastAsia"/>
                <w:color w:val="auto"/>
              </w:rPr>
              <w:t>兵</w:t>
            </w:r>
          </w:p>
        </w:tc>
        <w:tc>
          <w:tcPr>
            <w:tcW w:w="1203" w:type="dxa"/>
            <w:vAlign w:val="center"/>
          </w:tcPr>
          <w:p>
            <w:pPr>
              <w:widowControl w:val="0"/>
              <w:jc w:val="center"/>
              <w:rPr>
                <w:szCs w:val="21"/>
              </w:rPr>
            </w:pPr>
            <w:r>
              <w:rPr>
                <w:rFonts w:hint="eastAsia"/>
                <w:szCs w:val="21"/>
              </w:rPr>
              <w:t>独立董事（离任）</w:t>
            </w:r>
          </w:p>
        </w:tc>
        <w:tc>
          <w:tcPr>
            <w:tcW w:w="946" w:type="dxa"/>
            <w:vAlign w:val="center"/>
          </w:tcPr>
          <w:p>
            <w:pPr>
              <w:widowControl w:val="0"/>
              <w:jc w:val="center"/>
              <w:rPr>
                <w:szCs w:val="21"/>
              </w:rPr>
            </w:pPr>
            <w:r>
              <w:rPr>
                <w:rFonts w:hint="eastAsia"/>
                <w:color w:val="auto"/>
              </w:rPr>
              <w:t>男</w:t>
            </w:r>
          </w:p>
        </w:tc>
        <w:tc>
          <w:tcPr>
            <w:tcW w:w="946" w:type="dxa"/>
            <w:vAlign w:val="center"/>
          </w:tcPr>
          <w:p>
            <w:pPr>
              <w:widowControl w:val="0"/>
              <w:jc w:val="center"/>
              <w:rPr>
                <w:szCs w:val="21"/>
              </w:rPr>
            </w:pPr>
            <w:r>
              <w:rPr>
                <w:rFonts w:hint="eastAsia"/>
                <w:color w:val="auto"/>
              </w:rPr>
              <w:t>56</w:t>
            </w:r>
          </w:p>
        </w:tc>
        <w:tc>
          <w:tcPr>
            <w:tcW w:w="1248" w:type="dxa"/>
            <w:vAlign w:val="center"/>
          </w:tcPr>
          <w:p>
            <w:pPr>
              <w:widowControl w:val="0"/>
              <w:jc w:val="center"/>
              <w:rPr>
                <w:szCs w:val="21"/>
              </w:rPr>
            </w:pPr>
            <w:r>
              <w:rPr>
                <w:rFonts w:hint="eastAsia"/>
                <w:color w:val="auto"/>
              </w:rPr>
              <w:t>2021-07-16</w:t>
            </w:r>
          </w:p>
        </w:tc>
        <w:tc>
          <w:tcPr>
            <w:tcW w:w="1248" w:type="dxa"/>
            <w:vAlign w:val="center"/>
          </w:tcPr>
          <w:p>
            <w:pPr>
              <w:widowControl w:val="0"/>
              <w:jc w:val="center"/>
              <w:rPr>
                <w:szCs w:val="21"/>
              </w:rPr>
            </w:pPr>
            <w:r>
              <w:rPr>
                <w:rFonts w:hint="eastAsia"/>
                <w:color w:val="auto"/>
              </w:rPr>
              <w:t>2026-02-03</w:t>
            </w:r>
          </w:p>
        </w:tc>
        <w:tc>
          <w:tcPr>
            <w:tcW w:w="1191" w:type="dxa"/>
            <w:vAlign w:val="center"/>
          </w:tcPr>
          <w:p>
            <w:pPr>
              <w:widowControl w:val="0"/>
              <w:jc w:val="center"/>
              <w:rPr>
                <w:szCs w:val="21"/>
              </w:rPr>
            </w:pPr>
            <w:r>
              <w:rPr>
                <w:rFonts w:hint="eastAsia"/>
                <w:color w:val="auto"/>
              </w:rPr>
              <w:t>0</w:t>
            </w:r>
          </w:p>
        </w:tc>
        <w:tc>
          <w:tcPr>
            <w:tcW w:w="1180" w:type="dxa"/>
            <w:vAlign w:val="center"/>
          </w:tcPr>
          <w:p>
            <w:pPr>
              <w:widowControl w:val="0"/>
              <w:jc w:val="center"/>
              <w:rPr>
                <w:szCs w:val="21"/>
              </w:rPr>
            </w:pPr>
            <w:r>
              <w:rPr>
                <w:rFonts w:hint="eastAsia"/>
                <w:color w:val="auto"/>
              </w:rPr>
              <w:t>0</w:t>
            </w:r>
          </w:p>
        </w:tc>
        <w:tc>
          <w:tcPr>
            <w:tcW w:w="1363" w:type="dxa"/>
            <w:vAlign w:val="center"/>
          </w:tcPr>
          <w:p>
            <w:pPr>
              <w:widowControl w:val="0"/>
              <w:jc w:val="center"/>
              <w:rPr>
                <w:szCs w:val="21"/>
              </w:rPr>
            </w:pPr>
            <w:r>
              <w:rPr>
                <w:rFonts w:hint="eastAsia"/>
                <w:color w:val="auto"/>
              </w:rPr>
              <w:t>0</w:t>
            </w:r>
          </w:p>
        </w:tc>
        <w:tc>
          <w:tcPr>
            <w:tcW w:w="1217" w:type="dxa"/>
            <w:vAlign w:val="center"/>
          </w:tcPr>
          <w:p>
            <w:pPr>
              <w:widowControl w:val="0"/>
              <w:jc w:val="center"/>
              <w:rPr>
                <w:szCs w:val="21"/>
              </w:rPr>
            </w:pPr>
            <w:r>
              <w:rPr>
                <w:rFonts w:hint="eastAsia"/>
                <w:color w:val="auto"/>
              </w:rPr>
              <w:t>/</w:t>
            </w:r>
          </w:p>
        </w:tc>
        <w:tc>
          <w:tcPr>
            <w:tcW w:w="1211" w:type="dxa"/>
            <w:vAlign w:val="center"/>
          </w:tcPr>
          <w:p>
            <w:pPr>
              <w:widowControl w:val="0"/>
              <w:jc w:val="center"/>
              <w:rPr>
                <w:szCs w:val="21"/>
              </w:rPr>
            </w:pPr>
            <w:r>
              <w:rPr>
                <w:rStyle w:val="71"/>
                <w:rFonts w:hint="eastAsia"/>
                <w:color w:val="auto"/>
              </w:rPr>
              <w:t>4.57</w:t>
            </w:r>
          </w:p>
        </w:tc>
        <w:tc>
          <w:tcPr>
            <w:tcW w:w="1211" w:type="dxa"/>
            <w:vAlign w:val="center"/>
          </w:tcPr>
          <w:p>
            <w:pPr>
              <w:widowControl w:val="0"/>
              <w:jc w:val="center"/>
              <w:rPr>
                <w:rFonts w:asciiTheme="minorHAnsi" w:hAnsiTheme="minorHAnsi" w:eastAsiaTheme="minorEastAsia" w:cstheme="minorBidi"/>
                <w:kern w:val="2"/>
                <w:szCs w:val="21"/>
                <w14:ligatures w14:val="standardContextual"/>
              </w:rPr>
            </w:pPr>
            <w:r>
              <w:rPr>
                <w:rFonts w:asciiTheme="minorHAnsi" w:hAnsiTheme="minorHAnsi" w:eastAsiaTheme="minorEastAsia" w:cstheme="minorBidi"/>
                <w:kern w:val="2"/>
                <w:szCs w:val="21"/>
                <w14:ligatures w14:val="standardContextua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118" w:type="dxa"/>
            <w:vAlign w:val="center"/>
          </w:tcPr>
          <w:p>
            <w:pPr>
              <w:widowControl w:val="0"/>
              <w:jc w:val="center"/>
              <w:rPr>
                <w:szCs w:val="21"/>
              </w:rPr>
            </w:pPr>
            <w:r>
              <w:rPr>
                <w:rFonts w:hint="eastAsia"/>
                <w:color w:val="auto"/>
              </w:rPr>
              <w:t>魏 佳</w:t>
            </w:r>
          </w:p>
        </w:tc>
        <w:tc>
          <w:tcPr>
            <w:tcW w:w="1203" w:type="dxa"/>
            <w:vAlign w:val="center"/>
          </w:tcPr>
          <w:p>
            <w:pPr>
              <w:widowControl w:val="0"/>
              <w:jc w:val="center"/>
              <w:rPr>
                <w:szCs w:val="21"/>
              </w:rPr>
            </w:pPr>
            <w:r>
              <w:rPr>
                <w:rFonts w:hint="eastAsia"/>
                <w:szCs w:val="21"/>
              </w:rPr>
              <w:t>独立董事（离任）</w:t>
            </w:r>
          </w:p>
        </w:tc>
        <w:tc>
          <w:tcPr>
            <w:tcW w:w="946" w:type="dxa"/>
            <w:vAlign w:val="center"/>
          </w:tcPr>
          <w:p>
            <w:pPr>
              <w:widowControl w:val="0"/>
              <w:jc w:val="center"/>
              <w:rPr>
                <w:szCs w:val="21"/>
              </w:rPr>
            </w:pPr>
            <w:r>
              <w:rPr>
                <w:rFonts w:hint="eastAsia"/>
                <w:color w:val="auto"/>
              </w:rPr>
              <w:t>男</w:t>
            </w:r>
          </w:p>
        </w:tc>
        <w:tc>
          <w:tcPr>
            <w:tcW w:w="946" w:type="dxa"/>
            <w:vAlign w:val="center"/>
          </w:tcPr>
          <w:p>
            <w:pPr>
              <w:widowControl w:val="0"/>
              <w:jc w:val="center"/>
              <w:rPr>
                <w:szCs w:val="21"/>
              </w:rPr>
            </w:pPr>
            <w:r>
              <w:rPr>
                <w:rFonts w:hint="eastAsia"/>
                <w:color w:val="auto"/>
              </w:rPr>
              <w:t>46</w:t>
            </w:r>
          </w:p>
        </w:tc>
        <w:tc>
          <w:tcPr>
            <w:tcW w:w="1248" w:type="dxa"/>
            <w:vAlign w:val="center"/>
          </w:tcPr>
          <w:p>
            <w:pPr>
              <w:widowControl w:val="0"/>
              <w:jc w:val="center"/>
              <w:rPr>
                <w:szCs w:val="21"/>
              </w:rPr>
            </w:pPr>
            <w:r>
              <w:rPr>
                <w:rFonts w:hint="eastAsia"/>
                <w:color w:val="auto"/>
              </w:rPr>
              <w:t>2021-07-16</w:t>
            </w:r>
          </w:p>
        </w:tc>
        <w:tc>
          <w:tcPr>
            <w:tcW w:w="1248" w:type="dxa"/>
            <w:vAlign w:val="center"/>
          </w:tcPr>
          <w:p>
            <w:pPr>
              <w:widowControl w:val="0"/>
              <w:jc w:val="center"/>
              <w:rPr>
                <w:szCs w:val="21"/>
              </w:rPr>
            </w:pPr>
            <w:r>
              <w:rPr>
                <w:rFonts w:hint="eastAsia"/>
                <w:color w:val="auto"/>
              </w:rPr>
              <w:t>2026-02-03</w:t>
            </w:r>
          </w:p>
        </w:tc>
        <w:tc>
          <w:tcPr>
            <w:tcW w:w="1191" w:type="dxa"/>
            <w:vAlign w:val="center"/>
          </w:tcPr>
          <w:p>
            <w:pPr>
              <w:widowControl w:val="0"/>
              <w:jc w:val="center"/>
              <w:rPr>
                <w:szCs w:val="21"/>
              </w:rPr>
            </w:pPr>
            <w:r>
              <w:rPr>
                <w:rFonts w:hint="eastAsia"/>
                <w:color w:val="auto"/>
              </w:rPr>
              <w:t>0</w:t>
            </w:r>
          </w:p>
        </w:tc>
        <w:tc>
          <w:tcPr>
            <w:tcW w:w="1180" w:type="dxa"/>
            <w:vAlign w:val="center"/>
          </w:tcPr>
          <w:p>
            <w:pPr>
              <w:widowControl w:val="0"/>
              <w:jc w:val="center"/>
              <w:rPr>
                <w:szCs w:val="21"/>
              </w:rPr>
            </w:pPr>
            <w:r>
              <w:rPr>
                <w:rFonts w:hint="eastAsia"/>
                <w:color w:val="auto"/>
              </w:rPr>
              <w:t>0</w:t>
            </w:r>
          </w:p>
        </w:tc>
        <w:tc>
          <w:tcPr>
            <w:tcW w:w="1363" w:type="dxa"/>
            <w:vAlign w:val="center"/>
          </w:tcPr>
          <w:p>
            <w:pPr>
              <w:widowControl w:val="0"/>
              <w:jc w:val="center"/>
              <w:rPr>
                <w:szCs w:val="21"/>
              </w:rPr>
            </w:pPr>
            <w:r>
              <w:rPr>
                <w:rFonts w:hint="eastAsia"/>
                <w:color w:val="auto"/>
              </w:rPr>
              <w:t>0</w:t>
            </w:r>
          </w:p>
        </w:tc>
        <w:tc>
          <w:tcPr>
            <w:tcW w:w="1217" w:type="dxa"/>
            <w:vAlign w:val="center"/>
          </w:tcPr>
          <w:p>
            <w:pPr>
              <w:widowControl w:val="0"/>
              <w:jc w:val="center"/>
              <w:rPr>
                <w:szCs w:val="21"/>
              </w:rPr>
            </w:pPr>
            <w:r>
              <w:rPr>
                <w:rFonts w:hint="eastAsia"/>
                <w:color w:val="auto"/>
              </w:rPr>
              <w:t>/</w:t>
            </w:r>
          </w:p>
        </w:tc>
        <w:tc>
          <w:tcPr>
            <w:tcW w:w="1211" w:type="dxa"/>
            <w:vAlign w:val="center"/>
          </w:tcPr>
          <w:p>
            <w:pPr>
              <w:widowControl w:val="0"/>
              <w:jc w:val="center"/>
              <w:rPr>
                <w:szCs w:val="21"/>
              </w:rPr>
            </w:pPr>
            <w:r>
              <w:rPr>
                <w:rStyle w:val="71"/>
                <w:rFonts w:hint="eastAsia"/>
                <w:color w:val="auto"/>
              </w:rPr>
              <w:t>4.57</w:t>
            </w:r>
          </w:p>
        </w:tc>
        <w:tc>
          <w:tcPr>
            <w:tcW w:w="1211" w:type="dxa"/>
            <w:vAlign w:val="center"/>
          </w:tcPr>
          <w:p>
            <w:pPr>
              <w:widowControl w:val="0"/>
              <w:jc w:val="center"/>
              <w:rPr>
                <w:rFonts w:asciiTheme="minorHAnsi" w:hAnsiTheme="minorHAnsi" w:eastAsiaTheme="minorEastAsia" w:cstheme="minorBidi"/>
                <w:kern w:val="2"/>
                <w:szCs w:val="21"/>
                <w14:ligatures w14:val="standardContextual"/>
              </w:rPr>
            </w:pPr>
            <w:r>
              <w:rPr>
                <w:rFonts w:asciiTheme="minorHAnsi" w:hAnsiTheme="minorHAnsi" w:eastAsiaTheme="minorEastAsia" w:cstheme="minorBidi"/>
                <w:kern w:val="2"/>
                <w:szCs w:val="21"/>
                <w14:ligatures w14:val="standardContextua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118" w:type="dxa"/>
            <w:vAlign w:val="center"/>
          </w:tcPr>
          <w:p>
            <w:pPr>
              <w:widowControl w:val="0"/>
              <w:jc w:val="center"/>
              <w:rPr>
                <w:szCs w:val="21"/>
              </w:rPr>
            </w:pPr>
            <w:r>
              <w:rPr>
                <w:rFonts w:hint="eastAsia"/>
                <w:color w:val="auto"/>
              </w:rPr>
              <w:t>关忠良</w:t>
            </w:r>
          </w:p>
        </w:tc>
        <w:tc>
          <w:tcPr>
            <w:tcW w:w="1203" w:type="dxa"/>
            <w:vAlign w:val="center"/>
          </w:tcPr>
          <w:p>
            <w:pPr>
              <w:widowControl w:val="0"/>
              <w:jc w:val="center"/>
              <w:rPr>
                <w:szCs w:val="21"/>
              </w:rPr>
            </w:pPr>
            <w:r>
              <w:rPr>
                <w:rFonts w:hint="eastAsia"/>
                <w:szCs w:val="21"/>
              </w:rPr>
              <w:t>独立董事</w:t>
            </w:r>
          </w:p>
        </w:tc>
        <w:tc>
          <w:tcPr>
            <w:tcW w:w="946" w:type="dxa"/>
            <w:vAlign w:val="center"/>
          </w:tcPr>
          <w:p>
            <w:pPr>
              <w:widowControl w:val="0"/>
              <w:jc w:val="center"/>
              <w:rPr>
                <w:szCs w:val="21"/>
              </w:rPr>
            </w:pPr>
            <w:r>
              <w:rPr>
                <w:rFonts w:hint="eastAsia"/>
                <w:color w:val="auto"/>
              </w:rPr>
              <w:t>男</w:t>
            </w:r>
          </w:p>
        </w:tc>
        <w:tc>
          <w:tcPr>
            <w:tcW w:w="946" w:type="dxa"/>
            <w:vAlign w:val="center"/>
          </w:tcPr>
          <w:p>
            <w:pPr>
              <w:widowControl w:val="0"/>
              <w:jc w:val="center"/>
              <w:rPr>
                <w:szCs w:val="21"/>
              </w:rPr>
            </w:pPr>
            <w:r>
              <w:rPr>
                <w:rFonts w:hint="eastAsia"/>
                <w:color w:val="auto"/>
              </w:rPr>
              <w:t>61</w:t>
            </w:r>
          </w:p>
        </w:tc>
        <w:tc>
          <w:tcPr>
            <w:tcW w:w="1248" w:type="dxa"/>
            <w:vAlign w:val="center"/>
          </w:tcPr>
          <w:p>
            <w:pPr>
              <w:widowControl w:val="0"/>
              <w:jc w:val="center"/>
              <w:rPr>
                <w:szCs w:val="21"/>
              </w:rPr>
            </w:pPr>
            <w:r>
              <w:rPr>
                <w:rFonts w:hint="eastAsia"/>
                <w:color w:val="auto"/>
              </w:rPr>
              <w:t>2026-02-03</w:t>
            </w:r>
          </w:p>
        </w:tc>
        <w:tc>
          <w:tcPr>
            <w:tcW w:w="1248" w:type="dxa"/>
            <w:vAlign w:val="center"/>
          </w:tcPr>
          <w:p>
            <w:pPr>
              <w:widowControl w:val="0"/>
              <w:jc w:val="center"/>
              <w:rPr>
                <w:szCs w:val="21"/>
              </w:rPr>
            </w:pPr>
            <w:r>
              <w:rPr>
                <w:rFonts w:hint="eastAsia"/>
                <w:color w:val="auto"/>
              </w:rPr>
              <w:t>2029-02-02</w:t>
            </w:r>
          </w:p>
        </w:tc>
        <w:tc>
          <w:tcPr>
            <w:tcW w:w="1191" w:type="dxa"/>
            <w:vAlign w:val="center"/>
          </w:tcPr>
          <w:p>
            <w:pPr>
              <w:widowControl w:val="0"/>
              <w:jc w:val="center"/>
              <w:rPr>
                <w:szCs w:val="21"/>
              </w:rPr>
            </w:pPr>
            <w:r>
              <w:rPr>
                <w:rFonts w:hint="eastAsia"/>
                <w:color w:val="auto"/>
              </w:rPr>
              <w:t>0</w:t>
            </w:r>
          </w:p>
        </w:tc>
        <w:tc>
          <w:tcPr>
            <w:tcW w:w="1180" w:type="dxa"/>
            <w:vAlign w:val="center"/>
          </w:tcPr>
          <w:p>
            <w:pPr>
              <w:widowControl w:val="0"/>
              <w:jc w:val="center"/>
              <w:rPr>
                <w:szCs w:val="21"/>
              </w:rPr>
            </w:pPr>
            <w:r>
              <w:rPr>
                <w:rFonts w:hint="eastAsia"/>
                <w:color w:val="auto"/>
              </w:rPr>
              <w:t>0</w:t>
            </w:r>
          </w:p>
        </w:tc>
        <w:tc>
          <w:tcPr>
            <w:tcW w:w="1363" w:type="dxa"/>
            <w:vAlign w:val="center"/>
          </w:tcPr>
          <w:p>
            <w:pPr>
              <w:widowControl w:val="0"/>
              <w:jc w:val="center"/>
              <w:rPr>
                <w:szCs w:val="21"/>
              </w:rPr>
            </w:pPr>
            <w:r>
              <w:rPr>
                <w:rFonts w:hint="eastAsia"/>
                <w:color w:val="auto"/>
              </w:rPr>
              <w:t>0</w:t>
            </w:r>
          </w:p>
        </w:tc>
        <w:tc>
          <w:tcPr>
            <w:tcW w:w="1217" w:type="dxa"/>
            <w:vAlign w:val="center"/>
          </w:tcPr>
          <w:p>
            <w:pPr>
              <w:widowControl w:val="0"/>
              <w:jc w:val="center"/>
              <w:rPr>
                <w:szCs w:val="21"/>
              </w:rPr>
            </w:pPr>
            <w:r>
              <w:rPr>
                <w:rFonts w:hint="eastAsia"/>
                <w:color w:val="auto"/>
              </w:rPr>
              <w:t>/</w:t>
            </w:r>
          </w:p>
        </w:tc>
        <w:tc>
          <w:tcPr>
            <w:tcW w:w="1211" w:type="dxa"/>
            <w:vAlign w:val="center"/>
          </w:tcPr>
          <w:p>
            <w:pPr>
              <w:widowControl w:val="0"/>
              <w:jc w:val="center"/>
              <w:rPr>
                <w:szCs w:val="21"/>
              </w:rPr>
            </w:pPr>
            <w:r>
              <w:rPr>
                <w:rStyle w:val="71"/>
                <w:rFonts w:hint="eastAsia"/>
                <w:color w:val="auto"/>
              </w:rPr>
              <w:t>/</w:t>
            </w:r>
          </w:p>
        </w:tc>
        <w:tc>
          <w:tcPr>
            <w:tcW w:w="1211" w:type="dxa"/>
            <w:vAlign w:val="center"/>
          </w:tcPr>
          <w:p>
            <w:pPr>
              <w:widowControl w:val="0"/>
              <w:jc w:val="center"/>
              <w:rPr>
                <w:rFonts w:asciiTheme="minorHAnsi" w:hAnsiTheme="minorHAnsi" w:eastAsiaTheme="minorEastAsia" w:cstheme="minorBidi"/>
                <w:kern w:val="2"/>
                <w:szCs w:val="21"/>
                <w14:ligatures w14:val="standardContextual"/>
              </w:rPr>
            </w:pPr>
            <w:r>
              <w:rPr>
                <w:rFonts w:asciiTheme="minorHAnsi" w:hAnsiTheme="minorHAnsi" w:eastAsiaTheme="minorEastAsia" w:cstheme="minorBidi"/>
                <w:kern w:val="2"/>
                <w:szCs w:val="21"/>
                <w14:ligatures w14:val="standardContextua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118" w:type="dxa"/>
            <w:vAlign w:val="center"/>
          </w:tcPr>
          <w:p>
            <w:pPr>
              <w:widowControl w:val="0"/>
              <w:jc w:val="center"/>
              <w:rPr>
                <w:szCs w:val="21"/>
              </w:rPr>
            </w:pPr>
            <w:r>
              <w:rPr>
                <w:rFonts w:hint="eastAsia"/>
                <w:color w:val="auto"/>
              </w:rPr>
              <w:t>刘婷婷</w:t>
            </w:r>
          </w:p>
        </w:tc>
        <w:tc>
          <w:tcPr>
            <w:tcW w:w="1203" w:type="dxa"/>
            <w:vAlign w:val="center"/>
          </w:tcPr>
          <w:p>
            <w:pPr>
              <w:widowControl w:val="0"/>
              <w:jc w:val="center"/>
              <w:rPr>
                <w:szCs w:val="21"/>
              </w:rPr>
            </w:pPr>
            <w:r>
              <w:rPr>
                <w:rFonts w:hint="eastAsia"/>
                <w:szCs w:val="21"/>
              </w:rPr>
              <w:t>独立董事</w:t>
            </w:r>
          </w:p>
        </w:tc>
        <w:tc>
          <w:tcPr>
            <w:tcW w:w="946" w:type="dxa"/>
            <w:vAlign w:val="center"/>
          </w:tcPr>
          <w:p>
            <w:pPr>
              <w:widowControl w:val="0"/>
              <w:jc w:val="center"/>
              <w:rPr>
                <w:szCs w:val="21"/>
              </w:rPr>
            </w:pPr>
            <w:r>
              <w:rPr>
                <w:rFonts w:hint="eastAsia"/>
                <w:color w:val="auto"/>
              </w:rPr>
              <w:t>女</w:t>
            </w:r>
          </w:p>
        </w:tc>
        <w:tc>
          <w:tcPr>
            <w:tcW w:w="946" w:type="dxa"/>
            <w:vAlign w:val="center"/>
          </w:tcPr>
          <w:p>
            <w:pPr>
              <w:widowControl w:val="0"/>
              <w:jc w:val="center"/>
              <w:rPr>
                <w:szCs w:val="21"/>
              </w:rPr>
            </w:pPr>
            <w:r>
              <w:rPr>
                <w:rFonts w:hint="eastAsia"/>
                <w:color w:val="auto"/>
              </w:rPr>
              <w:t>46</w:t>
            </w:r>
          </w:p>
        </w:tc>
        <w:tc>
          <w:tcPr>
            <w:tcW w:w="1248" w:type="dxa"/>
            <w:vAlign w:val="center"/>
          </w:tcPr>
          <w:p>
            <w:pPr>
              <w:widowControl w:val="0"/>
              <w:jc w:val="center"/>
              <w:rPr>
                <w:szCs w:val="21"/>
              </w:rPr>
            </w:pPr>
            <w:r>
              <w:rPr>
                <w:rFonts w:hint="eastAsia"/>
                <w:color w:val="auto"/>
              </w:rPr>
              <w:t>2026-02-03</w:t>
            </w:r>
          </w:p>
        </w:tc>
        <w:tc>
          <w:tcPr>
            <w:tcW w:w="1248" w:type="dxa"/>
            <w:vAlign w:val="center"/>
          </w:tcPr>
          <w:p>
            <w:pPr>
              <w:widowControl w:val="0"/>
              <w:jc w:val="center"/>
              <w:rPr>
                <w:szCs w:val="21"/>
              </w:rPr>
            </w:pPr>
            <w:r>
              <w:rPr>
                <w:rFonts w:hint="eastAsia"/>
                <w:color w:val="auto"/>
              </w:rPr>
              <w:t>2029-02-02</w:t>
            </w:r>
          </w:p>
        </w:tc>
        <w:tc>
          <w:tcPr>
            <w:tcW w:w="1191" w:type="dxa"/>
            <w:vAlign w:val="center"/>
          </w:tcPr>
          <w:p>
            <w:pPr>
              <w:widowControl w:val="0"/>
              <w:jc w:val="center"/>
              <w:rPr>
                <w:szCs w:val="21"/>
              </w:rPr>
            </w:pPr>
            <w:r>
              <w:rPr>
                <w:rFonts w:hint="eastAsia"/>
                <w:color w:val="auto"/>
              </w:rPr>
              <w:t>0</w:t>
            </w:r>
          </w:p>
        </w:tc>
        <w:tc>
          <w:tcPr>
            <w:tcW w:w="1180" w:type="dxa"/>
            <w:vAlign w:val="center"/>
          </w:tcPr>
          <w:p>
            <w:pPr>
              <w:widowControl w:val="0"/>
              <w:jc w:val="center"/>
              <w:rPr>
                <w:szCs w:val="21"/>
              </w:rPr>
            </w:pPr>
            <w:r>
              <w:rPr>
                <w:rFonts w:hint="eastAsia"/>
                <w:color w:val="auto"/>
              </w:rPr>
              <w:t>0</w:t>
            </w:r>
          </w:p>
        </w:tc>
        <w:tc>
          <w:tcPr>
            <w:tcW w:w="1363" w:type="dxa"/>
            <w:vAlign w:val="center"/>
          </w:tcPr>
          <w:p>
            <w:pPr>
              <w:widowControl w:val="0"/>
              <w:jc w:val="center"/>
              <w:rPr>
                <w:rFonts w:hint="eastAsia" w:eastAsia="宋体"/>
                <w:szCs w:val="21"/>
                <w:lang w:val="en-US" w:eastAsia="zh-CN"/>
              </w:rPr>
            </w:pPr>
            <w:r>
              <w:rPr>
                <w:rFonts w:hint="eastAsia"/>
                <w:szCs w:val="21"/>
                <w:lang w:val="en-US" w:eastAsia="zh-CN"/>
              </w:rPr>
              <w:t>0</w:t>
            </w:r>
          </w:p>
        </w:tc>
        <w:tc>
          <w:tcPr>
            <w:tcW w:w="1217" w:type="dxa"/>
            <w:vAlign w:val="center"/>
          </w:tcPr>
          <w:p>
            <w:pPr>
              <w:widowControl w:val="0"/>
              <w:jc w:val="center"/>
              <w:rPr>
                <w:szCs w:val="21"/>
              </w:rPr>
            </w:pPr>
            <w:r>
              <w:rPr>
                <w:rFonts w:hint="eastAsia"/>
                <w:color w:val="auto"/>
              </w:rPr>
              <w:t>/</w:t>
            </w:r>
          </w:p>
        </w:tc>
        <w:tc>
          <w:tcPr>
            <w:tcW w:w="1211" w:type="dxa"/>
            <w:vAlign w:val="center"/>
          </w:tcPr>
          <w:p>
            <w:pPr>
              <w:widowControl w:val="0"/>
              <w:jc w:val="center"/>
              <w:rPr>
                <w:szCs w:val="21"/>
              </w:rPr>
            </w:pPr>
            <w:r>
              <w:rPr>
                <w:rStyle w:val="71"/>
                <w:rFonts w:hint="eastAsia"/>
                <w:color w:val="auto"/>
              </w:rPr>
              <w:t>/</w:t>
            </w:r>
          </w:p>
        </w:tc>
        <w:tc>
          <w:tcPr>
            <w:tcW w:w="1211" w:type="dxa"/>
            <w:vAlign w:val="center"/>
          </w:tcPr>
          <w:p>
            <w:pPr>
              <w:widowControl w:val="0"/>
              <w:jc w:val="center"/>
              <w:rPr>
                <w:rFonts w:asciiTheme="minorHAnsi" w:hAnsiTheme="minorHAnsi" w:eastAsiaTheme="minorEastAsia" w:cstheme="minorBidi"/>
                <w:kern w:val="2"/>
                <w:szCs w:val="21"/>
                <w14:ligatures w14:val="standardContextual"/>
              </w:rPr>
            </w:pPr>
            <w:r>
              <w:rPr>
                <w:rFonts w:asciiTheme="minorHAnsi" w:hAnsiTheme="minorHAnsi" w:eastAsiaTheme="minorEastAsia" w:cstheme="minorBidi"/>
                <w:kern w:val="2"/>
                <w:szCs w:val="21"/>
                <w14:ligatures w14:val="standardContextua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118" w:type="dxa"/>
            <w:vAlign w:val="center"/>
          </w:tcPr>
          <w:p>
            <w:pPr>
              <w:widowControl w:val="0"/>
              <w:jc w:val="center"/>
              <w:rPr>
                <w:szCs w:val="21"/>
              </w:rPr>
            </w:pPr>
            <w:r>
              <w:rPr>
                <w:rFonts w:hint="eastAsia"/>
                <w:color w:val="auto"/>
              </w:rPr>
              <w:t>杨修</w:t>
            </w:r>
          </w:p>
        </w:tc>
        <w:tc>
          <w:tcPr>
            <w:tcW w:w="1203" w:type="dxa"/>
            <w:vAlign w:val="center"/>
          </w:tcPr>
          <w:p>
            <w:pPr>
              <w:widowControl w:val="0"/>
              <w:jc w:val="center"/>
              <w:rPr>
                <w:szCs w:val="21"/>
              </w:rPr>
            </w:pPr>
            <w:r>
              <w:rPr>
                <w:rFonts w:hint="eastAsia"/>
                <w:szCs w:val="21"/>
              </w:rPr>
              <w:t>独立董事</w:t>
            </w:r>
          </w:p>
        </w:tc>
        <w:tc>
          <w:tcPr>
            <w:tcW w:w="946" w:type="dxa"/>
            <w:vAlign w:val="center"/>
          </w:tcPr>
          <w:p>
            <w:pPr>
              <w:widowControl w:val="0"/>
              <w:jc w:val="center"/>
              <w:rPr>
                <w:szCs w:val="21"/>
              </w:rPr>
            </w:pPr>
            <w:r>
              <w:rPr>
                <w:rFonts w:hint="eastAsia"/>
                <w:color w:val="auto"/>
              </w:rPr>
              <w:t>男</w:t>
            </w:r>
          </w:p>
        </w:tc>
        <w:tc>
          <w:tcPr>
            <w:tcW w:w="946" w:type="dxa"/>
            <w:vAlign w:val="center"/>
          </w:tcPr>
          <w:p>
            <w:pPr>
              <w:widowControl w:val="0"/>
              <w:jc w:val="center"/>
              <w:rPr>
                <w:szCs w:val="21"/>
              </w:rPr>
            </w:pPr>
            <w:r>
              <w:rPr>
                <w:rFonts w:hint="eastAsia"/>
                <w:color w:val="auto"/>
              </w:rPr>
              <w:t>36</w:t>
            </w:r>
          </w:p>
        </w:tc>
        <w:tc>
          <w:tcPr>
            <w:tcW w:w="1248" w:type="dxa"/>
            <w:vAlign w:val="center"/>
          </w:tcPr>
          <w:p>
            <w:pPr>
              <w:widowControl w:val="0"/>
              <w:jc w:val="center"/>
              <w:rPr>
                <w:szCs w:val="21"/>
              </w:rPr>
            </w:pPr>
            <w:r>
              <w:rPr>
                <w:rFonts w:hint="eastAsia"/>
                <w:color w:val="auto"/>
              </w:rPr>
              <w:t>2026-02-03</w:t>
            </w:r>
          </w:p>
        </w:tc>
        <w:tc>
          <w:tcPr>
            <w:tcW w:w="1248" w:type="dxa"/>
            <w:vAlign w:val="center"/>
          </w:tcPr>
          <w:p>
            <w:pPr>
              <w:widowControl w:val="0"/>
              <w:jc w:val="center"/>
              <w:rPr>
                <w:szCs w:val="21"/>
              </w:rPr>
            </w:pPr>
            <w:r>
              <w:rPr>
                <w:rFonts w:hint="eastAsia"/>
                <w:color w:val="auto"/>
              </w:rPr>
              <w:t>2029-02-02</w:t>
            </w:r>
          </w:p>
        </w:tc>
        <w:tc>
          <w:tcPr>
            <w:tcW w:w="1191" w:type="dxa"/>
            <w:vAlign w:val="center"/>
          </w:tcPr>
          <w:p>
            <w:pPr>
              <w:widowControl w:val="0"/>
              <w:jc w:val="center"/>
              <w:rPr>
                <w:szCs w:val="21"/>
              </w:rPr>
            </w:pPr>
            <w:r>
              <w:rPr>
                <w:rFonts w:hint="eastAsia"/>
                <w:color w:val="auto"/>
              </w:rPr>
              <w:t>0</w:t>
            </w:r>
          </w:p>
        </w:tc>
        <w:tc>
          <w:tcPr>
            <w:tcW w:w="1180" w:type="dxa"/>
            <w:vAlign w:val="center"/>
          </w:tcPr>
          <w:p>
            <w:pPr>
              <w:widowControl w:val="0"/>
              <w:jc w:val="center"/>
              <w:rPr>
                <w:szCs w:val="21"/>
              </w:rPr>
            </w:pPr>
            <w:r>
              <w:rPr>
                <w:rFonts w:hint="eastAsia"/>
                <w:color w:val="auto"/>
              </w:rPr>
              <w:t>0</w:t>
            </w:r>
          </w:p>
        </w:tc>
        <w:tc>
          <w:tcPr>
            <w:tcW w:w="1363" w:type="dxa"/>
            <w:vAlign w:val="center"/>
          </w:tcPr>
          <w:p>
            <w:pPr>
              <w:widowControl w:val="0"/>
              <w:jc w:val="center"/>
              <w:rPr>
                <w:szCs w:val="21"/>
              </w:rPr>
            </w:pPr>
            <w:r>
              <w:rPr>
                <w:rFonts w:hint="eastAsia"/>
                <w:color w:val="auto"/>
              </w:rPr>
              <w:t>0</w:t>
            </w:r>
          </w:p>
        </w:tc>
        <w:tc>
          <w:tcPr>
            <w:tcW w:w="1217" w:type="dxa"/>
            <w:vAlign w:val="center"/>
          </w:tcPr>
          <w:p>
            <w:pPr>
              <w:widowControl w:val="0"/>
              <w:jc w:val="center"/>
              <w:rPr>
                <w:szCs w:val="21"/>
              </w:rPr>
            </w:pPr>
            <w:r>
              <w:rPr>
                <w:rFonts w:hint="eastAsia"/>
                <w:color w:val="auto"/>
              </w:rPr>
              <w:t>/</w:t>
            </w:r>
          </w:p>
        </w:tc>
        <w:tc>
          <w:tcPr>
            <w:tcW w:w="1211" w:type="dxa"/>
            <w:vAlign w:val="center"/>
          </w:tcPr>
          <w:p>
            <w:pPr>
              <w:widowControl w:val="0"/>
              <w:jc w:val="center"/>
              <w:rPr>
                <w:szCs w:val="21"/>
              </w:rPr>
            </w:pPr>
            <w:r>
              <w:rPr>
                <w:rStyle w:val="71"/>
                <w:rFonts w:hint="eastAsia"/>
                <w:color w:val="auto"/>
              </w:rPr>
              <w:t>/</w:t>
            </w:r>
          </w:p>
        </w:tc>
        <w:tc>
          <w:tcPr>
            <w:tcW w:w="1211" w:type="dxa"/>
            <w:vAlign w:val="center"/>
          </w:tcPr>
          <w:p>
            <w:pPr>
              <w:widowControl w:val="0"/>
              <w:jc w:val="center"/>
              <w:rPr>
                <w:rFonts w:asciiTheme="minorHAnsi" w:hAnsiTheme="minorHAnsi" w:eastAsiaTheme="minorEastAsia" w:cstheme="minorBidi"/>
                <w:kern w:val="2"/>
                <w:szCs w:val="21"/>
                <w14:ligatures w14:val="standardContextual"/>
              </w:rPr>
            </w:pPr>
            <w:r>
              <w:rPr>
                <w:rFonts w:asciiTheme="minorHAnsi" w:hAnsiTheme="minorHAnsi" w:eastAsiaTheme="minorEastAsia" w:cstheme="minorBidi"/>
                <w:kern w:val="2"/>
                <w:szCs w:val="21"/>
                <w14:ligatures w14:val="standardContextua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118" w:type="dxa"/>
            <w:vAlign w:val="center"/>
          </w:tcPr>
          <w:p>
            <w:pPr>
              <w:widowControl w:val="0"/>
              <w:jc w:val="center"/>
              <w:rPr>
                <w:szCs w:val="21"/>
              </w:rPr>
            </w:pPr>
            <w:r>
              <w:rPr>
                <w:rFonts w:hint="eastAsia"/>
                <w:color w:val="auto"/>
              </w:rPr>
              <w:t>杨 玲</w:t>
            </w:r>
          </w:p>
        </w:tc>
        <w:tc>
          <w:tcPr>
            <w:tcW w:w="1203" w:type="dxa"/>
            <w:vAlign w:val="center"/>
          </w:tcPr>
          <w:p>
            <w:pPr>
              <w:widowControl w:val="0"/>
              <w:jc w:val="center"/>
              <w:rPr>
                <w:szCs w:val="21"/>
              </w:rPr>
            </w:pPr>
            <w:r>
              <w:rPr>
                <w:rFonts w:hint="eastAsia"/>
                <w:szCs w:val="21"/>
              </w:rPr>
              <w:t>副总裁</w:t>
            </w:r>
          </w:p>
        </w:tc>
        <w:tc>
          <w:tcPr>
            <w:tcW w:w="946" w:type="dxa"/>
            <w:vAlign w:val="center"/>
          </w:tcPr>
          <w:p>
            <w:pPr>
              <w:widowControl w:val="0"/>
              <w:jc w:val="center"/>
              <w:rPr>
                <w:szCs w:val="21"/>
              </w:rPr>
            </w:pPr>
            <w:r>
              <w:rPr>
                <w:rFonts w:hint="eastAsia"/>
                <w:color w:val="auto"/>
              </w:rPr>
              <w:t>女</w:t>
            </w:r>
          </w:p>
        </w:tc>
        <w:tc>
          <w:tcPr>
            <w:tcW w:w="946" w:type="dxa"/>
            <w:vAlign w:val="center"/>
          </w:tcPr>
          <w:p>
            <w:pPr>
              <w:widowControl w:val="0"/>
              <w:jc w:val="center"/>
              <w:rPr>
                <w:szCs w:val="21"/>
              </w:rPr>
            </w:pPr>
            <w:r>
              <w:rPr>
                <w:rFonts w:hint="eastAsia"/>
                <w:color w:val="auto"/>
              </w:rPr>
              <w:t>51</w:t>
            </w:r>
          </w:p>
        </w:tc>
        <w:tc>
          <w:tcPr>
            <w:tcW w:w="1248" w:type="dxa"/>
            <w:vAlign w:val="center"/>
          </w:tcPr>
          <w:p>
            <w:pPr>
              <w:widowControl w:val="0"/>
              <w:jc w:val="center"/>
              <w:rPr>
                <w:szCs w:val="21"/>
              </w:rPr>
            </w:pPr>
            <w:r>
              <w:rPr>
                <w:rFonts w:hint="eastAsia"/>
                <w:color w:val="auto"/>
              </w:rPr>
              <w:t>2021-07-16</w:t>
            </w:r>
          </w:p>
        </w:tc>
        <w:tc>
          <w:tcPr>
            <w:tcW w:w="1248" w:type="dxa"/>
            <w:vAlign w:val="center"/>
          </w:tcPr>
          <w:p>
            <w:pPr>
              <w:widowControl w:val="0"/>
              <w:jc w:val="center"/>
              <w:rPr>
                <w:szCs w:val="21"/>
              </w:rPr>
            </w:pPr>
            <w:r>
              <w:rPr>
                <w:rFonts w:hint="eastAsia"/>
                <w:color w:val="auto"/>
              </w:rPr>
              <w:t>2029-02-02</w:t>
            </w:r>
          </w:p>
        </w:tc>
        <w:tc>
          <w:tcPr>
            <w:tcW w:w="1191" w:type="dxa"/>
            <w:vAlign w:val="center"/>
          </w:tcPr>
          <w:p>
            <w:pPr>
              <w:widowControl w:val="0"/>
              <w:jc w:val="center"/>
              <w:rPr>
                <w:szCs w:val="21"/>
              </w:rPr>
            </w:pPr>
            <w:r>
              <w:rPr>
                <w:rFonts w:hint="eastAsia"/>
                <w:color w:val="auto"/>
              </w:rPr>
              <w:t>0</w:t>
            </w:r>
          </w:p>
        </w:tc>
        <w:tc>
          <w:tcPr>
            <w:tcW w:w="1180" w:type="dxa"/>
            <w:vAlign w:val="center"/>
          </w:tcPr>
          <w:p>
            <w:pPr>
              <w:widowControl w:val="0"/>
              <w:jc w:val="center"/>
              <w:rPr>
                <w:szCs w:val="21"/>
              </w:rPr>
            </w:pPr>
            <w:r>
              <w:rPr>
                <w:rFonts w:hint="eastAsia"/>
                <w:color w:val="auto"/>
              </w:rPr>
              <w:t>0</w:t>
            </w:r>
          </w:p>
        </w:tc>
        <w:tc>
          <w:tcPr>
            <w:tcW w:w="1363" w:type="dxa"/>
            <w:vAlign w:val="center"/>
          </w:tcPr>
          <w:p>
            <w:pPr>
              <w:widowControl w:val="0"/>
              <w:jc w:val="center"/>
              <w:rPr>
                <w:szCs w:val="21"/>
              </w:rPr>
            </w:pPr>
            <w:r>
              <w:rPr>
                <w:rFonts w:hint="eastAsia"/>
                <w:color w:val="auto"/>
              </w:rPr>
              <w:t>0</w:t>
            </w:r>
          </w:p>
        </w:tc>
        <w:tc>
          <w:tcPr>
            <w:tcW w:w="1217" w:type="dxa"/>
            <w:vAlign w:val="center"/>
          </w:tcPr>
          <w:p>
            <w:pPr>
              <w:widowControl w:val="0"/>
              <w:jc w:val="center"/>
              <w:rPr>
                <w:szCs w:val="21"/>
              </w:rPr>
            </w:pPr>
            <w:r>
              <w:rPr>
                <w:rFonts w:hint="eastAsia"/>
                <w:color w:val="auto"/>
              </w:rPr>
              <w:t>/</w:t>
            </w:r>
          </w:p>
        </w:tc>
        <w:tc>
          <w:tcPr>
            <w:tcW w:w="1211" w:type="dxa"/>
            <w:vAlign w:val="center"/>
          </w:tcPr>
          <w:p>
            <w:pPr>
              <w:widowControl w:val="0"/>
              <w:jc w:val="center"/>
              <w:rPr>
                <w:szCs w:val="21"/>
              </w:rPr>
            </w:pPr>
            <w:r>
              <w:rPr>
                <w:rStyle w:val="71"/>
                <w:rFonts w:hint="eastAsia"/>
                <w:color w:val="auto"/>
              </w:rPr>
              <w:t>37.97</w:t>
            </w:r>
          </w:p>
        </w:tc>
        <w:tc>
          <w:tcPr>
            <w:tcW w:w="1211" w:type="dxa"/>
            <w:vAlign w:val="center"/>
          </w:tcPr>
          <w:p>
            <w:pPr>
              <w:widowControl w:val="0"/>
              <w:jc w:val="center"/>
              <w:rPr>
                <w:rFonts w:asciiTheme="minorHAnsi" w:hAnsiTheme="minorHAnsi" w:eastAsiaTheme="minorEastAsia" w:cstheme="minorBidi"/>
                <w:kern w:val="2"/>
                <w:szCs w:val="21"/>
                <w14:ligatures w14:val="standardContextual"/>
              </w:rPr>
            </w:pPr>
            <w:r>
              <w:rPr>
                <w:rFonts w:asciiTheme="minorHAnsi" w:hAnsiTheme="minorHAnsi" w:eastAsiaTheme="minorEastAsia" w:cstheme="minorBidi"/>
                <w:kern w:val="2"/>
                <w:szCs w:val="21"/>
                <w14:ligatures w14:val="standardContextua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118" w:type="dxa"/>
            <w:vAlign w:val="center"/>
          </w:tcPr>
          <w:p>
            <w:pPr>
              <w:widowControl w:val="0"/>
              <w:jc w:val="center"/>
              <w:rPr>
                <w:szCs w:val="21"/>
              </w:rPr>
            </w:pPr>
            <w:r>
              <w:rPr>
                <w:rFonts w:hint="eastAsia"/>
                <w:color w:val="auto"/>
              </w:rPr>
              <w:t>韦元贤</w:t>
            </w:r>
          </w:p>
        </w:tc>
        <w:tc>
          <w:tcPr>
            <w:tcW w:w="1203" w:type="dxa"/>
            <w:vAlign w:val="center"/>
          </w:tcPr>
          <w:p>
            <w:pPr>
              <w:widowControl w:val="0"/>
              <w:jc w:val="center"/>
              <w:rPr>
                <w:szCs w:val="21"/>
              </w:rPr>
            </w:pPr>
            <w:r>
              <w:rPr>
                <w:rFonts w:hint="eastAsia"/>
                <w:szCs w:val="21"/>
              </w:rPr>
              <w:t>董事会秘书</w:t>
            </w:r>
          </w:p>
        </w:tc>
        <w:tc>
          <w:tcPr>
            <w:tcW w:w="946" w:type="dxa"/>
            <w:vAlign w:val="center"/>
          </w:tcPr>
          <w:p>
            <w:pPr>
              <w:widowControl w:val="0"/>
              <w:jc w:val="center"/>
              <w:rPr>
                <w:szCs w:val="21"/>
              </w:rPr>
            </w:pPr>
            <w:r>
              <w:rPr>
                <w:rFonts w:hint="eastAsia"/>
                <w:color w:val="auto"/>
              </w:rPr>
              <w:t>男</w:t>
            </w:r>
          </w:p>
        </w:tc>
        <w:tc>
          <w:tcPr>
            <w:tcW w:w="946" w:type="dxa"/>
            <w:vAlign w:val="center"/>
          </w:tcPr>
          <w:p>
            <w:pPr>
              <w:widowControl w:val="0"/>
              <w:jc w:val="center"/>
              <w:rPr>
                <w:szCs w:val="21"/>
              </w:rPr>
            </w:pPr>
            <w:r>
              <w:rPr>
                <w:rFonts w:hint="eastAsia"/>
                <w:color w:val="auto"/>
              </w:rPr>
              <w:t>52</w:t>
            </w:r>
          </w:p>
        </w:tc>
        <w:tc>
          <w:tcPr>
            <w:tcW w:w="1248" w:type="dxa"/>
            <w:vAlign w:val="center"/>
          </w:tcPr>
          <w:p>
            <w:pPr>
              <w:widowControl w:val="0"/>
              <w:jc w:val="center"/>
              <w:rPr>
                <w:szCs w:val="21"/>
              </w:rPr>
            </w:pPr>
            <w:r>
              <w:rPr>
                <w:rFonts w:hint="eastAsia"/>
                <w:color w:val="auto"/>
              </w:rPr>
              <w:t>2021-07-16</w:t>
            </w:r>
          </w:p>
        </w:tc>
        <w:tc>
          <w:tcPr>
            <w:tcW w:w="1248" w:type="dxa"/>
            <w:vAlign w:val="center"/>
          </w:tcPr>
          <w:p>
            <w:pPr>
              <w:widowControl w:val="0"/>
              <w:jc w:val="center"/>
              <w:rPr>
                <w:szCs w:val="21"/>
              </w:rPr>
            </w:pPr>
            <w:r>
              <w:rPr>
                <w:rFonts w:hint="eastAsia"/>
                <w:color w:val="auto"/>
              </w:rPr>
              <w:t>2029-02-02</w:t>
            </w:r>
          </w:p>
        </w:tc>
        <w:tc>
          <w:tcPr>
            <w:tcW w:w="1191" w:type="dxa"/>
            <w:vAlign w:val="center"/>
          </w:tcPr>
          <w:p>
            <w:pPr>
              <w:widowControl w:val="0"/>
              <w:jc w:val="center"/>
              <w:rPr>
                <w:szCs w:val="21"/>
              </w:rPr>
            </w:pPr>
            <w:r>
              <w:rPr>
                <w:rFonts w:hint="eastAsia"/>
                <w:color w:val="auto"/>
              </w:rPr>
              <w:t>0</w:t>
            </w:r>
          </w:p>
        </w:tc>
        <w:tc>
          <w:tcPr>
            <w:tcW w:w="1180" w:type="dxa"/>
            <w:vAlign w:val="center"/>
          </w:tcPr>
          <w:p>
            <w:pPr>
              <w:widowControl w:val="0"/>
              <w:jc w:val="center"/>
              <w:rPr>
                <w:szCs w:val="21"/>
              </w:rPr>
            </w:pPr>
            <w:r>
              <w:rPr>
                <w:rFonts w:hint="eastAsia"/>
                <w:color w:val="auto"/>
              </w:rPr>
              <w:t>0</w:t>
            </w:r>
          </w:p>
        </w:tc>
        <w:tc>
          <w:tcPr>
            <w:tcW w:w="1363" w:type="dxa"/>
            <w:vAlign w:val="center"/>
          </w:tcPr>
          <w:p>
            <w:pPr>
              <w:widowControl w:val="0"/>
              <w:jc w:val="center"/>
              <w:rPr>
                <w:szCs w:val="21"/>
              </w:rPr>
            </w:pPr>
            <w:r>
              <w:rPr>
                <w:rFonts w:hint="eastAsia"/>
                <w:color w:val="auto"/>
              </w:rPr>
              <w:t>0</w:t>
            </w:r>
          </w:p>
        </w:tc>
        <w:tc>
          <w:tcPr>
            <w:tcW w:w="1217" w:type="dxa"/>
            <w:vAlign w:val="center"/>
          </w:tcPr>
          <w:p>
            <w:pPr>
              <w:widowControl w:val="0"/>
              <w:jc w:val="center"/>
              <w:rPr>
                <w:szCs w:val="21"/>
              </w:rPr>
            </w:pPr>
            <w:r>
              <w:rPr>
                <w:rFonts w:hint="eastAsia"/>
                <w:color w:val="auto"/>
              </w:rPr>
              <w:t>/</w:t>
            </w:r>
          </w:p>
        </w:tc>
        <w:tc>
          <w:tcPr>
            <w:tcW w:w="1211" w:type="dxa"/>
            <w:vAlign w:val="center"/>
          </w:tcPr>
          <w:p>
            <w:pPr>
              <w:widowControl w:val="0"/>
              <w:jc w:val="center"/>
              <w:rPr>
                <w:szCs w:val="21"/>
              </w:rPr>
            </w:pPr>
            <w:r>
              <w:rPr>
                <w:rStyle w:val="71"/>
                <w:rFonts w:hint="eastAsia"/>
                <w:color w:val="auto"/>
              </w:rPr>
              <w:t>28.82</w:t>
            </w:r>
          </w:p>
        </w:tc>
        <w:tc>
          <w:tcPr>
            <w:tcW w:w="1211" w:type="dxa"/>
            <w:vAlign w:val="center"/>
          </w:tcPr>
          <w:p>
            <w:pPr>
              <w:widowControl w:val="0"/>
              <w:jc w:val="center"/>
              <w:rPr>
                <w:rFonts w:asciiTheme="minorHAnsi" w:hAnsiTheme="minorHAnsi" w:eastAsiaTheme="minorEastAsia" w:cstheme="minorBidi"/>
                <w:kern w:val="2"/>
                <w:szCs w:val="21"/>
                <w14:ligatures w14:val="standardContextual"/>
              </w:rPr>
            </w:pPr>
            <w:r>
              <w:rPr>
                <w:rFonts w:asciiTheme="minorHAnsi" w:hAnsiTheme="minorHAnsi" w:eastAsiaTheme="minorEastAsia" w:cstheme="minorBidi"/>
                <w:kern w:val="2"/>
                <w:szCs w:val="21"/>
                <w14:ligatures w14:val="standardContextua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118" w:type="dxa"/>
            <w:tcBorders>
              <w:bottom w:val="single" w:color="auto" w:sz="4" w:space="0"/>
            </w:tcBorders>
            <w:vAlign w:val="center"/>
          </w:tcPr>
          <w:p>
            <w:pPr>
              <w:widowControl w:val="0"/>
              <w:jc w:val="center"/>
              <w:rPr>
                <w:szCs w:val="21"/>
              </w:rPr>
            </w:pPr>
            <w:r>
              <w:rPr>
                <w:rFonts w:hint="eastAsia"/>
                <w:szCs w:val="21"/>
              </w:rPr>
              <w:t>合计</w:t>
            </w:r>
          </w:p>
        </w:tc>
        <w:tc>
          <w:tcPr>
            <w:tcW w:w="1203" w:type="dxa"/>
            <w:tcBorders>
              <w:bottom w:val="single" w:color="auto" w:sz="4" w:space="0"/>
            </w:tcBorders>
            <w:vAlign w:val="center"/>
          </w:tcPr>
          <w:p>
            <w:pPr>
              <w:widowControl w:val="0"/>
              <w:jc w:val="center"/>
              <w:rPr>
                <w:szCs w:val="21"/>
              </w:rPr>
            </w:pPr>
            <w:r>
              <w:rPr>
                <w:rFonts w:hint="eastAsia"/>
                <w:szCs w:val="21"/>
              </w:rPr>
              <w:t>/</w:t>
            </w:r>
          </w:p>
        </w:tc>
        <w:tc>
          <w:tcPr>
            <w:tcW w:w="946" w:type="dxa"/>
            <w:tcBorders>
              <w:bottom w:val="single" w:color="auto" w:sz="4" w:space="0"/>
            </w:tcBorders>
            <w:vAlign w:val="center"/>
          </w:tcPr>
          <w:p>
            <w:pPr>
              <w:widowControl w:val="0"/>
              <w:jc w:val="center"/>
              <w:rPr>
                <w:szCs w:val="21"/>
              </w:rPr>
            </w:pPr>
            <w:r>
              <w:rPr>
                <w:rFonts w:hint="eastAsia"/>
                <w:szCs w:val="21"/>
              </w:rPr>
              <w:t>/</w:t>
            </w:r>
          </w:p>
        </w:tc>
        <w:tc>
          <w:tcPr>
            <w:tcW w:w="946" w:type="dxa"/>
            <w:tcBorders>
              <w:bottom w:val="single" w:color="auto" w:sz="4" w:space="0"/>
            </w:tcBorders>
            <w:vAlign w:val="center"/>
          </w:tcPr>
          <w:p>
            <w:pPr>
              <w:widowControl w:val="0"/>
              <w:jc w:val="center"/>
              <w:rPr>
                <w:szCs w:val="21"/>
              </w:rPr>
            </w:pPr>
            <w:r>
              <w:rPr>
                <w:rFonts w:hint="eastAsia"/>
                <w:szCs w:val="21"/>
              </w:rPr>
              <w:t>/</w:t>
            </w:r>
          </w:p>
        </w:tc>
        <w:tc>
          <w:tcPr>
            <w:tcW w:w="1248" w:type="dxa"/>
            <w:tcBorders>
              <w:bottom w:val="single" w:color="auto" w:sz="4" w:space="0"/>
            </w:tcBorders>
            <w:vAlign w:val="center"/>
          </w:tcPr>
          <w:p>
            <w:pPr>
              <w:widowControl w:val="0"/>
              <w:jc w:val="center"/>
              <w:rPr>
                <w:szCs w:val="21"/>
              </w:rPr>
            </w:pPr>
            <w:r>
              <w:rPr>
                <w:rFonts w:hint="eastAsia"/>
                <w:szCs w:val="21"/>
              </w:rPr>
              <w:t>/</w:t>
            </w:r>
          </w:p>
        </w:tc>
        <w:tc>
          <w:tcPr>
            <w:tcW w:w="1248" w:type="dxa"/>
            <w:tcBorders>
              <w:bottom w:val="single" w:color="auto" w:sz="4" w:space="0"/>
            </w:tcBorders>
            <w:vAlign w:val="center"/>
          </w:tcPr>
          <w:p>
            <w:pPr>
              <w:widowControl w:val="0"/>
              <w:jc w:val="center"/>
              <w:rPr>
                <w:szCs w:val="21"/>
              </w:rPr>
            </w:pPr>
            <w:r>
              <w:rPr>
                <w:rFonts w:hint="eastAsia"/>
                <w:szCs w:val="21"/>
              </w:rPr>
              <w:t>/</w:t>
            </w:r>
          </w:p>
        </w:tc>
        <w:tc>
          <w:tcPr>
            <w:tcW w:w="1191" w:type="dxa"/>
            <w:tcBorders>
              <w:bottom w:val="single" w:color="auto" w:sz="4" w:space="0"/>
            </w:tcBorders>
            <w:vAlign w:val="center"/>
          </w:tcPr>
          <w:p>
            <w:pPr>
              <w:widowControl w:val="0"/>
              <w:jc w:val="right"/>
              <w:rPr>
                <w:szCs w:val="21"/>
              </w:rPr>
            </w:pPr>
            <w:r>
              <w:rPr>
                <w:rFonts w:hint="eastAsia"/>
                <w:color w:val="auto"/>
              </w:rPr>
              <w:t>71,680</w:t>
            </w:r>
          </w:p>
        </w:tc>
        <w:tc>
          <w:tcPr>
            <w:tcW w:w="1180" w:type="dxa"/>
            <w:tcBorders>
              <w:bottom w:val="single" w:color="auto" w:sz="4" w:space="0"/>
            </w:tcBorders>
            <w:vAlign w:val="center"/>
          </w:tcPr>
          <w:p>
            <w:pPr>
              <w:widowControl w:val="0"/>
              <w:jc w:val="right"/>
              <w:rPr>
                <w:szCs w:val="21"/>
              </w:rPr>
            </w:pPr>
            <w:r>
              <w:rPr>
                <w:rFonts w:hint="eastAsia"/>
                <w:color w:val="auto"/>
              </w:rPr>
              <w:t>71,680</w:t>
            </w:r>
          </w:p>
        </w:tc>
        <w:tc>
          <w:tcPr>
            <w:tcW w:w="1363" w:type="dxa"/>
            <w:tcBorders>
              <w:bottom w:val="single" w:color="auto" w:sz="4" w:space="0"/>
            </w:tcBorders>
            <w:vAlign w:val="center"/>
          </w:tcPr>
          <w:p>
            <w:pPr>
              <w:widowControl w:val="0"/>
              <w:jc w:val="center"/>
              <w:rPr>
                <w:szCs w:val="21"/>
              </w:rPr>
            </w:pPr>
            <w:r>
              <w:rPr>
                <w:rFonts w:hint="eastAsia"/>
                <w:color w:val="auto"/>
              </w:rPr>
              <w:t>0</w:t>
            </w:r>
          </w:p>
        </w:tc>
        <w:tc>
          <w:tcPr>
            <w:tcW w:w="1217" w:type="dxa"/>
            <w:tcBorders>
              <w:bottom w:val="single" w:color="auto" w:sz="4" w:space="0"/>
            </w:tcBorders>
            <w:vAlign w:val="center"/>
          </w:tcPr>
          <w:p>
            <w:pPr>
              <w:widowControl w:val="0"/>
              <w:jc w:val="center"/>
              <w:rPr>
                <w:szCs w:val="21"/>
              </w:rPr>
            </w:pPr>
            <w:r>
              <w:rPr>
                <w:rFonts w:hint="eastAsia"/>
                <w:szCs w:val="21"/>
              </w:rPr>
              <w:t>/</w:t>
            </w:r>
          </w:p>
        </w:tc>
        <w:tc>
          <w:tcPr>
            <w:tcW w:w="1211" w:type="dxa"/>
            <w:tcBorders>
              <w:bottom w:val="single" w:color="auto" w:sz="4" w:space="0"/>
            </w:tcBorders>
            <w:vAlign w:val="center"/>
          </w:tcPr>
          <w:p>
            <w:pPr>
              <w:widowControl w:val="0"/>
              <w:jc w:val="center"/>
              <w:rPr>
                <w:rFonts w:hint="eastAsia"/>
                <w:szCs w:val="21"/>
              </w:rPr>
            </w:pPr>
            <w:r>
              <w:rPr>
                <w:rStyle w:val="71"/>
                <w:rFonts w:hint="eastAsia"/>
                <w:color w:val="auto"/>
              </w:rPr>
              <w:t>194.05</w:t>
            </w:r>
          </w:p>
        </w:tc>
        <w:tc>
          <w:tcPr>
            <w:tcW w:w="1211" w:type="dxa"/>
            <w:tcBorders>
              <w:bottom w:val="single" w:color="auto" w:sz="4" w:space="0"/>
            </w:tcBorders>
            <w:vAlign w:val="center"/>
          </w:tcPr>
          <w:p>
            <w:pPr>
              <w:widowControl w:val="0"/>
              <w:jc w:val="both"/>
              <w:rPr>
                <w:szCs w:val="21"/>
              </w:rPr>
            </w:pPr>
            <w:r>
              <w:rPr>
                <w:szCs w:val="21"/>
              </w:rPr>
              <w:t>/</w:t>
            </w:r>
          </w:p>
        </w:tc>
      </w:tr>
    </w:tbl>
    <w:p>
      <w:pPr>
        <w:rPr>
          <w:szCs w:val="21"/>
        </w:rPr>
      </w:pPr>
    </w:p>
    <w:p>
      <w:pPr>
        <w:pStyle w:val="17"/>
      </w:pPr>
      <w:bookmarkStart w:id="93" w:name="_Hlk155082088"/>
    </w:p>
    <w:tbl>
      <w:tblPr>
        <w:tblStyle w:val="39"/>
        <w:tblW w:w="141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7"/>
        <w:gridCol w:w="12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vAlign w:val="center"/>
          </w:tcPr>
          <w:sdt>
            <w:sdtPr>
              <w:tag w:val="_PLD_1525b90cb0c248978acb54a7f361f6a2"/>
              <w:id w:val="6032"/>
            </w:sdtPr>
            <w:sdtContent>
              <w:p>
                <w:pPr>
                  <w:widowControl w:val="0"/>
                  <w:jc w:val="center"/>
                  <w:rPr>
                    <w:szCs w:val="21"/>
                  </w:rPr>
                </w:pPr>
                <w:r>
                  <w:rPr>
                    <w:rFonts w:hint="eastAsia"/>
                    <w:szCs w:val="21"/>
                  </w:rPr>
                  <w:t>姓名</w:t>
                </w:r>
              </w:p>
            </w:sdtContent>
          </w:sdt>
        </w:tc>
        <w:tc>
          <w:tcPr>
            <w:tcW w:w="12412" w:type="dxa"/>
            <w:vAlign w:val="center"/>
          </w:tcPr>
          <w:sdt>
            <w:sdtPr>
              <w:tag w:val="_PLD_61b466aae87d4dac813a38c2c8e6a492"/>
              <w:id w:val="6033"/>
            </w:sdtPr>
            <w:sdtContent>
              <w:p>
                <w:pPr>
                  <w:widowControl w:val="0"/>
                  <w:jc w:val="center"/>
                  <w:rPr>
                    <w:szCs w:val="21"/>
                  </w:rPr>
                </w:pPr>
                <w:r>
                  <w:rPr>
                    <w:szCs w:val="21"/>
                  </w:rPr>
                  <w:t>主要工作经历</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vAlign w:val="center"/>
          </w:tcPr>
          <w:p>
            <w:pPr>
              <w:widowControl w:val="0"/>
              <w:jc w:val="center"/>
              <w:rPr>
                <w:szCs w:val="21"/>
              </w:rPr>
            </w:pPr>
            <w:r>
              <w:rPr>
                <w:rFonts w:hint="eastAsia"/>
                <w:color w:val="auto"/>
              </w:rPr>
              <w:t>周云祥</w:t>
            </w:r>
          </w:p>
        </w:tc>
        <w:tc>
          <w:tcPr>
            <w:tcW w:w="12412" w:type="dxa"/>
            <w:vAlign w:val="center"/>
          </w:tcPr>
          <w:p>
            <w:pPr>
              <w:widowControl w:val="0"/>
              <w:jc w:val="both"/>
              <w:rPr>
                <w:szCs w:val="21"/>
              </w:rPr>
            </w:pPr>
            <w:r>
              <w:rPr>
                <w:rFonts w:hint="eastAsia"/>
                <w:color w:val="auto"/>
              </w:rPr>
              <w:t>本科，管理学学士。曾任柳州银行股份有限公司柳东支行负责人、科技支行行长、投资理财部总经理，广西柳州市金融投资发展集团有限公司副总经理；现任广西柳州市产业投资发展集团有限公司党委书记、董事长，东风柳州汽车有限公司副董事长，柳州两面针股份有限公司党委书记、董事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vAlign w:val="center"/>
          </w:tcPr>
          <w:p>
            <w:pPr>
              <w:widowControl w:val="0"/>
              <w:jc w:val="center"/>
              <w:rPr>
                <w:szCs w:val="21"/>
              </w:rPr>
            </w:pPr>
            <w:r>
              <w:rPr>
                <w:rFonts w:hint="eastAsia"/>
                <w:color w:val="auto"/>
              </w:rPr>
              <w:t>林钻煌（离任）</w:t>
            </w:r>
          </w:p>
        </w:tc>
        <w:tc>
          <w:tcPr>
            <w:tcW w:w="12412" w:type="dxa"/>
            <w:vAlign w:val="center"/>
          </w:tcPr>
          <w:p>
            <w:pPr>
              <w:widowControl w:val="0"/>
              <w:jc w:val="both"/>
              <w:rPr>
                <w:szCs w:val="21"/>
              </w:rPr>
            </w:pPr>
            <w:r>
              <w:rPr>
                <w:rFonts w:hint="eastAsia"/>
                <w:color w:val="auto"/>
              </w:rPr>
              <w:t>博士，高级工程师。曾任柳州两面针股份有限公司总裁、党委书记、董事长，广西两面针亿康药业股份有限公司董事长，安徽两面针·芳草日化有限公司董事长，两面针（江苏）实业有限公司董事长。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vAlign w:val="center"/>
          </w:tcPr>
          <w:p>
            <w:pPr>
              <w:widowControl w:val="0"/>
              <w:jc w:val="center"/>
              <w:rPr>
                <w:szCs w:val="21"/>
              </w:rPr>
            </w:pPr>
            <w:r>
              <w:rPr>
                <w:rFonts w:hint="eastAsia"/>
                <w:color w:val="auto"/>
              </w:rPr>
              <w:t>龚慧泉</w:t>
            </w:r>
          </w:p>
        </w:tc>
        <w:tc>
          <w:tcPr>
            <w:tcW w:w="12412" w:type="dxa"/>
            <w:vAlign w:val="center"/>
          </w:tcPr>
          <w:p>
            <w:pPr>
              <w:widowControl w:val="0"/>
              <w:jc w:val="both"/>
              <w:rPr>
                <w:szCs w:val="21"/>
              </w:rPr>
            </w:pPr>
            <w:r>
              <w:rPr>
                <w:rFonts w:hint="eastAsia"/>
                <w:color w:val="auto"/>
              </w:rPr>
              <w:t>研究生，经济师。曾任广西柳州市产业投资发展集团有限公司党委委员、董事、副总经理，柳州化工股份有限公司监事会召集人，东风柳州汽车有限公司董事，柳州桂中海迅物流股份有限公司副董事长，柳州市政府创新创业投资引导基金管理有限公司副总经理，柳州市智甲金属科技有限公司董事，柳州欧维姆机械股份有限公司董事，柳州市元成金属制品有限责任公司执行董事。现任柳州两面针股份有限公司党委副书记、副董事长、总裁，广西两面针亿康药业股份有限公司董事长，安徽两面针·芳草日化有限公司董事长，两面针（江苏）实业有限公司董事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vAlign w:val="center"/>
          </w:tcPr>
          <w:p>
            <w:pPr>
              <w:widowControl w:val="0"/>
              <w:jc w:val="center"/>
              <w:rPr>
                <w:szCs w:val="21"/>
              </w:rPr>
            </w:pPr>
            <w:r>
              <w:rPr>
                <w:rFonts w:hint="eastAsia"/>
                <w:color w:val="auto"/>
              </w:rPr>
              <w:t>王为民（离任）</w:t>
            </w:r>
          </w:p>
        </w:tc>
        <w:tc>
          <w:tcPr>
            <w:tcW w:w="12412" w:type="dxa"/>
            <w:vAlign w:val="center"/>
          </w:tcPr>
          <w:p>
            <w:pPr>
              <w:widowControl w:val="0"/>
              <w:jc w:val="both"/>
              <w:rPr>
                <w:szCs w:val="21"/>
              </w:rPr>
            </w:pPr>
            <w:r>
              <w:rPr>
                <w:rFonts w:hint="eastAsia"/>
                <w:color w:val="auto"/>
              </w:rPr>
              <w:t>本科，会计师。曾任柳州两面针股份有限公司董事会秘书、董事、副总裁、财务总监，柳州两面针房地产开发有限公司董事长、盐城捷康三氯蔗糖制造有限公司董事长。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vAlign w:val="center"/>
          </w:tcPr>
          <w:p>
            <w:pPr>
              <w:widowControl w:val="0"/>
              <w:jc w:val="center"/>
              <w:rPr>
                <w:szCs w:val="21"/>
              </w:rPr>
            </w:pPr>
            <w:r>
              <w:rPr>
                <w:rFonts w:hint="eastAsia"/>
                <w:color w:val="auto"/>
              </w:rPr>
              <w:t>熊剑峰</w:t>
            </w:r>
          </w:p>
        </w:tc>
        <w:tc>
          <w:tcPr>
            <w:tcW w:w="12412" w:type="dxa"/>
            <w:vAlign w:val="center"/>
          </w:tcPr>
          <w:p>
            <w:pPr>
              <w:widowControl w:val="0"/>
              <w:jc w:val="both"/>
              <w:rPr>
                <w:szCs w:val="21"/>
              </w:rPr>
            </w:pPr>
            <w:r>
              <w:rPr>
                <w:rFonts w:hint="eastAsia"/>
                <w:color w:val="auto"/>
              </w:rPr>
              <w:t>本科，管理学学士和法学学士。曾任广西玉柴机器集团有限公司人力资源部总经理助理，玉柴东特专用汽车有限公司副总经理、总经理，广西柳州市产业投资发展集团有限公司投资发展部部长、战略投融资部总经理，柳州市政府投资引导基金责任有限公司董事长、总经理，柳州市创新创业投资引导基金有限责任公司董事长、总经理。现任柳州两面针股份有限公司副总裁，兼任柳州两面针供应链有限公司经理、董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vAlign w:val="center"/>
          </w:tcPr>
          <w:p>
            <w:pPr>
              <w:widowControl w:val="0"/>
              <w:jc w:val="center"/>
              <w:rPr>
                <w:szCs w:val="21"/>
              </w:rPr>
            </w:pPr>
            <w:r>
              <w:rPr>
                <w:rFonts w:hint="eastAsia"/>
                <w:color w:val="auto"/>
              </w:rPr>
              <w:t>孙雪东</w:t>
            </w:r>
          </w:p>
        </w:tc>
        <w:tc>
          <w:tcPr>
            <w:tcW w:w="12412" w:type="dxa"/>
            <w:vAlign w:val="center"/>
          </w:tcPr>
          <w:p>
            <w:pPr>
              <w:widowControl w:val="0"/>
              <w:jc w:val="both"/>
              <w:rPr>
                <w:szCs w:val="21"/>
              </w:rPr>
            </w:pPr>
            <w:r>
              <w:rPr>
                <w:rFonts w:hint="eastAsia"/>
                <w:color w:val="auto"/>
              </w:rPr>
              <w:t>研究生，一级教师（中学）职称。现任广西柳州市产业投资发展集团有限公司党委委员、副总经理、总法律顾问（兼）、首席合规官（兼），广西桂威投资股份有限公司董事，柳州化工股份有限公司董事，柳州市工业控股有限公司董事长，柳州市纺织控股（集团）有限公司董事、总经理，柳州市智甲金属科技有限公司董事，柳州市资产经营有限公司董事长，柳州市产业引导基金投资管理有限公司董事长、总经理，广西柳州市具身智能发展有限公司董事长、总经理，柳州两面针股份有限公司董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vAlign w:val="center"/>
          </w:tcPr>
          <w:p>
            <w:pPr>
              <w:widowControl w:val="0"/>
              <w:jc w:val="center"/>
              <w:rPr>
                <w:szCs w:val="21"/>
              </w:rPr>
            </w:pPr>
            <w:r>
              <w:rPr>
                <w:rFonts w:hint="eastAsia"/>
                <w:color w:val="auto"/>
              </w:rPr>
              <w:t>唐 鹏（离任）</w:t>
            </w:r>
          </w:p>
        </w:tc>
        <w:tc>
          <w:tcPr>
            <w:tcW w:w="12412" w:type="dxa"/>
            <w:vAlign w:val="center"/>
          </w:tcPr>
          <w:p>
            <w:pPr>
              <w:widowControl w:val="0"/>
              <w:jc w:val="both"/>
              <w:rPr>
                <w:szCs w:val="21"/>
              </w:rPr>
            </w:pPr>
            <w:r>
              <w:rPr>
                <w:rFonts w:hint="eastAsia"/>
                <w:color w:val="auto"/>
              </w:rPr>
              <w:t>本科，工程师。曾任柳州两面针股份有限公司督察审计部副部长、计划财务部副部长、日化部行政人事部经理、战略规划部副部长、洗化业务部部长、职工董事，柳州两面针纸业有限公司企管部副部长。现任战略规划部部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vAlign w:val="center"/>
          </w:tcPr>
          <w:p>
            <w:pPr>
              <w:widowControl w:val="0"/>
              <w:jc w:val="center"/>
              <w:rPr>
                <w:szCs w:val="21"/>
              </w:rPr>
            </w:pPr>
            <w:r>
              <w:rPr>
                <w:rFonts w:hint="eastAsia"/>
                <w:color w:val="auto"/>
              </w:rPr>
              <w:t>刘瑰</w:t>
            </w:r>
          </w:p>
        </w:tc>
        <w:tc>
          <w:tcPr>
            <w:tcW w:w="12412" w:type="dxa"/>
            <w:vAlign w:val="center"/>
          </w:tcPr>
          <w:p>
            <w:pPr>
              <w:widowControl w:val="0"/>
              <w:jc w:val="both"/>
              <w:rPr>
                <w:szCs w:val="21"/>
              </w:rPr>
            </w:pPr>
            <w:r>
              <w:rPr>
                <w:rFonts w:hint="eastAsia"/>
                <w:color w:val="auto"/>
              </w:rPr>
              <w:t>研究生，工程师。曾任上汽通用五菱印尼汽车有限公司采购总监、采购及供应链总监，上汽通用五菱汽车股份有限公司采购及伙伴生态中心总监，柳州化工股份有限公司监事会主席。现任广西柳州市产业投资发展集团有限公司副总经理，柳工（柳州）压缩机有限公司董事，柳州化工股份有限公司董事，柳州两面针股份有限公司董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vAlign w:val="center"/>
          </w:tcPr>
          <w:p>
            <w:pPr>
              <w:widowControl w:val="0"/>
              <w:jc w:val="center"/>
              <w:rPr>
                <w:szCs w:val="21"/>
              </w:rPr>
            </w:pPr>
            <w:r>
              <w:rPr>
                <w:rFonts w:hint="eastAsia"/>
                <w:color w:val="auto"/>
              </w:rPr>
              <w:t>张重义（离任）</w:t>
            </w:r>
          </w:p>
        </w:tc>
        <w:tc>
          <w:tcPr>
            <w:tcW w:w="12412" w:type="dxa"/>
            <w:vAlign w:val="center"/>
          </w:tcPr>
          <w:p>
            <w:pPr>
              <w:widowControl w:val="0"/>
              <w:jc w:val="both"/>
              <w:rPr>
                <w:szCs w:val="21"/>
              </w:rPr>
            </w:pPr>
            <w:r>
              <w:rPr>
                <w:rFonts w:hint="eastAsia"/>
                <w:color w:val="auto"/>
              </w:rPr>
              <w:t>博士，福建农林大学蜂学与生物医药学院教授，博士生导师，福建省“闽江学者”特聘教授。现任中国生态学学会中药资源生态学专业委员会主任委员、中国自然资源学会天然药物资源专业委员会副主任委员和国家药品监督管理局中药材GAP专家组成员和药品评审中心外聘专家等。曾任柳州两面针股份有限公司独立董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vAlign w:val="center"/>
          </w:tcPr>
          <w:p>
            <w:pPr>
              <w:widowControl w:val="0"/>
              <w:jc w:val="center"/>
              <w:rPr>
                <w:szCs w:val="21"/>
              </w:rPr>
            </w:pPr>
            <w:r>
              <w:rPr>
                <w:rFonts w:hint="eastAsia"/>
                <w:color w:val="auto"/>
              </w:rPr>
              <w:t>余兵（离任）</w:t>
            </w:r>
          </w:p>
        </w:tc>
        <w:tc>
          <w:tcPr>
            <w:tcW w:w="12412" w:type="dxa"/>
            <w:vAlign w:val="center"/>
          </w:tcPr>
          <w:p>
            <w:pPr>
              <w:widowControl w:val="0"/>
              <w:jc w:val="both"/>
              <w:rPr>
                <w:szCs w:val="21"/>
              </w:rPr>
            </w:pPr>
            <w:r>
              <w:rPr>
                <w:rFonts w:hint="eastAsia"/>
                <w:color w:val="auto"/>
              </w:rPr>
              <w:t>本科，注册会计师。曾任柳州两面针股份有限公司独立董事、中磊会计师事务所广西分所高级经理、大信会计师事务所广西分所高级经理。现任中兴华会计师事务所（特殊普通合伙）广西分所副所长。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vAlign w:val="center"/>
          </w:tcPr>
          <w:p>
            <w:pPr>
              <w:widowControl w:val="0"/>
              <w:jc w:val="center"/>
              <w:rPr>
                <w:szCs w:val="21"/>
              </w:rPr>
            </w:pPr>
            <w:r>
              <w:rPr>
                <w:rFonts w:hint="eastAsia"/>
                <w:color w:val="auto"/>
              </w:rPr>
              <w:t>魏佳（离任）</w:t>
            </w:r>
          </w:p>
        </w:tc>
        <w:tc>
          <w:tcPr>
            <w:tcW w:w="12412" w:type="dxa"/>
            <w:vAlign w:val="center"/>
          </w:tcPr>
          <w:p>
            <w:pPr>
              <w:widowControl w:val="0"/>
              <w:jc w:val="both"/>
              <w:rPr>
                <w:szCs w:val="21"/>
              </w:rPr>
            </w:pPr>
            <w:r>
              <w:rPr>
                <w:rFonts w:hint="eastAsia"/>
                <w:color w:val="auto"/>
              </w:rPr>
              <w:t>法学博士后，法学教授、执业律师。曾任柳州两面针股份有限公司独立董事。现任广西财经学院教授、广西桂盈律师事务所律师、广西经济法学研究会副会长、广西建筑法学研究会副会长。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vAlign w:val="center"/>
          </w:tcPr>
          <w:p>
            <w:pPr>
              <w:widowControl w:val="0"/>
              <w:jc w:val="center"/>
              <w:rPr>
                <w:szCs w:val="21"/>
              </w:rPr>
            </w:pPr>
            <w:r>
              <w:rPr>
                <w:rFonts w:hint="eastAsia"/>
                <w:color w:val="auto"/>
              </w:rPr>
              <w:t>关忠良</w:t>
            </w:r>
          </w:p>
        </w:tc>
        <w:tc>
          <w:tcPr>
            <w:tcW w:w="12412" w:type="dxa"/>
            <w:vAlign w:val="center"/>
          </w:tcPr>
          <w:p>
            <w:pPr>
              <w:widowControl w:val="0"/>
              <w:jc w:val="both"/>
              <w:rPr>
                <w:szCs w:val="21"/>
              </w:rPr>
            </w:pPr>
            <w:r>
              <w:rPr>
                <w:rFonts w:hint="eastAsia"/>
                <w:color w:val="auto"/>
              </w:rPr>
              <w:t>博士研究生。曾任北京交通大学教研室副主任、主任兼党支部书记、经济管理与信息系统研究所所长、中澳商学院院长、经济管理学院副院长、计财处副处长（主持工作）、计财处处长、党委常委、副校长，北京教育会计学会会长，北京茅以升科技教育基金会理事。现任北京交通大学经济管理学院教授，山东玲珑轮胎股份有限公司独立董事，柳州两面针股份有限公司独立董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vAlign w:val="center"/>
          </w:tcPr>
          <w:p>
            <w:pPr>
              <w:widowControl w:val="0"/>
              <w:jc w:val="center"/>
              <w:rPr>
                <w:szCs w:val="21"/>
              </w:rPr>
            </w:pPr>
            <w:r>
              <w:rPr>
                <w:rFonts w:hint="eastAsia"/>
                <w:color w:val="auto"/>
              </w:rPr>
              <w:t>杨修</w:t>
            </w:r>
          </w:p>
        </w:tc>
        <w:tc>
          <w:tcPr>
            <w:tcW w:w="12412" w:type="dxa"/>
            <w:vAlign w:val="center"/>
          </w:tcPr>
          <w:p>
            <w:pPr>
              <w:widowControl w:val="0"/>
              <w:jc w:val="both"/>
              <w:rPr>
                <w:szCs w:val="21"/>
              </w:rPr>
            </w:pPr>
            <w:r>
              <w:rPr>
                <w:rFonts w:hint="eastAsia"/>
                <w:color w:val="auto"/>
              </w:rPr>
              <w:t>博士，副教授，全球特许管理会计师。曾任广西财经学院会计与审计学院副院长，现任广西财经学院党委办公室、校长办公室副主任、柳州两面针股份有限公司独立董事。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vAlign w:val="center"/>
          </w:tcPr>
          <w:p>
            <w:pPr>
              <w:widowControl w:val="0"/>
              <w:jc w:val="center"/>
              <w:rPr>
                <w:szCs w:val="21"/>
              </w:rPr>
            </w:pPr>
            <w:r>
              <w:rPr>
                <w:rFonts w:hint="eastAsia"/>
                <w:color w:val="auto"/>
              </w:rPr>
              <w:t>刘婷婷</w:t>
            </w:r>
          </w:p>
        </w:tc>
        <w:tc>
          <w:tcPr>
            <w:tcW w:w="12412" w:type="dxa"/>
            <w:vAlign w:val="center"/>
          </w:tcPr>
          <w:p>
            <w:pPr>
              <w:widowControl w:val="0"/>
              <w:jc w:val="both"/>
              <w:rPr>
                <w:szCs w:val="21"/>
              </w:rPr>
            </w:pPr>
            <w:r>
              <w:rPr>
                <w:rFonts w:hint="eastAsia"/>
                <w:color w:val="auto"/>
              </w:rPr>
              <w:t>本科，执业律师。曾任北京市中伦（广州）律师事务所专职律师。现任北京大成（广州）律师事务所专职律师，先后担任顾问、合伙人；兼任第十二届广东省律师协会国际贸易法律专业委员会委员、第十一届广州市律师协会财税与海关法律业务专业委员会委员、第十一届深圳市律师协会海关法律专业委员会顾问，柳州两面针股份有限公司独立董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vAlign w:val="center"/>
          </w:tcPr>
          <w:p>
            <w:pPr>
              <w:widowControl w:val="0"/>
              <w:jc w:val="center"/>
              <w:rPr>
                <w:szCs w:val="21"/>
              </w:rPr>
            </w:pPr>
            <w:r>
              <w:rPr>
                <w:rFonts w:hint="eastAsia"/>
                <w:color w:val="auto"/>
              </w:rPr>
              <w:t>杨 玲</w:t>
            </w:r>
          </w:p>
        </w:tc>
        <w:tc>
          <w:tcPr>
            <w:tcW w:w="12412" w:type="dxa"/>
            <w:vAlign w:val="center"/>
          </w:tcPr>
          <w:p>
            <w:pPr>
              <w:widowControl w:val="0"/>
              <w:jc w:val="both"/>
              <w:rPr>
                <w:szCs w:val="21"/>
              </w:rPr>
            </w:pPr>
            <w:r>
              <w:rPr>
                <w:rFonts w:hint="eastAsia"/>
                <w:color w:val="auto"/>
              </w:rPr>
              <w:t>本科，助理记者、高级企业文化师。曾任柳州日报社记者、编辑，柳州两面针股份有限公司办公室副主任、董事会办公室主任、党委委员、纪检监察室主任、党委工作部部长、纪委副书记、企业文化建设办公室主任、人力资源部部长，柳州两面针房地产开发有限公司副总经理，柳州农工商有限责任公司党委副书记、纪委书记。现任柳州两面针股份有限公司副总裁，兼任柳州两面针进出口贸易有限公司执行董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vAlign w:val="center"/>
          </w:tcPr>
          <w:p>
            <w:pPr>
              <w:widowControl w:val="0"/>
              <w:jc w:val="center"/>
              <w:rPr>
                <w:szCs w:val="21"/>
              </w:rPr>
            </w:pPr>
            <w:r>
              <w:rPr>
                <w:rFonts w:hint="eastAsia"/>
                <w:color w:val="auto"/>
              </w:rPr>
              <w:t>韦元贤</w:t>
            </w:r>
          </w:p>
        </w:tc>
        <w:tc>
          <w:tcPr>
            <w:tcW w:w="12412" w:type="dxa"/>
            <w:vAlign w:val="center"/>
          </w:tcPr>
          <w:p>
            <w:pPr>
              <w:widowControl w:val="0"/>
              <w:jc w:val="both"/>
              <w:rPr>
                <w:szCs w:val="21"/>
              </w:rPr>
            </w:pPr>
            <w:r>
              <w:rPr>
                <w:rFonts w:hint="eastAsia"/>
                <w:color w:val="auto"/>
              </w:rPr>
              <w:t>本科，工程师、审计师，持有国家法律职业资格证书、上海证券交易所董事会秘书资格证书。曾任柳州两面针股份有限公司技术中心技术员，销售业务员，法务主管，督察审计部副部长、部长，董事会办公室主任，证券事务代表，盐城捷康三氯蔗糖制造有限公司董事。现任柳州两面针股份有限公司董事会</w:t>
            </w:r>
            <w:r>
              <w:rPr>
                <w:rFonts w:hint="eastAsia"/>
                <w:color w:val="auto"/>
                <w:lang w:val="en-US" w:eastAsia="zh-CN"/>
              </w:rPr>
              <w:t>秘书</w:t>
            </w:r>
            <w:r>
              <w:rPr>
                <w:rFonts w:hint="eastAsia"/>
                <w:color w:val="auto"/>
              </w:rPr>
              <w:t>。</w:t>
            </w:r>
          </w:p>
        </w:tc>
      </w:tr>
    </w:tbl>
    <w:p>
      <w:pPr>
        <w:rPr>
          <w:szCs w:val="21"/>
        </w:rPr>
      </w:pPr>
    </w:p>
    <w:bookmarkEnd w:id="93"/>
    <w:p>
      <w:pPr>
        <w:rPr>
          <w:szCs w:val="21"/>
        </w:rPr>
      </w:pPr>
      <w:r>
        <w:rPr>
          <w:szCs w:val="21"/>
        </w:rPr>
        <w:t>其它情况说明</w:t>
      </w:r>
    </w:p>
    <w:sdt>
      <w:sdtPr>
        <w:rPr>
          <w:szCs w:val="21"/>
        </w:rPr>
        <w:alias w:val="是否适用：董事、监事 和高级管理人员持股变动及报酬情况其他情况说明[双击切换]"/>
        <w:tag w:val="_GBC_9b04f21816b544bc9606e29c2556c9ba"/>
        <w:id w:val="6034"/>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szCs w:val="21"/>
        </w:rPr>
        <w:alias w:val="董事、监事和高级管理人员持股变动及报酬其他情况说明"/>
        <w:tag w:val="_GBC_557fdbc21d794629ab786dcecc519b1c"/>
        <w:id w:val="6035"/>
        <w:placeholder>
          <w:docPart w:val="GBC22222222222222222222222222222"/>
        </w:placeholder>
      </w:sdtPr>
      <w:sdtEndPr>
        <w:rPr>
          <w:rFonts w:ascii="Times New Roman" w:hAnsi="Times New Roman"/>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2025年2月11日，公司发布《关于董事长辞职的公告》（临2025-003），林钻煌先生因到龄退休申请辞去公司董事长、董事、董事会战略委员会、董事会提名委员会的职务。辞职后，林钻煌先生不再担任公司任何职务。</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2025年2月10日，经公司第八届董事会第二十四次会议审议通过，公司董事会决定聘任熊剑峰先生为公司副总裁，详见公司于2025年2月11日发布的《关于聘任公司副总裁的公告》（临2025-007）。</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2025年2月27日，经公司第八届董事会第二十五次会议审议通过，公司董事会决定选举周云祥先生为公司董事长，详见公司于2025年2月28日发布的相关公告。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ascii="Times New Roman" w:hAnsi="Times New Roman"/>
              <w:sz w:val="21"/>
            </w:rPr>
            <w:t>2025年7月2日，公司发布《关于副总裁兼财务负责人离任及总裁代行财务负责人职责的公告》（临2025-028），王为民先生因工作变动申请辞去公司董事、副总裁、财务负责人等职务。辞职后王为民先生不再担任公司任何职务。经公司第八届董事会第二十九次会议审议通过，由总裁龚慧泉先生代行财务负责人职责。</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2025年12月12日，经公司2025</w:t>
          </w:r>
          <w:r>
            <w:rPr>
              <w:rFonts w:hint="eastAsia"/>
              <w:sz w:val="21"/>
              <w:szCs w:val="21"/>
              <w:lang w:val="en-US" w:eastAsia="zh-CN"/>
            </w:rPr>
            <w:t>年</w:t>
          </w:r>
          <w:r>
            <w:rPr>
              <w:rFonts w:hint="eastAsia" w:ascii="Times New Roman" w:hAnsi="Times New Roman" w:eastAsia="宋体"/>
              <w:sz w:val="21"/>
              <w:szCs w:val="21"/>
            </w:rPr>
            <w:t>第二次临时股东大会审议通过，公司决定不再设置监事及监事会，监事会职权由董事会审计委员会行使，详见公司于2025年12月13日发布的相关公告。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2026年1月30日，公司发布《关于选举职工董事的公告》（临2026-005），经职工代表大会选举，俞鹃女士当选为公司第九届董事会职工董事，任期与第九届董事会任期一致。</w:t>
          </w:r>
        </w:p>
        <w:p>
          <w:pPr>
            <w:keepNext w:val="0"/>
            <w:keepLines w:val="0"/>
            <w:pageBreakBefore w:val="0"/>
            <w:widowControl/>
            <w:tabs>
              <w:tab w:val="left" w:pos="4830"/>
            </w:tabs>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sz w:val="21"/>
              <w:szCs w:val="21"/>
            </w:rPr>
            <w:sectPr>
              <w:pgSz w:w="16838" w:h="11906" w:orient="landscape"/>
              <w:pgMar w:top="1797" w:right="1525" w:bottom="1276" w:left="1440" w:header="851" w:footer="992" w:gutter="0"/>
              <w:cols w:space="425" w:num="1"/>
              <w:docGrid w:linePitch="312" w:charSpace="0"/>
            </w:sectPr>
          </w:pPr>
          <w:r>
            <w:rPr>
              <w:rFonts w:hint="eastAsia" w:ascii="Times New Roman" w:hAnsi="Times New Roman" w:eastAsia="宋体"/>
              <w:sz w:val="21"/>
              <w:szCs w:val="21"/>
            </w:rPr>
            <w:t>2026年2月3日，经公司2026年第一次临时股东会审议通过，同意选举周云祥、龚慧泉、熊剑峰、孙雪东、刘瑰、关忠良、刘婷婷、杨修为公司第九届董事；经公司第九届董事会第一次会议审议通过，同意选举周云祥为公司董事长，龚慧泉为公司副董事长。同意聘任龚慧泉为公司总裁，同时代行财务负责人，聘任杨玲、熊剑峰为公司副总裁，聘任韦元贤为公司董事会秘书。具体详见公司于2026年2月4日发布的相关</w:t>
          </w:r>
          <w:r>
            <w:rPr>
              <w:rFonts w:hint="eastAsia"/>
              <w:sz w:val="21"/>
              <w:szCs w:val="21"/>
              <w:lang w:val="en-US" w:eastAsia="zh-CN"/>
            </w:rPr>
            <w:t>公</w:t>
          </w:r>
          <w:r>
            <w:rPr>
              <w:rFonts w:hint="eastAsia" w:ascii="Times New Roman" w:hAnsi="Times New Roman" w:eastAsia="宋体"/>
              <w:sz w:val="21"/>
              <w:szCs w:val="21"/>
            </w:rPr>
            <w:t>告。</w:t>
          </w:r>
        </w:p>
        <w:bookmarkEnd w:id="92"/>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p>
      </w:sdtContent>
    </w:sdt>
    <w:p>
      <w:pPr>
        <w:pStyle w:val="4"/>
        <w:numPr>
          <w:ilvl w:val="0"/>
          <w:numId w:val="22"/>
        </w:numPr>
        <w:ind w:left="0" w:firstLine="0"/>
      </w:pPr>
      <w:r>
        <w:rPr>
          <w:rFonts w:hint="eastAsia"/>
        </w:rPr>
        <w:t>现任及报告期内离任董事和高级管理人员的任职情况</w:t>
      </w:r>
    </w:p>
    <w:p>
      <w:pPr>
        <w:pStyle w:val="5"/>
        <w:numPr>
          <w:ilvl w:val="0"/>
          <w:numId w:val="23"/>
        </w:numPr>
        <w:rPr>
          <w:rFonts w:hint="eastAsia"/>
        </w:rPr>
      </w:pPr>
      <w:r>
        <w:t>在股东单位任职情况</w:t>
      </w:r>
    </w:p>
    <w:sdt>
      <w:sdtPr>
        <w:rPr>
          <w:szCs w:val="21"/>
        </w:rPr>
        <w:alias w:val="是否适用：在股东单位任职情况[双击切换]"/>
        <w:tag w:val="_GBC_c450b54d9ea443cf85cc614c8528526b"/>
        <w:id w:val="6036"/>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9"/>
        <w:gridCol w:w="2366"/>
        <w:gridCol w:w="1820"/>
        <w:gridCol w:w="1535"/>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799" w:type="dxa"/>
            <w:vAlign w:val="center"/>
          </w:tcPr>
          <w:sdt>
            <w:sdtPr>
              <w:tag w:val="_PLD_11f45a37b8cb4cfd8d25787f0979b6e9"/>
              <w:id w:val="6037"/>
            </w:sdtPr>
            <w:sdtContent>
              <w:p>
                <w:pPr>
                  <w:widowControl w:val="0"/>
                  <w:jc w:val="center"/>
                  <w:rPr>
                    <w:szCs w:val="21"/>
                  </w:rPr>
                </w:pPr>
                <w:r>
                  <w:rPr>
                    <w:szCs w:val="21"/>
                  </w:rPr>
                  <w:t>任职人员姓名</w:t>
                </w:r>
              </w:p>
            </w:sdtContent>
          </w:sdt>
        </w:tc>
        <w:tc>
          <w:tcPr>
            <w:tcW w:w="2366" w:type="dxa"/>
            <w:vAlign w:val="center"/>
          </w:tcPr>
          <w:sdt>
            <w:sdtPr>
              <w:tag w:val="_PLD_174ff645994f420ea5626aa7d6f5ddb5"/>
              <w:id w:val="6038"/>
            </w:sdtPr>
            <w:sdtContent>
              <w:p>
                <w:pPr>
                  <w:widowControl w:val="0"/>
                  <w:jc w:val="center"/>
                  <w:rPr>
                    <w:szCs w:val="21"/>
                  </w:rPr>
                </w:pPr>
                <w:r>
                  <w:rPr>
                    <w:szCs w:val="21"/>
                  </w:rPr>
                  <w:t>股东单位名称</w:t>
                </w:r>
              </w:p>
            </w:sdtContent>
          </w:sdt>
        </w:tc>
        <w:tc>
          <w:tcPr>
            <w:tcW w:w="1820" w:type="dxa"/>
            <w:vAlign w:val="center"/>
          </w:tcPr>
          <w:sdt>
            <w:sdtPr>
              <w:tag w:val="_PLD_c5b9ccac06314dc19400d1f75f51ed76"/>
              <w:id w:val="6039"/>
            </w:sdtPr>
            <w:sdtContent>
              <w:p>
                <w:pPr>
                  <w:widowControl w:val="0"/>
                  <w:jc w:val="center"/>
                  <w:rPr>
                    <w:szCs w:val="21"/>
                  </w:rPr>
                </w:pPr>
                <w:r>
                  <w:rPr>
                    <w:szCs w:val="21"/>
                  </w:rPr>
                  <w:t>在股东单位担任的职务</w:t>
                </w:r>
              </w:p>
            </w:sdtContent>
          </w:sdt>
        </w:tc>
        <w:tc>
          <w:tcPr>
            <w:tcW w:w="1535" w:type="dxa"/>
            <w:vAlign w:val="center"/>
          </w:tcPr>
          <w:sdt>
            <w:sdtPr>
              <w:tag w:val="_PLD_6d359bac7e194427adef03e3d072f875"/>
              <w:id w:val="6040"/>
            </w:sdtPr>
            <w:sdtContent>
              <w:p>
                <w:pPr>
                  <w:widowControl w:val="0"/>
                  <w:jc w:val="center"/>
                  <w:rPr>
                    <w:szCs w:val="21"/>
                  </w:rPr>
                </w:pPr>
                <w:r>
                  <w:rPr>
                    <w:szCs w:val="21"/>
                  </w:rPr>
                  <w:t>任期起始日期</w:t>
                </w:r>
              </w:p>
            </w:sdtContent>
          </w:sdt>
        </w:tc>
        <w:tc>
          <w:tcPr>
            <w:tcW w:w="1526" w:type="dxa"/>
            <w:vAlign w:val="center"/>
          </w:tcPr>
          <w:sdt>
            <w:sdtPr>
              <w:tag w:val="_PLD_ba28085d64d240089bfcbff8c64cf230"/>
              <w:id w:val="6041"/>
            </w:sdtPr>
            <w:sdtContent>
              <w:p>
                <w:pPr>
                  <w:widowControl w:val="0"/>
                  <w:jc w:val="center"/>
                  <w:rPr>
                    <w:szCs w:val="21"/>
                  </w:rPr>
                </w:pPr>
                <w:r>
                  <w:rPr>
                    <w:szCs w:val="21"/>
                  </w:rPr>
                  <w:t>任期终止日期</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799" w:type="dxa"/>
            <w:vAlign w:val="center"/>
          </w:tcPr>
          <w:p>
            <w:pPr>
              <w:widowControl w:val="0"/>
              <w:jc w:val="center"/>
              <w:rPr>
                <w:szCs w:val="21"/>
              </w:rPr>
            </w:pPr>
            <w:r>
              <w:rPr>
                <w:rFonts w:hint="eastAsia"/>
                <w:color w:val="auto"/>
                <w:szCs w:val="21"/>
              </w:rPr>
              <w:t>周云祥</w:t>
            </w:r>
          </w:p>
        </w:tc>
        <w:tc>
          <w:tcPr>
            <w:tcW w:w="2366" w:type="dxa"/>
            <w:vAlign w:val="center"/>
          </w:tcPr>
          <w:p>
            <w:pPr>
              <w:widowControl w:val="0"/>
              <w:jc w:val="center"/>
              <w:rPr>
                <w:szCs w:val="21"/>
              </w:rPr>
            </w:pPr>
            <w:r>
              <w:rPr>
                <w:rFonts w:hint="eastAsia"/>
                <w:color w:val="auto"/>
                <w:szCs w:val="21"/>
              </w:rPr>
              <w:t>广西柳州市产业投资发展集团有限公司</w:t>
            </w:r>
          </w:p>
        </w:tc>
        <w:tc>
          <w:tcPr>
            <w:tcW w:w="1820" w:type="dxa"/>
            <w:vAlign w:val="center"/>
          </w:tcPr>
          <w:p>
            <w:pPr>
              <w:widowControl w:val="0"/>
              <w:jc w:val="center"/>
              <w:rPr>
                <w:szCs w:val="21"/>
              </w:rPr>
            </w:pPr>
            <w:r>
              <w:rPr>
                <w:rFonts w:hint="eastAsia"/>
                <w:color w:val="auto"/>
                <w:szCs w:val="21"/>
              </w:rPr>
              <w:t>党委书记</w:t>
            </w:r>
          </w:p>
        </w:tc>
        <w:tc>
          <w:tcPr>
            <w:tcW w:w="1535" w:type="dxa"/>
            <w:vAlign w:val="center"/>
          </w:tcPr>
          <w:p>
            <w:pPr>
              <w:widowControl w:val="0"/>
              <w:jc w:val="center"/>
              <w:rPr>
                <w:szCs w:val="21"/>
              </w:rPr>
            </w:pPr>
            <w:r>
              <w:rPr>
                <w:rFonts w:hint="eastAsia"/>
                <w:color w:val="auto"/>
                <w:szCs w:val="21"/>
              </w:rPr>
              <w:t>2022.07</w:t>
            </w:r>
          </w:p>
        </w:tc>
        <w:tc>
          <w:tcPr>
            <w:tcW w:w="1526"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799" w:type="dxa"/>
            <w:vAlign w:val="center"/>
          </w:tcPr>
          <w:p>
            <w:pPr>
              <w:widowControl w:val="0"/>
              <w:jc w:val="center"/>
              <w:rPr>
                <w:szCs w:val="21"/>
              </w:rPr>
            </w:pPr>
            <w:r>
              <w:rPr>
                <w:rFonts w:hint="eastAsia"/>
                <w:color w:val="auto"/>
                <w:szCs w:val="21"/>
              </w:rPr>
              <w:t>周云祥</w:t>
            </w:r>
          </w:p>
        </w:tc>
        <w:tc>
          <w:tcPr>
            <w:tcW w:w="2366" w:type="dxa"/>
            <w:vAlign w:val="center"/>
          </w:tcPr>
          <w:p>
            <w:pPr>
              <w:widowControl w:val="0"/>
              <w:jc w:val="center"/>
              <w:rPr>
                <w:szCs w:val="21"/>
              </w:rPr>
            </w:pPr>
            <w:r>
              <w:rPr>
                <w:rFonts w:hint="eastAsia"/>
                <w:color w:val="auto"/>
                <w:szCs w:val="21"/>
              </w:rPr>
              <w:t>广西柳州市产业投资发展集团有限公司</w:t>
            </w:r>
          </w:p>
        </w:tc>
        <w:tc>
          <w:tcPr>
            <w:tcW w:w="1820" w:type="dxa"/>
            <w:vAlign w:val="center"/>
          </w:tcPr>
          <w:p>
            <w:pPr>
              <w:widowControl w:val="0"/>
              <w:jc w:val="center"/>
              <w:rPr>
                <w:szCs w:val="21"/>
              </w:rPr>
            </w:pPr>
            <w:r>
              <w:rPr>
                <w:rFonts w:hint="eastAsia"/>
                <w:color w:val="auto"/>
                <w:szCs w:val="21"/>
              </w:rPr>
              <w:t>董事长</w:t>
            </w:r>
          </w:p>
        </w:tc>
        <w:tc>
          <w:tcPr>
            <w:tcW w:w="1535" w:type="dxa"/>
            <w:vAlign w:val="center"/>
          </w:tcPr>
          <w:p>
            <w:pPr>
              <w:widowControl w:val="0"/>
              <w:jc w:val="center"/>
              <w:rPr>
                <w:szCs w:val="21"/>
              </w:rPr>
            </w:pPr>
            <w:r>
              <w:rPr>
                <w:rFonts w:hint="eastAsia"/>
                <w:color w:val="auto"/>
                <w:szCs w:val="21"/>
              </w:rPr>
              <w:t>2022.07</w:t>
            </w:r>
          </w:p>
        </w:tc>
        <w:tc>
          <w:tcPr>
            <w:tcW w:w="1526"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799" w:type="dxa"/>
            <w:vAlign w:val="center"/>
          </w:tcPr>
          <w:p>
            <w:pPr>
              <w:widowControl w:val="0"/>
              <w:jc w:val="center"/>
              <w:rPr>
                <w:szCs w:val="21"/>
              </w:rPr>
            </w:pPr>
            <w:r>
              <w:rPr>
                <w:rFonts w:hint="eastAsia"/>
                <w:color w:val="auto"/>
                <w:szCs w:val="21"/>
              </w:rPr>
              <w:t>孙雪东</w:t>
            </w:r>
          </w:p>
        </w:tc>
        <w:tc>
          <w:tcPr>
            <w:tcW w:w="2366" w:type="dxa"/>
            <w:vAlign w:val="center"/>
          </w:tcPr>
          <w:p>
            <w:pPr>
              <w:widowControl w:val="0"/>
              <w:jc w:val="center"/>
              <w:rPr>
                <w:szCs w:val="21"/>
              </w:rPr>
            </w:pPr>
            <w:r>
              <w:rPr>
                <w:rFonts w:hint="eastAsia"/>
                <w:color w:val="auto"/>
                <w:szCs w:val="21"/>
              </w:rPr>
              <w:t>广西柳州市产业投资发展集团有限公司</w:t>
            </w:r>
          </w:p>
        </w:tc>
        <w:tc>
          <w:tcPr>
            <w:tcW w:w="1820" w:type="dxa"/>
            <w:vAlign w:val="center"/>
          </w:tcPr>
          <w:p>
            <w:pPr>
              <w:widowControl w:val="0"/>
              <w:jc w:val="center"/>
              <w:rPr>
                <w:szCs w:val="21"/>
              </w:rPr>
            </w:pPr>
            <w:r>
              <w:rPr>
                <w:rFonts w:hint="eastAsia"/>
                <w:color w:val="auto"/>
                <w:szCs w:val="21"/>
              </w:rPr>
              <w:t>副总经理</w:t>
            </w:r>
          </w:p>
        </w:tc>
        <w:tc>
          <w:tcPr>
            <w:tcW w:w="1535" w:type="dxa"/>
            <w:vAlign w:val="center"/>
          </w:tcPr>
          <w:p>
            <w:pPr>
              <w:widowControl w:val="0"/>
              <w:jc w:val="center"/>
              <w:rPr>
                <w:szCs w:val="21"/>
              </w:rPr>
            </w:pPr>
            <w:r>
              <w:rPr>
                <w:rFonts w:hint="eastAsia"/>
                <w:color w:val="auto"/>
                <w:szCs w:val="21"/>
              </w:rPr>
              <w:t>2019.05</w:t>
            </w:r>
          </w:p>
        </w:tc>
        <w:tc>
          <w:tcPr>
            <w:tcW w:w="1526"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799" w:type="dxa"/>
            <w:vAlign w:val="center"/>
          </w:tcPr>
          <w:p>
            <w:pPr>
              <w:widowControl w:val="0"/>
              <w:jc w:val="center"/>
              <w:rPr>
                <w:szCs w:val="21"/>
              </w:rPr>
            </w:pPr>
            <w:r>
              <w:rPr>
                <w:rFonts w:hint="eastAsia"/>
                <w:color w:val="auto"/>
                <w:szCs w:val="21"/>
              </w:rPr>
              <w:t>孙雪东</w:t>
            </w:r>
          </w:p>
        </w:tc>
        <w:tc>
          <w:tcPr>
            <w:tcW w:w="2366" w:type="dxa"/>
            <w:vAlign w:val="center"/>
          </w:tcPr>
          <w:p>
            <w:pPr>
              <w:widowControl w:val="0"/>
              <w:jc w:val="center"/>
              <w:rPr>
                <w:szCs w:val="21"/>
              </w:rPr>
            </w:pPr>
            <w:r>
              <w:rPr>
                <w:rFonts w:hint="eastAsia"/>
                <w:color w:val="auto"/>
                <w:szCs w:val="21"/>
              </w:rPr>
              <w:t>广西柳州市产业投资发展集团有限公司</w:t>
            </w:r>
          </w:p>
        </w:tc>
        <w:tc>
          <w:tcPr>
            <w:tcW w:w="1820" w:type="dxa"/>
            <w:vAlign w:val="center"/>
          </w:tcPr>
          <w:p>
            <w:pPr>
              <w:widowControl w:val="0"/>
              <w:jc w:val="center"/>
              <w:rPr>
                <w:szCs w:val="21"/>
              </w:rPr>
            </w:pPr>
            <w:r>
              <w:rPr>
                <w:rFonts w:hint="eastAsia"/>
                <w:color w:val="auto"/>
                <w:szCs w:val="21"/>
              </w:rPr>
              <w:t>总法律顾问</w:t>
            </w:r>
          </w:p>
        </w:tc>
        <w:tc>
          <w:tcPr>
            <w:tcW w:w="1535" w:type="dxa"/>
            <w:vAlign w:val="center"/>
          </w:tcPr>
          <w:p>
            <w:pPr>
              <w:widowControl w:val="0"/>
              <w:jc w:val="center"/>
              <w:rPr>
                <w:szCs w:val="21"/>
              </w:rPr>
            </w:pPr>
            <w:r>
              <w:rPr>
                <w:rFonts w:hint="eastAsia"/>
                <w:color w:val="auto"/>
                <w:szCs w:val="21"/>
              </w:rPr>
              <w:t>2019.08</w:t>
            </w:r>
          </w:p>
        </w:tc>
        <w:tc>
          <w:tcPr>
            <w:tcW w:w="1526"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799" w:type="dxa"/>
            <w:vAlign w:val="center"/>
          </w:tcPr>
          <w:p>
            <w:pPr>
              <w:widowControl w:val="0"/>
              <w:jc w:val="center"/>
              <w:rPr>
                <w:szCs w:val="21"/>
              </w:rPr>
            </w:pPr>
            <w:r>
              <w:rPr>
                <w:rFonts w:hint="eastAsia"/>
                <w:color w:val="auto"/>
                <w:szCs w:val="21"/>
              </w:rPr>
              <w:t>孙雪东</w:t>
            </w:r>
          </w:p>
        </w:tc>
        <w:tc>
          <w:tcPr>
            <w:tcW w:w="2366" w:type="dxa"/>
            <w:vAlign w:val="center"/>
          </w:tcPr>
          <w:p>
            <w:pPr>
              <w:widowControl w:val="0"/>
              <w:jc w:val="center"/>
              <w:rPr>
                <w:szCs w:val="21"/>
              </w:rPr>
            </w:pPr>
            <w:r>
              <w:rPr>
                <w:rFonts w:hint="eastAsia"/>
                <w:color w:val="auto"/>
                <w:szCs w:val="21"/>
              </w:rPr>
              <w:t>广西柳州市产业投资发展集团有限公司</w:t>
            </w:r>
          </w:p>
        </w:tc>
        <w:tc>
          <w:tcPr>
            <w:tcW w:w="1820" w:type="dxa"/>
            <w:vAlign w:val="center"/>
          </w:tcPr>
          <w:p>
            <w:pPr>
              <w:widowControl w:val="0"/>
              <w:jc w:val="center"/>
              <w:rPr>
                <w:szCs w:val="21"/>
              </w:rPr>
            </w:pPr>
            <w:r>
              <w:rPr>
                <w:rFonts w:hint="eastAsia"/>
                <w:color w:val="auto"/>
                <w:szCs w:val="21"/>
              </w:rPr>
              <w:t>党委委员</w:t>
            </w:r>
          </w:p>
        </w:tc>
        <w:tc>
          <w:tcPr>
            <w:tcW w:w="1535" w:type="dxa"/>
            <w:vAlign w:val="center"/>
          </w:tcPr>
          <w:p>
            <w:pPr>
              <w:widowControl w:val="0"/>
              <w:jc w:val="center"/>
              <w:rPr>
                <w:szCs w:val="21"/>
              </w:rPr>
            </w:pPr>
            <w:r>
              <w:rPr>
                <w:rFonts w:hint="eastAsia"/>
                <w:color w:val="auto"/>
                <w:szCs w:val="21"/>
              </w:rPr>
              <w:t>2020.06</w:t>
            </w:r>
          </w:p>
        </w:tc>
        <w:tc>
          <w:tcPr>
            <w:tcW w:w="1526"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799" w:type="dxa"/>
            <w:vAlign w:val="center"/>
          </w:tcPr>
          <w:p>
            <w:pPr>
              <w:widowControl w:val="0"/>
              <w:jc w:val="center"/>
              <w:rPr>
                <w:szCs w:val="21"/>
              </w:rPr>
            </w:pPr>
            <w:r>
              <w:rPr>
                <w:rFonts w:hint="eastAsia"/>
                <w:color w:val="auto"/>
                <w:szCs w:val="21"/>
              </w:rPr>
              <w:t>孙雪东</w:t>
            </w:r>
          </w:p>
        </w:tc>
        <w:tc>
          <w:tcPr>
            <w:tcW w:w="2366" w:type="dxa"/>
            <w:vAlign w:val="center"/>
          </w:tcPr>
          <w:p>
            <w:pPr>
              <w:widowControl w:val="0"/>
              <w:jc w:val="center"/>
              <w:rPr>
                <w:szCs w:val="21"/>
              </w:rPr>
            </w:pPr>
            <w:r>
              <w:rPr>
                <w:rFonts w:hint="eastAsia"/>
                <w:color w:val="auto"/>
                <w:szCs w:val="21"/>
              </w:rPr>
              <w:t>广西柳州市产业投资发展集团有限公司</w:t>
            </w:r>
          </w:p>
        </w:tc>
        <w:tc>
          <w:tcPr>
            <w:tcW w:w="1820" w:type="dxa"/>
            <w:vAlign w:val="center"/>
          </w:tcPr>
          <w:p>
            <w:pPr>
              <w:widowControl w:val="0"/>
              <w:jc w:val="center"/>
              <w:rPr>
                <w:szCs w:val="21"/>
              </w:rPr>
            </w:pPr>
            <w:r>
              <w:rPr>
                <w:rFonts w:hint="eastAsia"/>
                <w:color w:val="auto"/>
                <w:szCs w:val="21"/>
              </w:rPr>
              <w:t>首席合规官</w:t>
            </w:r>
          </w:p>
        </w:tc>
        <w:tc>
          <w:tcPr>
            <w:tcW w:w="1535" w:type="dxa"/>
            <w:vAlign w:val="center"/>
          </w:tcPr>
          <w:p>
            <w:pPr>
              <w:widowControl w:val="0"/>
              <w:jc w:val="center"/>
              <w:rPr>
                <w:szCs w:val="21"/>
              </w:rPr>
            </w:pPr>
            <w:r>
              <w:rPr>
                <w:rFonts w:hint="eastAsia"/>
                <w:color w:val="auto"/>
                <w:szCs w:val="21"/>
              </w:rPr>
              <w:t>2023.08</w:t>
            </w:r>
          </w:p>
        </w:tc>
        <w:tc>
          <w:tcPr>
            <w:tcW w:w="1526"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799" w:type="dxa"/>
            <w:vAlign w:val="center"/>
          </w:tcPr>
          <w:p>
            <w:pPr>
              <w:widowControl w:val="0"/>
              <w:jc w:val="center"/>
              <w:rPr>
                <w:szCs w:val="21"/>
              </w:rPr>
            </w:pPr>
            <w:r>
              <w:rPr>
                <w:rFonts w:hint="eastAsia"/>
                <w:color w:val="auto"/>
                <w:szCs w:val="21"/>
              </w:rPr>
              <w:t>刘瑰</w:t>
            </w:r>
          </w:p>
        </w:tc>
        <w:tc>
          <w:tcPr>
            <w:tcW w:w="2366" w:type="dxa"/>
            <w:vAlign w:val="center"/>
          </w:tcPr>
          <w:p>
            <w:pPr>
              <w:widowControl w:val="0"/>
              <w:jc w:val="center"/>
              <w:rPr>
                <w:szCs w:val="21"/>
              </w:rPr>
            </w:pPr>
            <w:r>
              <w:rPr>
                <w:rFonts w:hint="eastAsia"/>
                <w:color w:val="auto"/>
                <w:szCs w:val="21"/>
              </w:rPr>
              <w:t>广西柳州市产业投资发展集团有限公司</w:t>
            </w:r>
          </w:p>
        </w:tc>
        <w:tc>
          <w:tcPr>
            <w:tcW w:w="1820" w:type="dxa"/>
            <w:vAlign w:val="center"/>
          </w:tcPr>
          <w:p>
            <w:pPr>
              <w:widowControl w:val="0"/>
              <w:jc w:val="center"/>
              <w:rPr>
                <w:szCs w:val="21"/>
              </w:rPr>
            </w:pPr>
            <w:r>
              <w:rPr>
                <w:rFonts w:hint="eastAsia"/>
                <w:color w:val="auto"/>
                <w:szCs w:val="21"/>
              </w:rPr>
              <w:t>副总经理</w:t>
            </w:r>
          </w:p>
        </w:tc>
        <w:tc>
          <w:tcPr>
            <w:tcW w:w="1535" w:type="dxa"/>
            <w:vAlign w:val="center"/>
          </w:tcPr>
          <w:p>
            <w:pPr>
              <w:widowControl w:val="0"/>
              <w:jc w:val="center"/>
              <w:rPr>
                <w:szCs w:val="21"/>
              </w:rPr>
            </w:pPr>
            <w:r>
              <w:rPr>
                <w:rFonts w:hint="eastAsia"/>
                <w:color w:val="auto"/>
                <w:szCs w:val="21"/>
              </w:rPr>
              <w:t>2025.02</w:t>
            </w:r>
          </w:p>
        </w:tc>
        <w:tc>
          <w:tcPr>
            <w:tcW w:w="1526"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799" w:type="dxa"/>
            <w:vAlign w:val="center"/>
          </w:tcPr>
          <w:p>
            <w:pPr>
              <w:widowControl w:val="0"/>
              <w:jc w:val="both"/>
              <w:rPr>
                <w:szCs w:val="21"/>
              </w:rPr>
            </w:pPr>
            <w:r>
              <w:rPr>
                <w:szCs w:val="21"/>
              </w:rPr>
              <w:t>在股东单位任职情况的说明</w:t>
            </w:r>
          </w:p>
        </w:tc>
        <w:tc>
          <w:tcPr>
            <w:tcW w:w="7249" w:type="dxa"/>
            <w:gridSpan w:val="4"/>
            <w:vAlign w:val="center"/>
          </w:tcPr>
          <w:p>
            <w:pPr>
              <w:widowControl w:val="0"/>
              <w:jc w:val="both"/>
              <w:rPr>
                <w:szCs w:val="21"/>
              </w:rPr>
            </w:pPr>
            <w:r>
              <w:rPr>
                <w:rFonts w:hint="eastAsia"/>
                <w:color w:val="auto"/>
              </w:rPr>
              <w:t>无</w:t>
            </w:r>
          </w:p>
        </w:tc>
      </w:tr>
    </w:tbl>
    <w:p>
      <w:pPr>
        <w:rPr>
          <w:szCs w:val="21"/>
        </w:rPr>
      </w:pPr>
    </w:p>
    <w:p>
      <w:pPr>
        <w:pStyle w:val="5"/>
        <w:numPr>
          <w:ilvl w:val="0"/>
          <w:numId w:val="23"/>
        </w:numPr>
        <w:rPr>
          <w:rFonts w:hint="eastAsia" w:ascii="宋体" w:hAnsi="宋体" w:cs="宋体"/>
          <w:kern w:val="0"/>
          <w:szCs w:val="24"/>
        </w:rPr>
      </w:pPr>
      <w:r>
        <w:rPr>
          <w:rFonts w:ascii="宋体" w:hAnsi="宋体" w:cs="宋体"/>
          <w:kern w:val="0"/>
          <w:szCs w:val="24"/>
        </w:rPr>
        <w:t>在其他单位任职情况</w:t>
      </w:r>
    </w:p>
    <w:sdt>
      <w:sdtPr>
        <w:rPr>
          <w:szCs w:val="21"/>
        </w:rPr>
        <w:alias w:val="是否适用：在其他单位任职情况[双击切换]"/>
        <w:tag w:val="_GBC_31c17de709bb42fdb7ba137e843fe054"/>
        <w:id w:val="6042"/>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2357"/>
        <w:gridCol w:w="1820"/>
        <w:gridCol w:w="1526"/>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809" w:type="dxa"/>
            <w:vAlign w:val="center"/>
          </w:tcPr>
          <w:sdt>
            <w:sdtPr>
              <w:tag w:val="_PLD_84cb4ce7fc4643b1be607267619a4b88"/>
              <w:id w:val="6043"/>
            </w:sdtPr>
            <w:sdtContent>
              <w:p>
                <w:pPr>
                  <w:widowControl w:val="0"/>
                  <w:jc w:val="center"/>
                  <w:rPr>
                    <w:szCs w:val="21"/>
                  </w:rPr>
                </w:pPr>
                <w:r>
                  <w:rPr>
                    <w:szCs w:val="21"/>
                  </w:rPr>
                  <w:t>任职人员姓名</w:t>
                </w:r>
              </w:p>
            </w:sdtContent>
          </w:sdt>
        </w:tc>
        <w:tc>
          <w:tcPr>
            <w:tcW w:w="2357" w:type="dxa"/>
            <w:vAlign w:val="center"/>
          </w:tcPr>
          <w:sdt>
            <w:sdtPr>
              <w:tag w:val="_PLD_9c5aac001d5a4c2eb3cc0bf1e1f66afe"/>
              <w:id w:val="6044"/>
            </w:sdtPr>
            <w:sdtContent>
              <w:p>
                <w:pPr>
                  <w:widowControl w:val="0"/>
                  <w:jc w:val="center"/>
                  <w:rPr>
                    <w:szCs w:val="21"/>
                  </w:rPr>
                </w:pPr>
                <w:r>
                  <w:rPr>
                    <w:szCs w:val="21"/>
                  </w:rPr>
                  <w:t>其他单位名称</w:t>
                </w:r>
              </w:p>
            </w:sdtContent>
          </w:sdt>
        </w:tc>
        <w:tc>
          <w:tcPr>
            <w:tcW w:w="1820" w:type="dxa"/>
            <w:vAlign w:val="center"/>
          </w:tcPr>
          <w:sdt>
            <w:sdtPr>
              <w:tag w:val="_PLD_a3a2822cc76542afbd1a58b94268af1d"/>
              <w:id w:val="6045"/>
            </w:sdtPr>
            <w:sdtContent>
              <w:p>
                <w:pPr>
                  <w:widowControl w:val="0"/>
                  <w:jc w:val="center"/>
                  <w:rPr>
                    <w:szCs w:val="21"/>
                  </w:rPr>
                </w:pPr>
                <w:r>
                  <w:rPr>
                    <w:szCs w:val="21"/>
                  </w:rPr>
                  <w:t>在其他单位担任的职务</w:t>
                </w:r>
              </w:p>
            </w:sdtContent>
          </w:sdt>
        </w:tc>
        <w:tc>
          <w:tcPr>
            <w:tcW w:w="1526" w:type="dxa"/>
            <w:vAlign w:val="center"/>
          </w:tcPr>
          <w:sdt>
            <w:sdtPr>
              <w:tag w:val="_PLD_1afbd86b2e47420ca2c5a75f01567f2a"/>
              <w:id w:val="6046"/>
            </w:sdtPr>
            <w:sdtContent>
              <w:p>
                <w:pPr>
                  <w:widowControl w:val="0"/>
                  <w:jc w:val="center"/>
                  <w:rPr>
                    <w:szCs w:val="21"/>
                  </w:rPr>
                </w:pPr>
                <w:r>
                  <w:rPr>
                    <w:szCs w:val="21"/>
                  </w:rPr>
                  <w:t>任期起始日期</w:t>
                </w:r>
              </w:p>
            </w:sdtContent>
          </w:sdt>
        </w:tc>
        <w:tc>
          <w:tcPr>
            <w:tcW w:w="1535" w:type="dxa"/>
            <w:vAlign w:val="center"/>
          </w:tcPr>
          <w:sdt>
            <w:sdtPr>
              <w:tag w:val="_PLD_677dde6ffbf24692a6c508831a24eef8"/>
              <w:id w:val="6047"/>
            </w:sdtPr>
            <w:sdtContent>
              <w:p>
                <w:pPr>
                  <w:widowControl w:val="0"/>
                  <w:jc w:val="center"/>
                  <w:rPr>
                    <w:szCs w:val="21"/>
                  </w:rPr>
                </w:pPr>
                <w:r>
                  <w:rPr>
                    <w:szCs w:val="21"/>
                  </w:rPr>
                  <w:t>任期终止日期</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809" w:type="dxa"/>
            <w:vAlign w:val="center"/>
          </w:tcPr>
          <w:p>
            <w:pPr>
              <w:widowControl w:val="0"/>
              <w:jc w:val="center"/>
              <w:rPr>
                <w:szCs w:val="21"/>
              </w:rPr>
            </w:pPr>
            <w:r>
              <w:rPr>
                <w:rFonts w:hint="eastAsia"/>
                <w:color w:val="auto"/>
                <w:szCs w:val="21"/>
              </w:rPr>
              <w:t>周云祥</w:t>
            </w:r>
          </w:p>
        </w:tc>
        <w:tc>
          <w:tcPr>
            <w:tcW w:w="2357" w:type="dxa"/>
            <w:vAlign w:val="center"/>
          </w:tcPr>
          <w:p>
            <w:pPr>
              <w:widowControl w:val="0"/>
              <w:jc w:val="center"/>
              <w:rPr>
                <w:szCs w:val="21"/>
              </w:rPr>
            </w:pPr>
            <w:r>
              <w:rPr>
                <w:rFonts w:hint="eastAsia"/>
                <w:color w:val="auto"/>
                <w:szCs w:val="21"/>
              </w:rPr>
              <w:t>东风柳州汽车有限公司</w:t>
            </w:r>
          </w:p>
        </w:tc>
        <w:tc>
          <w:tcPr>
            <w:tcW w:w="1820" w:type="dxa"/>
            <w:vAlign w:val="center"/>
          </w:tcPr>
          <w:p>
            <w:pPr>
              <w:widowControl w:val="0"/>
              <w:jc w:val="center"/>
              <w:rPr>
                <w:szCs w:val="21"/>
              </w:rPr>
            </w:pPr>
            <w:r>
              <w:rPr>
                <w:rFonts w:hint="eastAsia"/>
                <w:color w:val="auto"/>
                <w:szCs w:val="21"/>
              </w:rPr>
              <w:t>副董事长</w:t>
            </w:r>
          </w:p>
        </w:tc>
        <w:tc>
          <w:tcPr>
            <w:tcW w:w="1526" w:type="dxa"/>
            <w:vAlign w:val="center"/>
          </w:tcPr>
          <w:p>
            <w:pPr>
              <w:widowControl w:val="0"/>
              <w:jc w:val="center"/>
              <w:rPr>
                <w:szCs w:val="21"/>
              </w:rPr>
            </w:pPr>
            <w:r>
              <w:rPr>
                <w:rFonts w:hint="eastAsia"/>
                <w:color w:val="auto"/>
                <w:szCs w:val="21"/>
              </w:rPr>
              <w:t>2022.08</w:t>
            </w:r>
          </w:p>
        </w:tc>
        <w:tc>
          <w:tcPr>
            <w:tcW w:w="1535"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809" w:type="dxa"/>
            <w:vAlign w:val="center"/>
          </w:tcPr>
          <w:p>
            <w:pPr>
              <w:widowControl w:val="0"/>
              <w:jc w:val="center"/>
              <w:rPr>
                <w:szCs w:val="21"/>
              </w:rPr>
            </w:pPr>
            <w:r>
              <w:rPr>
                <w:rFonts w:hint="eastAsia"/>
                <w:color w:val="auto"/>
                <w:szCs w:val="21"/>
              </w:rPr>
              <w:t>孙雪东</w:t>
            </w:r>
          </w:p>
        </w:tc>
        <w:tc>
          <w:tcPr>
            <w:tcW w:w="2357" w:type="dxa"/>
            <w:vAlign w:val="center"/>
          </w:tcPr>
          <w:p>
            <w:pPr>
              <w:widowControl w:val="0"/>
              <w:jc w:val="center"/>
              <w:rPr>
                <w:szCs w:val="21"/>
              </w:rPr>
            </w:pPr>
            <w:r>
              <w:rPr>
                <w:rFonts w:hint="eastAsia"/>
                <w:color w:val="auto"/>
                <w:szCs w:val="21"/>
              </w:rPr>
              <w:t>广西桂威投资股份有限公司</w:t>
            </w:r>
          </w:p>
        </w:tc>
        <w:tc>
          <w:tcPr>
            <w:tcW w:w="1820" w:type="dxa"/>
            <w:vAlign w:val="center"/>
          </w:tcPr>
          <w:p>
            <w:pPr>
              <w:widowControl w:val="0"/>
              <w:jc w:val="center"/>
              <w:rPr>
                <w:szCs w:val="21"/>
              </w:rPr>
            </w:pPr>
            <w:r>
              <w:rPr>
                <w:rFonts w:hint="eastAsia"/>
                <w:color w:val="auto"/>
                <w:szCs w:val="21"/>
              </w:rPr>
              <w:t>董事</w:t>
            </w:r>
          </w:p>
        </w:tc>
        <w:tc>
          <w:tcPr>
            <w:tcW w:w="1526" w:type="dxa"/>
            <w:vAlign w:val="center"/>
          </w:tcPr>
          <w:p>
            <w:pPr>
              <w:widowControl w:val="0"/>
              <w:jc w:val="center"/>
              <w:rPr>
                <w:szCs w:val="21"/>
              </w:rPr>
            </w:pPr>
            <w:r>
              <w:rPr>
                <w:rFonts w:hint="eastAsia"/>
                <w:color w:val="auto"/>
                <w:szCs w:val="21"/>
              </w:rPr>
              <w:t>2019.10</w:t>
            </w:r>
          </w:p>
        </w:tc>
        <w:tc>
          <w:tcPr>
            <w:tcW w:w="1535"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809" w:type="dxa"/>
            <w:vAlign w:val="center"/>
          </w:tcPr>
          <w:p>
            <w:pPr>
              <w:widowControl w:val="0"/>
              <w:jc w:val="center"/>
              <w:rPr>
                <w:szCs w:val="21"/>
              </w:rPr>
            </w:pPr>
            <w:r>
              <w:rPr>
                <w:rFonts w:hint="eastAsia"/>
                <w:color w:val="auto"/>
                <w:szCs w:val="21"/>
              </w:rPr>
              <w:t>孙雪东</w:t>
            </w:r>
          </w:p>
        </w:tc>
        <w:tc>
          <w:tcPr>
            <w:tcW w:w="2357" w:type="dxa"/>
            <w:vAlign w:val="center"/>
          </w:tcPr>
          <w:p>
            <w:pPr>
              <w:widowControl w:val="0"/>
              <w:jc w:val="center"/>
              <w:rPr>
                <w:szCs w:val="21"/>
              </w:rPr>
            </w:pPr>
            <w:r>
              <w:rPr>
                <w:rFonts w:hint="eastAsia"/>
                <w:color w:val="auto"/>
                <w:szCs w:val="21"/>
              </w:rPr>
              <w:t>广西广投柳州铝业股份有限公司</w:t>
            </w:r>
          </w:p>
        </w:tc>
        <w:tc>
          <w:tcPr>
            <w:tcW w:w="1820" w:type="dxa"/>
            <w:vAlign w:val="center"/>
          </w:tcPr>
          <w:p>
            <w:pPr>
              <w:widowControl w:val="0"/>
              <w:jc w:val="center"/>
              <w:rPr>
                <w:szCs w:val="21"/>
              </w:rPr>
            </w:pPr>
            <w:r>
              <w:rPr>
                <w:rFonts w:hint="eastAsia"/>
                <w:color w:val="auto"/>
                <w:szCs w:val="21"/>
              </w:rPr>
              <w:t>董事</w:t>
            </w:r>
          </w:p>
        </w:tc>
        <w:tc>
          <w:tcPr>
            <w:tcW w:w="1526" w:type="dxa"/>
            <w:vAlign w:val="center"/>
          </w:tcPr>
          <w:p>
            <w:pPr>
              <w:widowControl w:val="0"/>
              <w:jc w:val="center"/>
              <w:rPr>
                <w:szCs w:val="21"/>
              </w:rPr>
            </w:pPr>
            <w:r>
              <w:rPr>
                <w:rFonts w:hint="eastAsia"/>
                <w:color w:val="auto"/>
                <w:szCs w:val="21"/>
              </w:rPr>
              <w:t>2019.11</w:t>
            </w:r>
          </w:p>
        </w:tc>
        <w:tc>
          <w:tcPr>
            <w:tcW w:w="1535" w:type="dxa"/>
            <w:vAlign w:val="center"/>
          </w:tcPr>
          <w:p>
            <w:pPr>
              <w:widowControl w:val="0"/>
              <w:jc w:val="center"/>
              <w:rPr>
                <w:szCs w:val="21"/>
              </w:rPr>
            </w:pPr>
            <w:r>
              <w:rPr>
                <w:rFonts w:hint="eastAsia"/>
                <w:color w:val="auto"/>
                <w:szCs w:val="21"/>
              </w:rPr>
              <w:t>2025.05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809" w:type="dxa"/>
            <w:vAlign w:val="center"/>
          </w:tcPr>
          <w:p>
            <w:pPr>
              <w:widowControl w:val="0"/>
              <w:jc w:val="center"/>
              <w:rPr>
                <w:szCs w:val="21"/>
              </w:rPr>
            </w:pPr>
            <w:r>
              <w:rPr>
                <w:rFonts w:hint="eastAsia"/>
                <w:color w:val="auto"/>
                <w:szCs w:val="21"/>
              </w:rPr>
              <w:t>孙雪东</w:t>
            </w:r>
          </w:p>
        </w:tc>
        <w:tc>
          <w:tcPr>
            <w:tcW w:w="2357" w:type="dxa"/>
            <w:vAlign w:val="center"/>
          </w:tcPr>
          <w:p>
            <w:pPr>
              <w:widowControl w:val="0"/>
              <w:jc w:val="center"/>
              <w:rPr>
                <w:szCs w:val="21"/>
              </w:rPr>
            </w:pPr>
            <w:r>
              <w:rPr>
                <w:rFonts w:hint="eastAsia"/>
                <w:color w:val="auto"/>
                <w:szCs w:val="21"/>
              </w:rPr>
              <w:t>柳州市城市更新投资发展有限公司</w:t>
            </w:r>
          </w:p>
        </w:tc>
        <w:tc>
          <w:tcPr>
            <w:tcW w:w="1820" w:type="dxa"/>
            <w:vAlign w:val="center"/>
          </w:tcPr>
          <w:p>
            <w:pPr>
              <w:widowControl w:val="0"/>
              <w:jc w:val="center"/>
              <w:rPr>
                <w:szCs w:val="21"/>
              </w:rPr>
            </w:pPr>
            <w:r>
              <w:rPr>
                <w:rFonts w:hint="eastAsia"/>
                <w:color w:val="auto"/>
                <w:szCs w:val="21"/>
              </w:rPr>
              <w:t>党支部书记</w:t>
            </w:r>
          </w:p>
        </w:tc>
        <w:tc>
          <w:tcPr>
            <w:tcW w:w="1526" w:type="dxa"/>
            <w:vAlign w:val="center"/>
          </w:tcPr>
          <w:p>
            <w:pPr>
              <w:widowControl w:val="0"/>
              <w:jc w:val="center"/>
              <w:rPr>
                <w:szCs w:val="21"/>
              </w:rPr>
            </w:pPr>
            <w:r>
              <w:rPr>
                <w:rFonts w:hint="eastAsia"/>
                <w:color w:val="auto"/>
                <w:szCs w:val="21"/>
              </w:rPr>
              <w:t>2020.11</w:t>
            </w:r>
          </w:p>
        </w:tc>
        <w:tc>
          <w:tcPr>
            <w:tcW w:w="1535"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809" w:type="dxa"/>
            <w:vAlign w:val="center"/>
          </w:tcPr>
          <w:p>
            <w:pPr>
              <w:widowControl w:val="0"/>
              <w:jc w:val="center"/>
              <w:rPr>
                <w:szCs w:val="21"/>
              </w:rPr>
            </w:pPr>
            <w:r>
              <w:rPr>
                <w:rFonts w:hint="eastAsia"/>
                <w:color w:val="auto"/>
                <w:szCs w:val="21"/>
              </w:rPr>
              <w:t>孙雪东</w:t>
            </w:r>
          </w:p>
        </w:tc>
        <w:tc>
          <w:tcPr>
            <w:tcW w:w="2357" w:type="dxa"/>
            <w:vAlign w:val="center"/>
          </w:tcPr>
          <w:p>
            <w:pPr>
              <w:widowControl w:val="0"/>
              <w:jc w:val="center"/>
              <w:rPr>
                <w:szCs w:val="21"/>
              </w:rPr>
            </w:pPr>
            <w:r>
              <w:rPr>
                <w:rFonts w:hint="eastAsia"/>
                <w:color w:val="auto"/>
                <w:szCs w:val="21"/>
              </w:rPr>
              <w:t>柳州化工股份有限公司</w:t>
            </w:r>
          </w:p>
        </w:tc>
        <w:tc>
          <w:tcPr>
            <w:tcW w:w="1820" w:type="dxa"/>
            <w:vAlign w:val="center"/>
          </w:tcPr>
          <w:p>
            <w:pPr>
              <w:widowControl w:val="0"/>
              <w:jc w:val="center"/>
              <w:rPr>
                <w:szCs w:val="21"/>
              </w:rPr>
            </w:pPr>
            <w:r>
              <w:rPr>
                <w:rFonts w:hint="eastAsia"/>
                <w:color w:val="auto"/>
                <w:szCs w:val="21"/>
              </w:rPr>
              <w:t>董事</w:t>
            </w:r>
          </w:p>
        </w:tc>
        <w:tc>
          <w:tcPr>
            <w:tcW w:w="1526" w:type="dxa"/>
            <w:vAlign w:val="center"/>
          </w:tcPr>
          <w:p>
            <w:pPr>
              <w:widowControl w:val="0"/>
              <w:jc w:val="center"/>
              <w:rPr>
                <w:szCs w:val="21"/>
              </w:rPr>
            </w:pPr>
            <w:r>
              <w:rPr>
                <w:rFonts w:hint="eastAsia"/>
                <w:color w:val="auto"/>
                <w:szCs w:val="21"/>
              </w:rPr>
              <w:t>2021.11</w:t>
            </w:r>
          </w:p>
        </w:tc>
        <w:tc>
          <w:tcPr>
            <w:tcW w:w="1535"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809" w:type="dxa"/>
            <w:vAlign w:val="center"/>
          </w:tcPr>
          <w:p>
            <w:pPr>
              <w:widowControl w:val="0"/>
              <w:jc w:val="center"/>
              <w:rPr>
                <w:szCs w:val="21"/>
              </w:rPr>
            </w:pPr>
            <w:r>
              <w:rPr>
                <w:rFonts w:hint="eastAsia"/>
                <w:color w:val="auto"/>
                <w:szCs w:val="21"/>
              </w:rPr>
              <w:t>孙雪东</w:t>
            </w:r>
          </w:p>
        </w:tc>
        <w:tc>
          <w:tcPr>
            <w:tcW w:w="2357" w:type="dxa"/>
            <w:vAlign w:val="center"/>
          </w:tcPr>
          <w:p>
            <w:pPr>
              <w:widowControl w:val="0"/>
              <w:jc w:val="center"/>
              <w:rPr>
                <w:szCs w:val="21"/>
              </w:rPr>
            </w:pPr>
            <w:r>
              <w:rPr>
                <w:rFonts w:hint="eastAsia"/>
                <w:color w:val="auto"/>
                <w:szCs w:val="21"/>
              </w:rPr>
              <w:t>柳州市工业控股有限公司</w:t>
            </w:r>
          </w:p>
        </w:tc>
        <w:tc>
          <w:tcPr>
            <w:tcW w:w="1820" w:type="dxa"/>
            <w:vAlign w:val="center"/>
          </w:tcPr>
          <w:p>
            <w:pPr>
              <w:widowControl w:val="0"/>
              <w:jc w:val="center"/>
              <w:rPr>
                <w:szCs w:val="21"/>
              </w:rPr>
            </w:pPr>
            <w:r>
              <w:rPr>
                <w:rFonts w:hint="eastAsia"/>
                <w:color w:val="auto"/>
                <w:szCs w:val="21"/>
              </w:rPr>
              <w:t>董事长</w:t>
            </w:r>
          </w:p>
        </w:tc>
        <w:tc>
          <w:tcPr>
            <w:tcW w:w="1526" w:type="dxa"/>
            <w:vAlign w:val="center"/>
          </w:tcPr>
          <w:p>
            <w:pPr>
              <w:widowControl w:val="0"/>
              <w:jc w:val="center"/>
              <w:rPr>
                <w:szCs w:val="21"/>
              </w:rPr>
            </w:pPr>
            <w:r>
              <w:rPr>
                <w:rFonts w:hint="eastAsia"/>
                <w:color w:val="auto"/>
                <w:szCs w:val="21"/>
              </w:rPr>
              <w:t>2022.08</w:t>
            </w:r>
          </w:p>
        </w:tc>
        <w:tc>
          <w:tcPr>
            <w:tcW w:w="1535"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809" w:type="dxa"/>
            <w:vAlign w:val="center"/>
          </w:tcPr>
          <w:p>
            <w:pPr>
              <w:widowControl w:val="0"/>
              <w:jc w:val="center"/>
              <w:rPr>
                <w:szCs w:val="21"/>
              </w:rPr>
            </w:pPr>
            <w:r>
              <w:rPr>
                <w:rFonts w:hint="eastAsia"/>
                <w:color w:val="auto"/>
                <w:szCs w:val="21"/>
              </w:rPr>
              <w:t>孙雪东</w:t>
            </w:r>
          </w:p>
        </w:tc>
        <w:tc>
          <w:tcPr>
            <w:tcW w:w="2357" w:type="dxa"/>
            <w:vAlign w:val="center"/>
          </w:tcPr>
          <w:p>
            <w:pPr>
              <w:widowControl w:val="0"/>
              <w:jc w:val="center"/>
              <w:rPr>
                <w:szCs w:val="21"/>
              </w:rPr>
            </w:pPr>
            <w:r>
              <w:rPr>
                <w:rFonts w:hint="eastAsia"/>
                <w:color w:val="auto"/>
                <w:szCs w:val="21"/>
              </w:rPr>
              <w:t>柳州市纺织控股（集团）有限公司</w:t>
            </w:r>
          </w:p>
        </w:tc>
        <w:tc>
          <w:tcPr>
            <w:tcW w:w="1820" w:type="dxa"/>
            <w:vAlign w:val="center"/>
          </w:tcPr>
          <w:p>
            <w:pPr>
              <w:widowControl w:val="0"/>
              <w:jc w:val="center"/>
              <w:rPr>
                <w:szCs w:val="21"/>
              </w:rPr>
            </w:pPr>
            <w:r>
              <w:rPr>
                <w:rFonts w:hint="eastAsia"/>
                <w:color w:val="auto"/>
                <w:szCs w:val="21"/>
              </w:rPr>
              <w:t>执行董事（法定代表人）</w:t>
            </w:r>
          </w:p>
        </w:tc>
        <w:tc>
          <w:tcPr>
            <w:tcW w:w="1526" w:type="dxa"/>
            <w:vAlign w:val="center"/>
          </w:tcPr>
          <w:p>
            <w:pPr>
              <w:widowControl w:val="0"/>
              <w:jc w:val="center"/>
              <w:rPr>
                <w:szCs w:val="21"/>
              </w:rPr>
            </w:pPr>
            <w:r>
              <w:rPr>
                <w:rFonts w:hint="eastAsia"/>
                <w:color w:val="auto"/>
                <w:szCs w:val="21"/>
              </w:rPr>
              <w:t>2022.08</w:t>
            </w:r>
          </w:p>
        </w:tc>
        <w:tc>
          <w:tcPr>
            <w:tcW w:w="1535"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809" w:type="dxa"/>
            <w:vAlign w:val="center"/>
          </w:tcPr>
          <w:p>
            <w:pPr>
              <w:widowControl w:val="0"/>
              <w:jc w:val="center"/>
              <w:rPr>
                <w:szCs w:val="21"/>
              </w:rPr>
            </w:pPr>
            <w:r>
              <w:rPr>
                <w:rFonts w:hint="eastAsia"/>
                <w:color w:val="auto"/>
                <w:szCs w:val="21"/>
              </w:rPr>
              <w:t>孙雪东</w:t>
            </w:r>
          </w:p>
        </w:tc>
        <w:tc>
          <w:tcPr>
            <w:tcW w:w="2357" w:type="dxa"/>
            <w:vAlign w:val="center"/>
          </w:tcPr>
          <w:p>
            <w:pPr>
              <w:widowControl w:val="0"/>
              <w:jc w:val="center"/>
              <w:rPr>
                <w:szCs w:val="21"/>
              </w:rPr>
            </w:pPr>
            <w:r>
              <w:rPr>
                <w:rFonts w:hint="eastAsia"/>
                <w:color w:val="auto"/>
                <w:szCs w:val="21"/>
              </w:rPr>
              <w:t>柳州欧维姆机械股份有限公司</w:t>
            </w:r>
          </w:p>
        </w:tc>
        <w:tc>
          <w:tcPr>
            <w:tcW w:w="1820" w:type="dxa"/>
            <w:vAlign w:val="center"/>
          </w:tcPr>
          <w:p>
            <w:pPr>
              <w:widowControl w:val="0"/>
              <w:jc w:val="center"/>
              <w:rPr>
                <w:szCs w:val="21"/>
              </w:rPr>
            </w:pPr>
            <w:r>
              <w:rPr>
                <w:rFonts w:hint="eastAsia"/>
                <w:color w:val="auto"/>
                <w:szCs w:val="21"/>
              </w:rPr>
              <w:t>董事</w:t>
            </w:r>
          </w:p>
        </w:tc>
        <w:tc>
          <w:tcPr>
            <w:tcW w:w="1526" w:type="dxa"/>
            <w:vAlign w:val="center"/>
          </w:tcPr>
          <w:p>
            <w:pPr>
              <w:widowControl w:val="0"/>
              <w:jc w:val="center"/>
              <w:rPr>
                <w:szCs w:val="21"/>
              </w:rPr>
            </w:pPr>
            <w:r>
              <w:rPr>
                <w:rFonts w:hint="eastAsia"/>
                <w:color w:val="auto"/>
                <w:szCs w:val="21"/>
              </w:rPr>
              <w:t>2022.08</w:t>
            </w:r>
          </w:p>
        </w:tc>
        <w:tc>
          <w:tcPr>
            <w:tcW w:w="1535" w:type="dxa"/>
            <w:vAlign w:val="center"/>
          </w:tcPr>
          <w:p>
            <w:pPr>
              <w:widowControl w:val="0"/>
              <w:jc w:val="center"/>
              <w:rPr>
                <w:szCs w:val="21"/>
              </w:rPr>
            </w:pPr>
            <w:r>
              <w:rPr>
                <w:rFonts w:hint="eastAsia"/>
                <w:color w:val="auto"/>
                <w:szCs w:val="21"/>
              </w:rPr>
              <w:t>2025.10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809" w:type="dxa"/>
            <w:vAlign w:val="center"/>
          </w:tcPr>
          <w:p>
            <w:pPr>
              <w:widowControl w:val="0"/>
              <w:jc w:val="center"/>
              <w:rPr>
                <w:szCs w:val="21"/>
              </w:rPr>
            </w:pPr>
            <w:r>
              <w:rPr>
                <w:rFonts w:hint="eastAsia"/>
                <w:color w:val="auto"/>
                <w:szCs w:val="21"/>
              </w:rPr>
              <w:t>孙雪东</w:t>
            </w:r>
          </w:p>
        </w:tc>
        <w:tc>
          <w:tcPr>
            <w:tcW w:w="2357" w:type="dxa"/>
            <w:vAlign w:val="center"/>
          </w:tcPr>
          <w:p>
            <w:pPr>
              <w:widowControl w:val="0"/>
              <w:jc w:val="center"/>
              <w:rPr>
                <w:szCs w:val="21"/>
              </w:rPr>
            </w:pPr>
            <w:r>
              <w:rPr>
                <w:rFonts w:hint="eastAsia"/>
                <w:color w:val="auto"/>
                <w:szCs w:val="21"/>
              </w:rPr>
              <w:t>柳州市智甲金属科技有限公司</w:t>
            </w:r>
          </w:p>
        </w:tc>
        <w:tc>
          <w:tcPr>
            <w:tcW w:w="1820" w:type="dxa"/>
            <w:vAlign w:val="center"/>
          </w:tcPr>
          <w:p>
            <w:pPr>
              <w:widowControl w:val="0"/>
              <w:jc w:val="center"/>
              <w:rPr>
                <w:szCs w:val="21"/>
              </w:rPr>
            </w:pPr>
            <w:r>
              <w:rPr>
                <w:rFonts w:hint="eastAsia"/>
                <w:color w:val="auto"/>
                <w:szCs w:val="21"/>
              </w:rPr>
              <w:t>董事</w:t>
            </w:r>
          </w:p>
        </w:tc>
        <w:tc>
          <w:tcPr>
            <w:tcW w:w="1526" w:type="dxa"/>
            <w:vAlign w:val="center"/>
          </w:tcPr>
          <w:p>
            <w:pPr>
              <w:widowControl w:val="0"/>
              <w:jc w:val="center"/>
              <w:rPr>
                <w:szCs w:val="21"/>
              </w:rPr>
            </w:pPr>
            <w:r>
              <w:rPr>
                <w:rFonts w:hint="eastAsia"/>
                <w:color w:val="auto"/>
                <w:szCs w:val="21"/>
              </w:rPr>
              <w:t>2022.08</w:t>
            </w:r>
          </w:p>
        </w:tc>
        <w:tc>
          <w:tcPr>
            <w:tcW w:w="1535"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809" w:type="dxa"/>
            <w:vAlign w:val="center"/>
          </w:tcPr>
          <w:p>
            <w:pPr>
              <w:widowControl w:val="0"/>
              <w:jc w:val="center"/>
              <w:rPr>
                <w:szCs w:val="21"/>
              </w:rPr>
            </w:pPr>
            <w:r>
              <w:rPr>
                <w:rFonts w:hint="eastAsia"/>
                <w:color w:val="auto"/>
                <w:szCs w:val="21"/>
              </w:rPr>
              <w:t>刘瑰</w:t>
            </w:r>
          </w:p>
        </w:tc>
        <w:tc>
          <w:tcPr>
            <w:tcW w:w="2357" w:type="dxa"/>
            <w:vAlign w:val="center"/>
          </w:tcPr>
          <w:p>
            <w:pPr>
              <w:widowControl w:val="0"/>
              <w:jc w:val="center"/>
              <w:rPr>
                <w:szCs w:val="21"/>
              </w:rPr>
            </w:pPr>
            <w:r>
              <w:rPr>
                <w:rFonts w:hint="eastAsia"/>
                <w:color w:val="auto"/>
                <w:szCs w:val="21"/>
              </w:rPr>
              <w:t>柳州化工股份有限公司</w:t>
            </w:r>
          </w:p>
        </w:tc>
        <w:tc>
          <w:tcPr>
            <w:tcW w:w="1820" w:type="dxa"/>
            <w:vAlign w:val="center"/>
          </w:tcPr>
          <w:p>
            <w:pPr>
              <w:widowControl w:val="0"/>
              <w:jc w:val="center"/>
              <w:rPr>
                <w:szCs w:val="21"/>
              </w:rPr>
            </w:pPr>
            <w:r>
              <w:rPr>
                <w:rFonts w:hint="eastAsia"/>
                <w:color w:val="auto"/>
                <w:szCs w:val="21"/>
              </w:rPr>
              <w:t>监事会主席</w:t>
            </w:r>
          </w:p>
        </w:tc>
        <w:tc>
          <w:tcPr>
            <w:tcW w:w="1526" w:type="dxa"/>
            <w:vAlign w:val="center"/>
          </w:tcPr>
          <w:p>
            <w:pPr>
              <w:widowControl w:val="0"/>
              <w:jc w:val="center"/>
              <w:rPr>
                <w:szCs w:val="21"/>
              </w:rPr>
            </w:pPr>
            <w:r>
              <w:rPr>
                <w:rFonts w:hint="eastAsia"/>
                <w:color w:val="auto"/>
                <w:szCs w:val="21"/>
              </w:rPr>
              <w:t>2025.05</w:t>
            </w:r>
          </w:p>
        </w:tc>
        <w:tc>
          <w:tcPr>
            <w:tcW w:w="1535" w:type="dxa"/>
            <w:vAlign w:val="center"/>
          </w:tcPr>
          <w:p>
            <w:pPr>
              <w:widowControl w:val="0"/>
              <w:jc w:val="center"/>
              <w:rPr>
                <w:szCs w:val="21"/>
              </w:rPr>
            </w:pPr>
            <w:r>
              <w:rPr>
                <w:rFonts w:hint="eastAsia"/>
                <w:color w:val="auto"/>
                <w:szCs w:val="21"/>
              </w:rPr>
              <w:t>2025.09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809" w:type="dxa"/>
            <w:vAlign w:val="center"/>
          </w:tcPr>
          <w:p>
            <w:pPr>
              <w:widowControl w:val="0"/>
              <w:jc w:val="center"/>
              <w:rPr>
                <w:szCs w:val="21"/>
              </w:rPr>
            </w:pPr>
            <w:r>
              <w:rPr>
                <w:rFonts w:hint="eastAsia"/>
                <w:color w:val="auto"/>
                <w:szCs w:val="21"/>
              </w:rPr>
              <w:t>刘瑰</w:t>
            </w:r>
          </w:p>
        </w:tc>
        <w:tc>
          <w:tcPr>
            <w:tcW w:w="2357" w:type="dxa"/>
            <w:vAlign w:val="center"/>
          </w:tcPr>
          <w:p>
            <w:pPr>
              <w:widowControl w:val="0"/>
              <w:jc w:val="center"/>
              <w:rPr>
                <w:szCs w:val="21"/>
              </w:rPr>
            </w:pPr>
            <w:r>
              <w:rPr>
                <w:rFonts w:hint="eastAsia"/>
                <w:color w:val="auto"/>
                <w:szCs w:val="21"/>
              </w:rPr>
              <w:t>柳工（柳州）压缩机有限公司</w:t>
            </w:r>
          </w:p>
        </w:tc>
        <w:tc>
          <w:tcPr>
            <w:tcW w:w="1820" w:type="dxa"/>
            <w:vAlign w:val="center"/>
          </w:tcPr>
          <w:p>
            <w:pPr>
              <w:widowControl w:val="0"/>
              <w:jc w:val="center"/>
              <w:rPr>
                <w:szCs w:val="21"/>
              </w:rPr>
            </w:pPr>
            <w:r>
              <w:rPr>
                <w:rFonts w:hint="eastAsia"/>
                <w:color w:val="auto"/>
                <w:szCs w:val="21"/>
              </w:rPr>
              <w:t>董事</w:t>
            </w:r>
          </w:p>
        </w:tc>
        <w:tc>
          <w:tcPr>
            <w:tcW w:w="1526" w:type="dxa"/>
            <w:vAlign w:val="center"/>
          </w:tcPr>
          <w:p>
            <w:pPr>
              <w:widowControl w:val="0"/>
              <w:jc w:val="center"/>
              <w:rPr>
                <w:szCs w:val="21"/>
              </w:rPr>
            </w:pPr>
            <w:r>
              <w:rPr>
                <w:rFonts w:hint="eastAsia"/>
                <w:color w:val="auto"/>
                <w:szCs w:val="21"/>
              </w:rPr>
              <w:t>2025.07</w:t>
            </w:r>
          </w:p>
        </w:tc>
        <w:tc>
          <w:tcPr>
            <w:tcW w:w="1535"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809" w:type="dxa"/>
            <w:vAlign w:val="center"/>
          </w:tcPr>
          <w:p>
            <w:pPr>
              <w:widowControl w:val="0"/>
              <w:jc w:val="center"/>
              <w:rPr>
                <w:szCs w:val="21"/>
              </w:rPr>
            </w:pPr>
            <w:r>
              <w:rPr>
                <w:rFonts w:hint="eastAsia"/>
                <w:color w:val="auto"/>
                <w:szCs w:val="21"/>
              </w:rPr>
              <w:t>刘瑰</w:t>
            </w:r>
          </w:p>
        </w:tc>
        <w:tc>
          <w:tcPr>
            <w:tcW w:w="2357" w:type="dxa"/>
            <w:vAlign w:val="center"/>
          </w:tcPr>
          <w:p>
            <w:pPr>
              <w:widowControl w:val="0"/>
              <w:jc w:val="center"/>
              <w:rPr>
                <w:szCs w:val="21"/>
              </w:rPr>
            </w:pPr>
            <w:r>
              <w:rPr>
                <w:rFonts w:hint="eastAsia"/>
                <w:color w:val="auto"/>
                <w:szCs w:val="21"/>
              </w:rPr>
              <w:t>柳州化工股份有限公司</w:t>
            </w:r>
          </w:p>
        </w:tc>
        <w:tc>
          <w:tcPr>
            <w:tcW w:w="1820" w:type="dxa"/>
            <w:vAlign w:val="center"/>
          </w:tcPr>
          <w:p>
            <w:pPr>
              <w:widowControl w:val="0"/>
              <w:jc w:val="center"/>
              <w:rPr>
                <w:szCs w:val="21"/>
              </w:rPr>
            </w:pPr>
            <w:r>
              <w:rPr>
                <w:rFonts w:hint="eastAsia"/>
                <w:color w:val="auto"/>
                <w:szCs w:val="21"/>
              </w:rPr>
              <w:t>董事</w:t>
            </w:r>
          </w:p>
        </w:tc>
        <w:tc>
          <w:tcPr>
            <w:tcW w:w="1526" w:type="dxa"/>
            <w:vAlign w:val="center"/>
          </w:tcPr>
          <w:p>
            <w:pPr>
              <w:widowControl w:val="0"/>
              <w:jc w:val="center"/>
              <w:rPr>
                <w:szCs w:val="21"/>
              </w:rPr>
            </w:pPr>
            <w:r>
              <w:rPr>
                <w:rFonts w:hint="eastAsia"/>
                <w:color w:val="auto"/>
                <w:szCs w:val="21"/>
              </w:rPr>
              <w:t>2025.12</w:t>
            </w:r>
          </w:p>
        </w:tc>
        <w:tc>
          <w:tcPr>
            <w:tcW w:w="1535"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809" w:type="dxa"/>
            <w:vAlign w:val="center"/>
          </w:tcPr>
          <w:p>
            <w:pPr>
              <w:widowControl w:val="0"/>
              <w:jc w:val="center"/>
              <w:rPr>
                <w:szCs w:val="21"/>
              </w:rPr>
            </w:pPr>
            <w:r>
              <w:rPr>
                <w:rFonts w:hint="eastAsia"/>
                <w:color w:val="auto"/>
                <w:szCs w:val="21"/>
              </w:rPr>
              <w:t>余兵</w:t>
            </w:r>
          </w:p>
        </w:tc>
        <w:tc>
          <w:tcPr>
            <w:tcW w:w="2357" w:type="dxa"/>
            <w:vAlign w:val="center"/>
          </w:tcPr>
          <w:p>
            <w:pPr>
              <w:widowControl w:val="0"/>
              <w:jc w:val="center"/>
              <w:rPr>
                <w:szCs w:val="21"/>
              </w:rPr>
            </w:pPr>
            <w:r>
              <w:rPr>
                <w:rFonts w:hint="eastAsia"/>
                <w:color w:val="auto"/>
                <w:szCs w:val="21"/>
              </w:rPr>
              <w:t>中兴华会计师事务所（特殊普通合伙）</w:t>
            </w:r>
          </w:p>
        </w:tc>
        <w:tc>
          <w:tcPr>
            <w:tcW w:w="1820" w:type="dxa"/>
            <w:vAlign w:val="center"/>
          </w:tcPr>
          <w:p>
            <w:pPr>
              <w:widowControl w:val="0"/>
              <w:jc w:val="center"/>
              <w:rPr>
                <w:szCs w:val="21"/>
              </w:rPr>
            </w:pPr>
            <w:r>
              <w:rPr>
                <w:rFonts w:hint="eastAsia"/>
                <w:color w:val="auto"/>
                <w:szCs w:val="21"/>
              </w:rPr>
              <w:t>广西分所副所长</w:t>
            </w:r>
          </w:p>
        </w:tc>
        <w:tc>
          <w:tcPr>
            <w:tcW w:w="1526" w:type="dxa"/>
            <w:vAlign w:val="center"/>
          </w:tcPr>
          <w:p>
            <w:pPr>
              <w:widowControl w:val="0"/>
              <w:jc w:val="center"/>
              <w:rPr>
                <w:szCs w:val="21"/>
              </w:rPr>
            </w:pPr>
            <w:r>
              <w:rPr>
                <w:rFonts w:hint="eastAsia"/>
                <w:color w:val="auto"/>
                <w:szCs w:val="21"/>
              </w:rPr>
              <w:t>2017.04</w:t>
            </w:r>
          </w:p>
        </w:tc>
        <w:tc>
          <w:tcPr>
            <w:tcW w:w="1535"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809" w:type="dxa"/>
            <w:vAlign w:val="center"/>
          </w:tcPr>
          <w:p>
            <w:pPr>
              <w:widowControl w:val="0"/>
              <w:jc w:val="center"/>
              <w:rPr>
                <w:szCs w:val="21"/>
              </w:rPr>
            </w:pPr>
            <w:r>
              <w:rPr>
                <w:rFonts w:hint="eastAsia"/>
                <w:color w:val="auto"/>
                <w:szCs w:val="21"/>
              </w:rPr>
              <w:t>魏佳</w:t>
            </w:r>
          </w:p>
        </w:tc>
        <w:tc>
          <w:tcPr>
            <w:tcW w:w="2357" w:type="dxa"/>
            <w:vAlign w:val="center"/>
          </w:tcPr>
          <w:p>
            <w:pPr>
              <w:widowControl w:val="0"/>
              <w:jc w:val="center"/>
              <w:rPr>
                <w:szCs w:val="21"/>
              </w:rPr>
            </w:pPr>
            <w:r>
              <w:rPr>
                <w:rFonts w:hint="eastAsia"/>
                <w:color w:val="auto"/>
                <w:szCs w:val="21"/>
              </w:rPr>
              <w:t>广西财经学院</w:t>
            </w:r>
          </w:p>
        </w:tc>
        <w:tc>
          <w:tcPr>
            <w:tcW w:w="1820" w:type="dxa"/>
            <w:vAlign w:val="center"/>
          </w:tcPr>
          <w:p>
            <w:pPr>
              <w:widowControl w:val="0"/>
              <w:jc w:val="center"/>
              <w:rPr>
                <w:szCs w:val="21"/>
              </w:rPr>
            </w:pPr>
            <w:r>
              <w:rPr>
                <w:rFonts w:hint="eastAsia"/>
                <w:color w:val="auto"/>
                <w:szCs w:val="21"/>
              </w:rPr>
              <w:t>教授</w:t>
            </w:r>
          </w:p>
        </w:tc>
        <w:tc>
          <w:tcPr>
            <w:tcW w:w="1526" w:type="dxa"/>
            <w:vAlign w:val="center"/>
          </w:tcPr>
          <w:p>
            <w:pPr>
              <w:widowControl w:val="0"/>
              <w:jc w:val="center"/>
              <w:rPr>
                <w:szCs w:val="21"/>
              </w:rPr>
            </w:pPr>
            <w:r>
              <w:rPr>
                <w:rFonts w:hint="eastAsia"/>
                <w:color w:val="auto"/>
                <w:szCs w:val="21"/>
              </w:rPr>
              <w:t>2019.04</w:t>
            </w:r>
          </w:p>
        </w:tc>
        <w:tc>
          <w:tcPr>
            <w:tcW w:w="1535"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809" w:type="dxa"/>
            <w:vAlign w:val="center"/>
          </w:tcPr>
          <w:p>
            <w:pPr>
              <w:widowControl w:val="0"/>
              <w:jc w:val="center"/>
              <w:rPr>
                <w:szCs w:val="21"/>
              </w:rPr>
            </w:pPr>
            <w:r>
              <w:rPr>
                <w:rFonts w:hint="eastAsia"/>
                <w:color w:val="auto"/>
                <w:szCs w:val="21"/>
              </w:rPr>
              <w:t>魏佳</w:t>
            </w:r>
          </w:p>
        </w:tc>
        <w:tc>
          <w:tcPr>
            <w:tcW w:w="2357" w:type="dxa"/>
            <w:vAlign w:val="center"/>
          </w:tcPr>
          <w:p>
            <w:pPr>
              <w:widowControl w:val="0"/>
              <w:jc w:val="center"/>
              <w:rPr>
                <w:szCs w:val="21"/>
              </w:rPr>
            </w:pPr>
            <w:r>
              <w:rPr>
                <w:rFonts w:hint="eastAsia"/>
                <w:color w:val="auto"/>
                <w:szCs w:val="21"/>
              </w:rPr>
              <w:t>广西桂盈律师事务所</w:t>
            </w:r>
          </w:p>
        </w:tc>
        <w:tc>
          <w:tcPr>
            <w:tcW w:w="1820" w:type="dxa"/>
            <w:vAlign w:val="center"/>
          </w:tcPr>
          <w:p>
            <w:pPr>
              <w:widowControl w:val="0"/>
              <w:jc w:val="center"/>
              <w:rPr>
                <w:szCs w:val="21"/>
              </w:rPr>
            </w:pPr>
            <w:r>
              <w:rPr>
                <w:rFonts w:hint="eastAsia"/>
                <w:color w:val="auto"/>
                <w:szCs w:val="21"/>
              </w:rPr>
              <w:t>律师</w:t>
            </w:r>
          </w:p>
        </w:tc>
        <w:tc>
          <w:tcPr>
            <w:tcW w:w="1526" w:type="dxa"/>
            <w:vAlign w:val="center"/>
          </w:tcPr>
          <w:p>
            <w:pPr>
              <w:widowControl w:val="0"/>
              <w:jc w:val="center"/>
              <w:rPr>
                <w:szCs w:val="21"/>
              </w:rPr>
            </w:pPr>
            <w:r>
              <w:rPr>
                <w:rFonts w:hint="eastAsia"/>
                <w:color w:val="auto"/>
                <w:szCs w:val="21"/>
              </w:rPr>
              <w:t>2019.05</w:t>
            </w:r>
          </w:p>
        </w:tc>
        <w:tc>
          <w:tcPr>
            <w:tcW w:w="1535"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809" w:type="dxa"/>
            <w:vAlign w:val="center"/>
          </w:tcPr>
          <w:p>
            <w:pPr>
              <w:widowControl w:val="0"/>
              <w:jc w:val="center"/>
              <w:rPr>
                <w:szCs w:val="21"/>
              </w:rPr>
            </w:pPr>
            <w:r>
              <w:rPr>
                <w:rFonts w:hint="eastAsia"/>
                <w:color w:val="auto"/>
                <w:szCs w:val="21"/>
              </w:rPr>
              <w:t>张重义</w:t>
            </w:r>
          </w:p>
        </w:tc>
        <w:tc>
          <w:tcPr>
            <w:tcW w:w="2357" w:type="dxa"/>
            <w:vAlign w:val="center"/>
          </w:tcPr>
          <w:p>
            <w:pPr>
              <w:widowControl w:val="0"/>
              <w:jc w:val="center"/>
              <w:rPr>
                <w:szCs w:val="21"/>
              </w:rPr>
            </w:pPr>
            <w:r>
              <w:rPr>
                <w:rFonts w:hint="eastAsia"/>
                <w:color w:val="auto"/>
                <w:szCs w:val="21"/>
              </w:rPr>
              <w:t>福建农林大学</w:t>
            </w:r>
          </w:p>
        </w:tc>
        <w:tc>
          <w:tcPr>
            <w:tcW w:w="1820" w:type="dxa"/>
            <w:vAlign w:val="center"/>
          </w:tcPr>
          <w:p>
            <w:pPr>
              <w:widowControl w:val="0"/>
              <w:jc w:val="center"/>
              <w:rPr>
                <w:szCs w:val="21"/>
              </w:rPr>
            </w:pPr>
            <w:r>
              <w:rPr>
                <w:rFonts w:hint="eastAsia"/>
                <w:color w:val="auto"/>
                <w:szCs w:val="21"/>
              </w:rPr>
              <w:t>教授</w:t>
            </w:r>
          </w:p>
        </w:tc>
        <w:tc>
          <w:tcPr>
            <w:tcW w:w="1526" w:type="dxa"/>
            <w:vAlign w:val="center"/>
          </w:tcPr>
          <w:p>
            <w:pPr>
              <w:widowControl w:val="0"/>
              <w:jc w:val="center"/>
              <w:rPr>
                <w:szCs w:val="21"/>
              </w:rPr>
            </w:pPr>
            <w:r>
              <w:rPr>
                <w:rFonts w:hint="eastAsia"/>
                <w:color w:val="auto"/>
                <w:szCs w:val="21"/>
              </w:rPr>
              <w:t>2012.05</w:t>
            </w:r>
          </w:p>
        </w:tc>
        <w:tc>
          <w:tcPr>
            <w:tcW w:w="1535"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809" w:type="dxa"/>
            <w:vAlign w:val="center"/>
          </w:tcPr>
          <w:p>
            <w:pPr>
              <w:widowControl w:val="0"/>
              <w:jc w:val="center"/>
              <w:rPr>
                <w:szCs w:val="21"/>
              </w:rPr>
            </w:pPr>
            <w:r>
              <w:rPr>
                <w:rFonts w:hint="eastAsia"/>
                <w:color w:val="auto"/>
                <w:szCs w:val="21"/>
              </w:rPr>
              <w:t>关忠良</w:t>
            </w:r>
          </w:p>
        </w:tc>
        <w:tc>
          <w:tcPr>
            <w:tcW w:w="2357" w:type="dxa"/>
            <w:vAlign w:val="center"/>
          </w:tcPr>
          <w:p>
            <w:pPr>
              <w:widowControl w:val="0"/>
              <w:jc w:val="center"/>
              <w:rPr>
                <w:szCs w:val="21"/>
              </w:rPr>
            </w:pPr>
            <w:r>
              <w:rPr>
                <w:rFonts w:hint="eastAsia"/>
                <w:color w:val="auto"/>
                <w:szCs w:val="21"/>
              </w:rPr>
              <w:t>北京交通大学</w:t>
            </w:r>
          </w:p>
        </w:tc>
        <w:tc>
          <w:tcPr>
            <w:tcW w:w="1820" w:type="dxa"/>
            <w:vAlign w:val="center"/>
          </w:tcPr>
          <w:p>
            <w:pPr>
              <w:widowControl w:val="0"/>
              <w:jc w:val="center"/>
              <w:rPr>
                <w:szCs w:val="21"/>
              </w:rPr>
            </w:pPr>
            <w:r>
              <w:rPr>
                <w:rFonts w:hint="eastAsia"/>
                <w:color w:val="auto"/>
                <w:szCs w:val="21"/>
              </w:rPr>
              <w:t>教授</w:t>
            </w:r>
          </w:p>
        </w:tc>
        <w:tc>
          <w:tcPr>
            <w:tcW w:w="1526" w:type="dxa"/>
            <w:vAlign w:val="center"/>
          </w:tcPr>
          <w:p>
            <w:pPr>
              <w:widowControl w:val="0"/>
              <w:jc w:val="center"/>
              <w:rPr>
                <w:szCs w:val="21"/>
              </w:rPr>
            </w:pPr>
            <w:r>
              <w:rPr>
                <w:rFonts w:hint="eastAsia"/>
                <w:color w:val="auto"/>
                <w:szCs w:val="21"/>
              </w:rPr>
              <w:t>1989.01</w:t>
            </w:r>
          </w:p>
        </w:tc>
        <w:tc>
          <w:tcPr>
            <w:tcW w:w="1535"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809" w:type="dxa"/>
            <w:vAlign w:val="center"/>
          </w:tcPr>
          <w:p>
            <w:pPr>
              <w:widowControl w:val="0"/>
              <w:jc w:val="center"/>
              <w:rPr>
                <w:szCs w:val="21"/>
              </w:rPr>
            </w:pPr>
            <w:r>
              <w:rPr>
                <w:rFonts w:hint="eastAsia"/>
                <w:color w:val="auto"/>
                <w:szCs w:val="21"/>
              </w:rPr>
              <w:t>刘婷婷</w:t>
            </w:r>
          </w:p>
        </w:tc>
        <w:tc>
          <w:tcPr>
            <w:tcW w:w="2357" w:type="dxa"/>
            <w:vAlign w:val="center"/>
          </w:tcPr>
          <w:p>
            <w:pPr>
              <w:widowControl w:val="0"/>
              <w:jc w:val="center"/>
              <w:rPr>
                <w:szCs w:val="21"/>
              </w:rPr>
            </w:pPr>
            <w:r>
              <w:rPr>
                <w:rFonts w:hint="eastAsia"/>
                <w:color w:val="auto"/>
                <w:szCs w:val="21"/>
              </w:rPr>
              <w:t>北京大成（广州）律师事务所</w:t>
            </w:r>
          </w:p>
        </w:tc>
        <w:tc>
          <w:tcPr>
            <w:tcW w:w="1820" w:type="dxa"/>
            <w:vAlign w:val="center"/>
          </w:tcPr>
          <w:p>
            <w:pPr>
              <w:widowControl w:val="0"/>
              <w:jc w:val="center"/>
              <w:rPr>
                <w:szCs w:val="21"/>
              </w:rPr>
            </w:pPr>
            <w:r>
              <w:rPr>
                <w:rFonts w:hint="eastAsia"/>
                <w:color w:val="auto"/>
                <w:szCs w:val="21"/>
              </w:rPr>
              <w:t>专职律师</w:t>
            </w:r>
          </w:p>
        </w:tc>
        <w:tc>
          <w:tcPr>
            <w:tcW w:w="1526" w:type="dxa"/>
            <w:vAlign w:val="center"/>
          </w:tcPr>
          <w:p>
            <w:pPr>
              <w:widowControl w:val="0"/>
              <w:jc w:val="center"/>
              <w:rPr>
                <w:szCs w:val="21"/>
              </w:rPr>
            </w:pPr>
            <w:r>
              <w:rPr>
                <w:rFonts w:hint="eastAsia"/>
                <w:color w:val="auto"/>
                <w:szCs w:val="21"/>
              </w:rPr>
              <w:t>2019.07</w:t>
            </w:r>
          </w:p>
        </w:tc>
        <w:tc>
          <w:tcPr>
            <w:tcW w:w="1535"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1809" w:type="dxa"/>
            <w:vAlign w:val="center"/>
          </w:tcPr>
          <w:p>
            <w:pPr>
              <w:widowControl w:val="0"/>
              <w:jc w:val="center"/>
              <w:rPr>
                <w:szCs w:val="21"/>
              </w:rPr>
            </w:pPr>
            <w:r>
              <w:rPr>
                <w:rFonts w:hint="eastAsia"/>
                <w:color w:val="auto"/>
                <w:szCs w:val="21"/>
              </w:rPr>
              <w:t>杨修</w:t>
            </w:r>
          </w:p>
        </w:tc>
        <w:tc>
          <w:tcPr>
            <w:tcW w:w="2357" w:type="dxa"/>
            <w:vAlign w:val="center"/>
          </w:tcPr>
          <w:p>
            <w:pPr>
              <w:widowControl w:val="0"/>
              <w:jc w:val="center"/>
              <w:rPr>
                <w:szCs w:val="21"/>
              </w:rPr>
            </w:pPr>
            <w:r>
              <w:rPr>
                <w:rFonts w:hint="eastAsia"/>
                <w:color w:val="auto"/>
                <w:szCs w:val="21"/>
              </w:rPr>
              <w:t>广西财经学院</w:t>
            </w:r>
          </w:p>
        </w:tc>
        <w:tc>
          <w:tcPr>
            <w:tcW w:w="1820" w:type="dxa"/>
            <w:vAlign w:val="center"/>
          </w:tcPr>
          <w:p>
            <w:pPr>
              <w:widowControl w:val="0"/>
              <w:jc w:val="center"/>
              <w:rPr>
                <w:szCs w:val="21"/>
              </w:rPr>
            </w:pPr>
            <w:r>
              <w:rPr>
                <w:rFonts w:hint="eastAsia"/>
                <w:color w:val="auto"/>
                <w:szCs w:val="21"/>
              </w:rPr>
              <w:t>党委办公室、校长办公室副主任</w:t>
            </w:r>
          </w:p>
        </w:tc>
        <w:tc>
          <w:tcPr>
            <w:tcW w:w="1526" w:type="dxa"/>
            <w:vAlign w:val="center"/>
          </w:tcPr>
          <w:p>
            <w:pPr>
              <w:widowControl w:val="0"/>
              <w:jc w:val="center"/>
              <w:rPr>
                <w:szCs w:val="21"/>
              </w:rPr>
            </w:pPr>
            <w:r>
              <w:rPr>
                <w:rFonts w:hint="eastAsia"/>
                <w:color w:val="auto"/>
                <w:szCs w:val="21"/>
              </w:rPr>
              <w:t>2025.09</w:t>
            </w:r>
          </w:p>
        </w:tc>
        <w:tc>
          <w:tcPr>
            <w:tcW w:w="1535" w:type="dxa"/>
            <w:vAlign w:val="center"/>
          </w:tcPr>
          <w:p>
            <w:pPr>
              <w:widowControl w:val="0"/>
              <w:jc w:val="center"/>
              <w:rPr>
                <w:szCs w:val="21"/>
              </w:rPr>
            </w:pPr>
            <w:r>
              <w:rPr>
                <w:rFonts w:hint="eastAsia"/>
                <w:color w:val="auto"/>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809" w:type="dxa"/>
            <w:vAlign w:val="center"/>
          </w:tcPr>
          <w:p>
            <w:pPr>
              <w:widowControl w:val="0"/>
              <w:jc w:val="both"/>
              <w:rPr>
                <w:szCs w:val="21"/>
              </w:rPr>
            </w:pPr>
            <w:r>
              <w:rPr>
                <w:rFonts w:hint="eastAsia"/>
                <w:szCs w:val="21"/>
              </w:rPr>
              <w:t>在其他单位任职情况的说明</w:t>
            </w:r>
          </w:p>
        </w:tc>
        <w:tc>
          <w:tcPr>
            <w:tcW w:w="7239" w:type="dxa"/>
            <w:gridSpan w:val="4"/>
            <w:vAlign w:val="center"/>
          </w:tcPr>
          <w:p>
            <w:pPr>
              <w:widowControl w:val="0"/>
              <w:jc w:val="both"/>
              <w:rPr>
                <w:szCs w:val="21"/>
              </w:rPr>
            </w:pPr>
            <w:r>
              <w:rPr>
                <w:rFonts w:hint="eastAsia"/>
                <w:color w:val="auto"/>
                <w:szCs w:val="21"/>
              </w:rPr>
              <w:t>无</w:t>
            </w:r>
          </w:p>
        </w:tc>
      </w:tr>
    </w:tbl>
    <w:p>
      <w:pPr>
        <w:rPr>
          <w:szCs w:val="21"/>
        </w:rPr>
      </w:pPr>
    </w:p>
    <w:p>
      <w:pPr>
        <w:pStyle w:val="4"/>
        <w:numPr>
          <w:ilvl w:val="0"/>
          <w:numId w:val="22"/>
        </w:numPr>
        <w:ind w:left="0" w:firstLine="0"/>
      </w:pPr>
      <w:r>
        <w:t>董事</w:t>
      </w:r>
      <w:r>
        <w:rPr>
          <w:rFonts w:hint="eastAsia"/>
        </w:rPr>
        <w:t>、</w:t>
      </w:r>
      <w:r>
        <w:t>高级管理人员</w:t>
      </w:r>
      <w:r>
        <w:rPr>
          <w:rFonts w:hint="eastAsia"/>
        </w:rPr>
        <w:t>薪</w:t>
      </w:r>
      <w:r>
        <w:t>酬情况</w:t>
      </w:r>
    </w:p>
    <w:sdt>
      <w:sdtPr>
        <w:alias w:val="是否适用：董事、监事、高级管理人员报酬情况[双击切换]"/>
        <w:tag w:val="_GBC_670a12b9c1e34498888f2aafd9509848"/>
        <w:id w:val="6048"/>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0"/>
        <w:gridCol w:w="6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sdt>
          <w:sdtPr>
            <w:tag w:val="_PLD_9e63d19b4bb64b9f8ebbe91d33a629c4"/>
            <w:id w:val="6049"/>
          </w:sdtPr>
          <w:sdtContent>
            <w:tc>
              <w:tcPr>
                <w:tcW w:w="2800" w:type="dxa"/>
                <w:vAlign w:val="center"/>
              </w:tcPr>
              <w:p>
                <w:pPr>
                  <w:widowControl w:val="0"/>
                  <w:jc w:val="both"/>
                  <w:rPr>
                    <w:szCs w:val="21"/>
                  </w:rPr>
                </w:pPr>
                <w:r>
                  <w:rPr>
                    <w:szCs w:val="21"/>
                  </w:rPr>
                  <w:t>董事、高级管理人员薪酬的决策程序</w:t>
                </w:r>
              </w:p>
            </w:tc>
          </w:sdtContent>
        </w:sdt>
        <w:tc>
          <w:tcPr>
            <w:tcW w:w="6248" w:type="dxa"/>
            <w:vAlign w:val="center"/>
          </w:tcPr>
          <w:sdt>
            <w:sdtPr>
              <w:rPr>
                <w:rFonts w:hint="eastAsia"/>
                <w:szCs w:val="21"/>
              </w:rPr>
              <w:alias w:val="董事、监事、高级管理人员报酬的决策程序"/>
              <w:tag w:val="_GBC_bf64cad6b5d7435388a8e69e2c05dea2"/>
              <w:id w:val="6050"/>
            </w:sdtPr>
            <w:sdtEndPr>
              <w:rPr>
                <w:rFonts w:hint="eastAsia"/>
                <w:szCs w:val="21"/>
              </w:rPr>
            </w:sdtEndPr>
            <w:sdtContent>
              <w:p>
                <w:pPr>
                  <w:widowControl w:val="0"/>
                  <w:jc w:val="both"/>
                  <w:rPr>
                    <w:szCs w:val="21"/>
                  </w:rPr>
                </w:pPr>
                <w:r>
                  <w:rPr>
                    <w:rFonts w:hint="eastAsia"/>
                    <w:szCs w:val="21"/>
                  </w:rPr>
                  <w:t>公司高级管理人员薪酬由董事会决定。公司部分董事、高级管理人员的薪酬由柳州市国有资产监督管理委员会根据《柳州市国资委履行出资人职责企业负责人薪酬管理暂行办法》和《柳州市国资委监管企业负责人经营业绩考核暂行办法》进行考核，不属于国资委考核的公司内部董事、高级管理人员，公司制定有考核办法，并据此考核发放薪酬。</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2800" w:type="dxa"/>
            <w:vAlign w:val="center"/>
          </w:tcPr>
          <w:p>
            <w:pPr>
              <w:widowControl w:val="0"/>
              <w:jc w:val="both"/>
            </w:pPr>
            <w:r>
              <w:rPr>
                <w:rFonts w:hint="eastAsia"/>
              </w:rPr>
              <w:t>董事在董事会讨论本人薪酬事项时是否回避</w:t>
            </w:r>
          </w:p>
        </w:tc>
        <w:tc>
          <w:tcPr>
            <w:tcW w:w="6248" w:type="dxa"/>
            <w:vAlign w:val="center"/>
          </w:tcPr>
          <w:sdt>
            <w:sdtPr>
              <w:rPr>
                <w:szCs w:val="21"/>
              </w:rPr>
              <w:alias w:val="董事在董事会讨论本人薪酬事项时是否回避"/>
              <w:tag w:val="_GBC_5e64defbd18444939e9dface4daa0619"/>
              <w:id w:val="6051"/>
              <w:comboBox>
                <w:listItem w:displayText="是" w:value="是"/>
                <w:listItem w:displayText="否" w:value="否"/>
              </w:comboBox>
            </w:sdtPr>
            <w:sdtEndPr>
              <w:rPr>
                <w:szCs w:val="21"/>
              </w:rPr>
            </w:sdtEndPr>
            <w:sdtContent>
              <w:p>
                <w:pPr>
                  <w:widowControl w:val="0"/>
                  <w:jc w:val="both"/>
                  <w:rPr>
                    <w:szCs w:val="21"/>
                  </w:rPr>
                </w:pPr>
                <w:r>
                  <w:rPr>
                    <w:rFonts w:hint="eastAsia"/>
                    <w:szCs w:val="21"/>
                  </w:rPr>
                  <w:t>是</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sdt>
          <w:sdtPr>
            <w:tag w:val="_PLD_6b3a77d73be749829b418349bda4ea19"/>
            <w:id w:val="6052"/>
          </w:sdtPr>
          <w:sdtContent>
            <w:tc>
              <w:tcPr>
                <w:tcW w:w="2800" w:type="dxa"/>
                <w:vAlign w:val="center"/>
              </w:tcPr>
              <w:p>
                <w:pPr>
                  <w:widowControl w:val="0"/>
                  <w:jc w:val="both"/>
                </w:pPr>
                <w:r>
                  <w:rPr>
                    <w:rFonts w:hint="eastAsia"/>
                    <w:szCs w:val="21"/>
                  </w:rPr>
                  <w:t>薪酬与考核委员会或独立董事专门会议关于董事、高级管理人员薪酬事项发表建议的具体情况</w:t>
                </w:r>
              </w:p>
            </w:tc>
          </w:sdtContent>
        </w:sdt>
        <w:tc>
          <w:tcPr>
            <w:tcW w:w="6248" w:type="dxa"/>
            <w:vAlign w:val="center"/>
          </w:tcPr>
          <w:p>
            <w:pPr>
              <w:widowControl w:val="0"/>
              <w:jc w:val="both"/>
              <w:rPr>
                <w:szCs w:val="21"/>
              </w:rPr>
            </w:pPr>
            <w:r>
              <w:rPr>
                <w:rFonts w:hint="eastAsia"/>
                <w:color w:val="auto"/>
              </w:rPr>
              <w:t>同意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sdt>
          <w:sdtPr>
            <w:tag w:val="_PLD_a1d35038246146c0a95c36f146481091"/>
            <w:id w:val="6053"/>
          </w:sdtPr>
          <w:sdtContent>
            <w:tc>
              <w:tcPr>
                <w:tcW w:w="2800" w:type="dxa"/>
                <w:vAlign w:val="center"/>
              </w:tcPr>
              <w:p>
                <w:pPr>
                  <w:widowControl w:val="0"/>
                  <w:jc w:val="both"/>
                  <w:rPr>
                    <w:szCs w:val="21"/>
                  </w:rPr>
                </w:pPr>
                <w:r>
                  <w:rPr>
                    <w:szCs w:val="21"/>
                  </w:rPr>
                  <w:t>董事、高级管理人员薪酬确定依据</w:t>
                </w:r>
              </w:p>
            </w:tc>
          </w:sdtContent>
        </w:sdt>
        <w:tc>
          <w:tcPr>
            <w:tcW w:w="6248" w:type="dxa"/>
            <w:vAlign w:val="center"/>
          </w:tcPr>
          <w:p>
            <w:pPr>
              <w:widowControl w:val="0"/>
              <w:jc w:val="both"/>
              <w:rPr>
                <w:szCs w:val="21"/>
              </w:rPr>
            </w:pPr>
            <w:r>
              <w:rPr>
                <w:rFonts w:hint="eastAsia"/>
                <w:color w:val="auto"/>
                <w:szCs w:val="21"/>
              </w:rPr>
              <w:t>公司独立董事依据《独立董事津贴制度》采用年度津贴的办法确定报酬。公司董事、高级管理人员采用（基本工资+绩效工资）的年薪制来确定报酬，绩效工资则结合公司实际完成的生产经营业绩和公司的经营目标综合确定。对于柳州市管干部的董事、高级管理人员，公司是根据国资委的考核结果核发薪酬；对于非市管干部的董事、高管，则根据公司制定的考核办法，核发薪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sdt>
          <w:sdtPr>
            <w:tag w:val="_PLD_3ba8e874dcd84394a94e693e06b2269b"/>
            <w:id w:val="6054"/>
          </w:sdtPr>
          <w:sdtContent>
            <w:tc>
              <w:tcPr>
                <w:tcW w:w="2800" w:type="dxa"/>
                <w:vAlign w:val="center"/>
              </w:tcPr>
              <w:p>
                <w:pPr>
                  <w:widowControl w:val="0"/>
                  <w:jc w:val="both"/>
                  <w:rPr>
                    <w:szCs w:val="21"/>
                  </w:rPr>
                </w:pPr>
                <w:r>
                  <w:rPr>
                    <w:szCs w:val="21"/>
                  </w:rPr>
                  <w:t>董事和高级管理人员薪酬的</w:t>
                </w:r>
                <w:r>
                  <w:rPr>
                    <w:rFonts w:hint="eastAsia"/>
                    <w:szCs w:val="21"/>
                  </w:rPr>
                  <w:t>实际支付</w:t>
                </w:r>
                <w:r>
                  <w:rPr>
                    <w:szCs w:val="21"/>
                  </w:rPr>
                  <w:t>情况</w:t>
                </w:r>
              </w:p>
            </w:tc>
          </w:sdtContent>
        </w:sdt>
        <w:tc>
          <w:tcPr>
            <w:tcW w:w="6248" w:type="dxa"/>
            <w:vAlign w:val="center"/>
          </w:tcPr>
          <w:p>
            <w:pPr>
              <w:widowControl w:val="0"/>
              <w:jc w:val="both"/>
              <w:rPr>
                <w:szCs w:val="21"/>
              </w:rPr>
            </w:pPr>
            <w:r>
              <w:rPr>
                <w:rFonts w:hint="eastAsia"/>
                <w:color w:val="auto"/>
                <w:szCs w:val="21"/>
              </w:rPr>
              <w:t>见本节“三、董事和高级管理人员的情况“之”（一）现任及报告期内离任董事和高级管理人员持股变动及薪酬情况”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2800" w:type="dxa"/>
            <w:vAlign w:val="center"/>
          </w:tcPr>
          <w:sdt>
            <w:sdtPr>
              <w:tag w:val="_PLD_3506ff73678e423b9d58c6066ded1f49"/>
              <w:id w:val="6055"/>
            </w:sdtPr>
            <w:sdtContent>
              <w:p>
                <w:pPr>
                  <w:widowControl w:val="0"/>
                  <w:jc w:val="both"/>
                  <w:rPr>
                    <w:szCs w:val="21"/>
                  </w:rPr>
                </w:pPr>
                <w:r>
                  <w:rPr>
                    <w:szCs w:val="21"/>
                  </w:rPr>
                  <w:t>报告期末全体董事和高级管理人员实际获得的薪酬合计</w:t>
                </w:r>
              </w:p>
            </w:sdtContent>
          </w:sdt>
        </w:tc>
        <w:tc>
          <w:tcPr>
            <w:tcW w:w="6248" w:type="dxa"/>
            <w:vAlign w:val="center"/>
          </w:tcPr>
          <w:p>
            <w:pPr>
              <w:widowControl w:val="0"/>
              <w:jc w:val="both"/>
              <w:rPr>
                <w:szCs w:val="21"/>
              </w:rPr>
            </w:pPr>
            <w:r>
              <w:rPr>
                <w:rFonts w:hint="eastAsia"/>
                <w:color w:val="auto"/>
                <w:szCs w:val="21"/>
              </w:rPr>
              <w:t>194.05万元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sdt>
          <w:sdtPr>
            <w:tag w:val="_PLD_85864ecdd4a347afb8769104bf1ae7bd"/>
            <w:id w:val="6056"/>
          </w:sdtPr>
          <w:sdtContent>
            <w:tc>
              <w:tcPr>
                <w:tcW w:w="2800" w:type="dxa"/>
                <w:vAlign w:val="center"/>
              </w:tcPr>
              <w:p>
                <w:pPr>
                  <w:widowControl w:val="0"/>
                  <w:jc w:val="both"/>
                  <w:rPr>
                    <w:szCs w:val="21"/>
                  </w:rPr>
                </w:pPr>
                <w:r>
                  <w:rPr>
                    <w:rFonts w:hint="eastAsia"/>
                    <w:szCs w:val="21"/>
                  </w:rPr>
                  <w:t>报告期末全体董事和高级管理人员实际获得薪酬的考核依据和完成情况</w:t>
                </w:r>
              </w:p>
            </w:tc>
          </w:sdtContent>
        </w:sdt>
        <w:tc>
          <w:tcPr>
            <w:tcW w:w="6248" w:type="dxa"/>
            <w:vAlign w:val="center"/>
          </w:tcPr>
          <w:p>
            <w:pPr>
              <w:widowControl w:val="0"/>
              <w:jc w:val="both"/>
              <w:rPr>
                <w:szCs w:val="21"/>
              </w:rPr>
            </w:pPr>
            <w:r>
              <w:rPr>
                <w:rStyle w:val="71"/>
                <w:rFonts w:hint="eastAsia"/>
                <w:color w:val="auto"/>
              </w:rPr>
              <w:t>2025年度，独立董事领取的独立董事津贴不适用考核情况。非独立董事和高级管理人员依据相关考核规定获得相应薪酬。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sdt>
          <w:sdtPr>
            <w:tag w:val="_PLD_ea4b026a8e8c4af8961acc0223312d80"/>
            <w:id w:val="6057"/>
          </w:sdtPr>
          <w:sdtContent>
            <w:tc>
              <w:tcPr>
                <w:tcW w:w="2800" w:type="dxa"/>
                <w:vAlign w:val="center"/>
              </w:tcPr>
              <w:p>
                <w:pPr>
                  <w:widowControl w:val="0"/>
                  <w:jc w:val="both"/>
                  <w:rPr>
                    <w:szCs w:val="21"/>
                  </w:rPr>
                </w:pPr>
                <w:r>
                  <w:rPr>
                    <w:rFonts w:hint="eastAsia"/>
                    <w:szCs w:val="21"/>
                  </w:rPr>
                  <w:t>报告期末全体董事和高级管理人员实际获得薪酬的递延支付安排</w:t>
                </w:r>
              </w:p>
            </w:tc>
          </w:sdtContent>
        </w:sdt>
        <w:tc>
          <w:tcPr>
            <w:tcW w:w="6248" w:type="dxa"/>
            <w:vAlign w:val="center"/>
          </w:tcPr>
          <w:p>
            <w:pPr>
              <w:widowControl w:val="0"/>
              <w:jc w:val="both"/>
              <w:rPr>
                <w:szCs w:val="21"/>
              </w:rPr>
            </w:pPr>
            <w:r>
              <w:rPr>
                <w:rStyle w:val="71"/>
                <w:rFonts w:hint="eastAsia"/>
                <w:color w:val="auto"/>
              </w:rPr>
              <w:t>公司部分非独立董事和高级管理人员的绩效薪酬实行递延支付。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sdt>
          <w:sdtPr>
            <w:tag w:val="_PLD_a6fa328d324e4ee4affdd57274599360"/>
            <w:id w:val="6058"/>
          </w:sdtPr>
          <w:sdtContent>
            <w:tc>
              <w:tcPr>
                <w:tcW w:w="2800" w:type="dxa"/>
                <w:vAlign w:val="center"/>
              </w:tcPr>
              <w:p>
                <w:pPr>
                  <w:widowControl w:val="0"/>
                  <w:jc w:val="both"/>
                  <w:rPr>
                    <w:szCs w:val="21"/>
                  </w:rPr>
                </w:pPr>
                <w:r>
                  <w:rPr>
                    <w:rFonts w:hint="eastAsia"/>
                  </w:rPr>
                  <w:t>报告期末全体董事和高级管理人员实际获得薪酬的止付追索情况</w:t>
                </w:r>
              </w:p>
            </w:tc>
          </w:sdtContent>
        </w:sdt>
        <w:tc>
          <w:tcPr>
            <w:tcW w:w="6248" w:type="dxa"/>
            <w:vAlign w:val="center"/>
          </w:tcPr>
          <w:p>
            <w:pPr>
              <w:widowControl w:val="0"/>
              <w:jc w:val="both"/>
              <w:rPr>
                <w:szCs w:val="21"/>
              </w:rPr>
            </w:pPr>
            <w:r>
              <w:rPr>
                <w:rStyle w:val="71"/>
                <w:rFonts w:hint="eastAsia"/>
                <w:color w:val="auto"/>
              </w:rPr>
              <w:t>2025年不存在止付追索情况。</w:t>
            </w:r>
          </w:p>
        </w:tc>
      </w:tr>
    </w:tbl>
    <w:p/>
    <w:p>
      <w:pPr>
        <w:pStyle w:val="4"/>
        <w:numPr>
          <w:ilvl w:val="0"/>
          <w:numId w:val="22"/>
        </w:numPr>
        <w:ind w:left="0" w:firstLine="0"/>
      </w:pPr>
      <w:r>
        <w:t>公司董事、高级管理人员变动情况</w:t>
      </w:r>
    </w:p>
    <w:sdt>
      <w:sdtPr>
        <w:alias w:val="是否适用：公司董事、监事、高级管理人员变动情况[双击切换]"/>
        <w:tag w:val="_GBC_a00df019796e4666a1adff20d55baa46"/>
        <w:id w:val="6059"/>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39"/>
        <w:tblW w:w="0" w:type="auto"/>
        <w:tblInd w:w="3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5"/>
        <w:gridCol w:w="2262"/>
        <w:gridCol w:w="2262"/>
        <w:gridCol w:w="2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945" w:type="dxa"/>
            <w:vAlign w:val="center"/>
          </w:tcPr>
          <w:sdt>
            <w:sdtPr>
              <w:tag w:val="_PLD_10c0965136c84bf6abfceaef8557ae99"/>
              <w:id w:val="6060"/>
            </w:sdtPr>
            <w:sdtContent>
              <w:p>
                <w:pPr>
                  <w:widowControl w:val="0"/>
                  <w:jc w:val="center"/>
                  <w:rPr>
                    <w:szCs w:val="21"/>
                  </w:rPr>
                </w:pPr>
                <w:r>
                  <w:rPr>
                    <w:szCs w:val="21"/>
                  </w:rPr>
                  <w:t>姓名</w:t>
                </w:r>
              </w:p>
            </w:sdtContent>
          </w:sdt>
        </w:tc>
        <w:tc>
          <w:tcPr>
            <w:tcW w:w="2262" w:type="dxa"/>
            <w:vAlign w:val="center"/>
          </w:tcPr>
          <w:sdt>
            <w:sdtPr>
              <w:tag w:val="_PLD_b53cc0c0661e4cffa4f7fa4f6423187d"/>
              <w:id w:val="6061"/>
            </w:sdtPr>
            <w:sdtContent>
              <w:p>
                <w:pPr>
                  <w:widowControl w:val="0"/>
                  <w:jc w:val="center"/>
                  <w:rPr>
                    <w:szCs w:val="21"/>
                  </w:rPr>
                </w:pPr>
                <w:r>
                  <w:rPr>
                    <w:szCs w:val="21"/>
                  </w:rPr>
                  <w:t>担任的职务</w:t>
                </w:r>
              </w:p>
            </w:sdtContent>
          </w:sdt>
        </w:tc>
        <w:tc>
          <w:tcPr>
            <w:tcW w:w="2262" w:type="dxa"/>
            <w:vAlign w:val="center"/>
          </w:tcPr>
          <w:sdt>
            <w:sdtPr>
              <w:tag w:val="_PLD_012859f523ec430da1dfc6a86c6dde35"/>
              <w:id w:val="6062"/>
            </w:sdtPr>
            <w:sdtContent>
              <w:p>
                <w:pPr>
                  <w:widowControl w:val="0"/>
                  <w:jc w:val="center"/>
                  <w:rPr>
                    <w:szCs w:val="21"/>
                  </w:rPr>
                </w:pPr>
                <w:r>
                  <w:rPr>
                    <w:szCs w:val="21"/>
                  </w:rPr>
                  <w:t>变动情形</w:t>
                </w:r>
              </w:p>
            </w:sdtContent>
          </w:sdt>
        </w:tc>
        <w:tc>
          <w:tcPr>
            <w:tcW w:w="2262" w:type="dxa"/>
            <w:vAlign w:val="center"/>
          </w:tcPr>
          <w:sdt>
            <w:sdtPr>
              <w:tag w:val="_PLD_bf76757c55de435a9638407bd56b5199"/>
              <w:id w:val="6063"/>
            </w:sdtPr>
            <w:sdtContent>
              <w:p>
                <w:pPr>
                  <w:widowControl w:val="0"/>
                  <w:jc w:val="center"/>
                  <w:rPr>
                    <w:szCs w:val="21"/>
                  </w:rPr>
                </w:pPr>
                <w:r>
                  <w:rPr>
                    <w:szCs w:val="21"/>
                  </w:rPr>
                  <w:t>变动原因</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945" w:type="dxa"/>
            <w:vAlign w:val="center"/>
          </w:tcPr>
          <w:p>
            <w:pPr>
              <w:widowControl w:val="0"/>
              <w:jc w:val="center"/>
              <w:rPr>
                <w:szCs w:val="21"/>
              </w:rPr>
            </w:pPr>
            <w:r>
              <w:rPr>
                <w:rFonts w:hint="eastAsia"/>
                <w:color w:val="auto"/>
              </w:rPr>
              <w:t>林钻煌</w:t>
            </w:r>
          </w:p>
        </w:tc>
        <w:tc>
          <w:tcPr>
            <w:tcW w:w="2262" w:type="dxa"/>
            <w:vAlign w:val="center"/>
          </w:tcPr>
          <w:p>
            <w:pPr>
              <w:widowControl w:val="0"/>
              <w:jc w:val="center"/>
              <w:rPr>
                <w:szCs w:val="21"/>
              </w:rPr>
            </w:pPr>
            <w:r>
              <w:rPr>
                <w:rFonts w:hint="eastAsia"/>
                <w:color w:val="auto"/>
              </w:rPr>
              <w:t>董事长</w:t>
            </w:r>
          </w:p>
        </w:tc>
        <w:tc>
          <w:tcPr>
            <w:tcW w:w="2262" w:type="dxa"/>
            <w:vAlign w:val="center"/>
          </w:tcPr>
          <w:sdt>
            <w:sdtPr>
              <w:rPr>
                <w:szCs w:val="21"/>
              </w:rPr>
              <w:alias w:val="公司董事、监事、高级管理人员的变动情形"/>
              <w:tag w:val="_GBC_258f9ad482344d5fbc1587e6faf0ed7b"/>
              <w:id w:val="6064"/>
              <w:comboBox>
                <w:listItem w:displayText="选举" w:value="选举"/>
                <w:listItem w:displayText="离任" w:value="离任"/>
                <w:listItem w:displayText="聘任" w:value="聘任"/>
                <w:listItem w:displayText="解聘" w:value="解聘"/>
              </w:comboBox>
            </w:sdtPr>
            <w:sdtEndPr>
              <w:rPr>
                <w:szCs w:val="21"/>
              </w:rPr>
            </w:sdtEndPr>
            <w:sdtContent>
              <w:p>
                <w:pPr>
                  <w:widowControl w:val="0"/>
                  <w:jc w:val="center"/>
                  <w:rPr>
                    <w:szCs w:val="21"/>
                  </w:rPr>
                </w:pPr>
                <w:r>
                  <w:rPr>
                    <w:rFonts w:hint="eastAsia"/>
                    <w:szCs w:val="21"/>
                  </w:rPr>
                  <w:t>离任</w:t>
                </w:r>
              </w:p>
            </w:sdtContent>
          </w:sdt>
        </w:tc>
        <w:tc>
          <w:tcPr>
            <w:tcW w:w="2262" w:type="dxa"/>
            <w:vAlign w:val="center"/>
          </w:tcPr>
          <w:sdt>
            <w:sdtPr>
              <w:rPr>
                <w:szCs w:val="21"/>
              </w:rPr>
              <w:alias w:val="在报告期内离任的董事、监事、高级管理人员离任原因"/>
              <w:tag w:val="_GBC_d73defdbf41845d2bd043c385b151039"/>
              <w:id w:val="6065"/>
              <w:comboBox>
                <w:listItem w:displayText="换届" w:value="换届"/>
                <w:listItem w:displayText="退休" w:value="退休"/>
                <w:listItem w:displayText="工作调动" w:value="工作调动"/>
                <w:listItem w:displayText="解聘" w:value="解聘"/>
                <w:listItem w:displayText="个人原因" w:value="个人原因"/>
              </w:comboBox>
            </w:sdtPr>
            <w:sdtEndPr>
              <w:rPr>
                <w:szCs w:val="21"/>
              </w:rPr>
            </w:sdtEndPr>
            <w:sdtContent>
              <w:p>
                <w:pPr>
                  <w:widowControl w:val="0"/>
                  <w:jc w:val="center"/>
                  <w:rPr>
                    <w:szCs w:val="21"/>
                  </w:rPr>
                </w:pPr>
                <w:r>
                  <w:rPr>
                    <w:rFonts w:hint="eastAsia"/>
                    <w:szCs w:val="21"/>
                  </w:rPr>
                  <w:t>退休</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945" w:type="dxa"/>
            <w:vAlign w:val="center"/>
          </w:tcPr>
          <w:p>
            <w:pPr>
              <w:widowControl w:val="0"/>
              <w:jc w:val="center"/>
              <w:rPr>
                <w:szCs w:val="21"/>
              </w:rPr>
            </w:pPr>
            <w:r>
              <w:rPr>
                <w:rFonts w:hint="eastAsia"/>
                <w:color w:val="auto"/>
              </w:rPr>
              <w:t>王为民</w:t>
            </w:r>
          </w:p>
        </w:tc>
        <w:tc>
          <w:tcPr>
            <w:tcW w:w="2262" w:type="dxa"/>
            <w:vAlign w:val="center"/>
          </w:tcPr>
          <w:p>
            <w:pPr>
              <w:widowControl w:val="0"/>
              <w:jc w:val="center"/>
              <w:rPr>
                <w:szCs w:val="21"/>
              </w:rPr>
            </w:pPr>
            <w:r>
              <w:rPr>
                <w:rFonts w:hint="eastAsia"/>
                <w:color w:val="auto"/>
              </w:rPr>
              <w:t>董事、副总裁、财务负责人</w:t>
            </w:r>
          </w:p>
        </w:tc>
        <w:tc>
          <w:tcPr>
            <w:tcW w:w="2262" w:type="dxa"/>
            <w:vAlign w:val="center"/>
          </w:tcPr>
          <w:p>
            <w:pPr>
              <w:widowControl w:val="0"/>
              <w:jc w:val="center"/>
              <w:rPr>
                <w:szCs w:val="21"/>
              </w:rPr>
            </w:pPr>
            <w:r>
              <w:rPr>
                <w:rFonts w:hint="eastAsia"/>
                <w:szCs w:val="21"/>
              </w:rPr>
              <w:t>离任</w:t>
            </w:r>
          </w:p>
        </w:tc>
        <w:tc>
          <w:tcPr>
            <w:tcW w:w="2262" w:type="dxa"/>
            <w:vAlign w:val="center"/>
          </w:tcPr>
          <w:p>
            <w:pPr>
              <w:widowControl w:val="0"/>
              <w:jc w:val="center"/>
              <w:rPr>
                <w:szCs w:val="21"/>
              </w:rPr>
            </w:pPr>
            <w:r>
              <w:rPr>
                <w:rFonts w:hint="eastAsia"/>
                <w:szCs w:val="21"/>
              </w:rPr>
              <w:t>工作调动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945" w:type="dxa"/>
            <w:vAlign w:val="center"/>
          </w:tcPr>
          <w:p>
            <w:pPr>
              <w:widowControl w:val="0"/>
              <w:jc w:val="center"/>
              <w:rPr>
                <w:szCs w:val="21"/>
              </w:rPr>
            </w:pPr>
            <w:r>
              <w:rPr>
                <w:rFonts w:hint="eastAsia"/>
                <w:color w:val="auto"/>
              </w:rPr>
              <w:t>唐鹏</w:t>
            </w:r>
          </w:p>
        </w:tc>
        <w:tc>
          <w:tcPr>
            <w:tcW w:w="2262" w:type="dxa"/>
            <w:vAlign w:val="center"/>
          </w:tcPr>
          <w:p>
            <w:pPr>
              <w:widowControl w:val="0"/>
              <w:jc w:val="center"/>
              <w:rPr>
                <w:szCs w:val="21"/>
              </w:rPr>
            </w:pPr>
            <w:r>
              <w:rPr>
                <w:rFonts w:hint="eastAsia"/>
                <w:color w:val="auto"/>
              </w:rPr>
              <w:t>职工董事</w:t>
            </w:r>
          </w:p>
        </w:tc>
        <w:tc>
          <w:tcPr>
            <w:tcW w:w="2262" w:type="dxa"/>
            <w:vAlign w:val="center"/>
          </w:tcPr>
          <w:p>
            <w:pPr>
              <w:widowControl w:val="0"/>
              <w:jc w:val="center"/>
              <w:rPr>
                <w:szCs w:val="21"/>
              </w:rPr>
            </w:pPr>
            <w:r>
              <w:rPr>
                <w:rFonts w:hint="eastAsia"/>
                <w:szCs w:val="21"/>
              </w:rPr>
              <w:t>离任</w:t>
            </w:r>
          </w:p>
        </w:tc>
        <w:tc>
          <w:tcPr>
            <w:tcW w:w="2262" w:type="dxa"/>
            <w:vAlign w:val="center"/>
          </w:tcPr>
          <w:p>
            <w:pPr>
              <w:widowControl w:val="0"/>
              <w:jc w:val="center"/>
              <w:rPr>
                <w:szCs w:val="21"/>
              </w:rPr>
            </w:pPr>
            <w:r>
              <w:rPr>
                <w:rFonts w:hint="eastAsia"/>
                <w:szCs w:val="21"/>
              </w:rPr>
              <w:t>换届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945" w:type="dxa"/>
            <w:vAlign w:val="center"/>
          </w:tcPr>
          <w:p>
            <w:pPr>
              <w:widowControl w:val="0"/>
              <w:jc w:val="center"/>
              <w:rPr>
                <w:szCs w:val="21"/>
              </w:rPr>
            </w:pPr>
            <w:r>
              <w:rPr>
                <w:rFonts w:hint="eastAsia"/>
                <w:color w:val="auto"/>
              </w:rPr>
              <w:t>张重义</w:t>
            </w:r>
          </w:p>
        </w:tc>
        <w:tc>
          <w:tcPr>
            <w:tcW w:w="2262" w:type="dxa"/>
            <w:vAlign w:val="center"/>
          </w:tcPr>
          <w:p>
            <w:pPr>
              <w:widowControl w:val="0"/>
              <w:jc w:val="center"/>
              <w:rPr>
                <w:szCs w:val="21"/>
              </w:rPr>
            </w:pPr>
            <w:r>
              <w:rPr>
                <w:rFonts w:hint="eastAsia"/>
                <w:color w:val="auto"/>
              </w:rPr>
              <w:t>独立董事</w:t>
            </w:r>
          </w:p>
        </w:tc>
        <w:tc>
          <w:tcPr>
            <w:tcW w:w="2262" w:type="dxa"/>
            <w:vAlign w:val="center"/>
          </w:tcPr>
          <w:p>
            <w:pPr>
              <w:widowControl w:val="0"/>
              <w:jc w:val="center"/>
              <w:rPr>
                <w:szCs w:val="21"/>
              </w:rPr>
            </w:pPr>
            <w:r>
              <w:rPr>
                <w:rFonts w:hint="eastAsia"/>
                <w:szCs w:val="21"/>
              </w:rPr>
              <w:t>离任</w:t>
            </w:r>
          </w:p>
        </w:tc>
        <w:tc>
          <w:tcPr>
            <w:tcW w:w="2262" w:type="dxa"/>
            <w:vAlign w:val="center"/>
          </w:tcPr>
          <w:p>
            <w:pPr>
              <w:widowControl w:val="0"/>
              <w:jc w:val="center"/>
              <w:rPr>
                <w:szCs w:val="21"/>
              </w:rPr>
            </w:pPr>
            <w:r>
              <w:rPr>
                <w:rFonts w:hint="eastAsia"/>
                <w:szCs w:val="21"/>
              </w:rPr>
              <w:t>换届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945" w:type="dxa"/>
            <w:vAlign w:val="center"/>
          </w:tcPr>
          <w:p>
            <w:pPr>
              <w:widowControl w:val="0"/>
              <w:jc w:val="center"/>
              <w:rPr>
                <w:szCs w:val="21"/>
              </w:rPr>
            </w:pPr>
            <w:r>
              <w:rPr>
                <w:rFonts w:hint="eastAsia"/>
                <w:color w:val="auto"/>
              </w:rPr>
              <w:t>余兵</w:t>
            </w:r>
          </w:p>
        </w:tc>
        <w:tc>
          <w:tcPr>
            <w:tcW w:w="2262" w:type="dxa"/>
            <w:vAlign w:val="center"/>
          </w:tcPr>
          <w:p>
            <w:pPr>
              <w:widowControl w:val="0"/>
              <w:jc w:val="center"/>
              <w:rPr>
                <w:szCs w:val="21"/>
              </w:rPr>
            </w:pPr>
            <w:r>
              <w:rPr>
                <w:rFonts w:hint="eastAsia"/>
                <w:color w:val="auto"/>
              </w:rPr>
              <w:t>独立董事</w:t>
            </w:r>
          </w:p>
        </w:tc>
        <w:tc>
          <w:tcPr>
            <w:tcW w:w="2262" w:type="dxa"/>
            <w:vAlign w:val="center"/>
          </w:tcPr>
          <w:p>
            <w:pPr>
              <w:widowControl w:val="0"/>
              <w:jc w:val="center"/>
              <w:rPr>
                <w:szCs w:val="21"/>
              </w:rPr>
            </w:pPr>
            <w:r>
              <w:rPr>
                <w:rFonts w:hint="eastAsia"/>
                <w:szCs w:val="21"/>
              </w:rPr>
              <w:t>离任</w:t>
            </w:r>
          </w:p>
        </w:tc>
        <w:tc>
          <w:tcPr>
            <w:tcW w:w="2262" w:type="dxa"/>
            <w:vAlign w:val="center"/>
          </w:tcPr>
          <w:p>
            <w:pPr>
              <w:widowControl w:val="0"/>
              <w:jc w:val="center"/>
              <w:rPr>
                <w:szCs w:val="21"/>
              </w:rPr>
            </w:pPr>
            <w:r>
              <w:rPr>
                <w:rFonts w:hint="eastAsia"/>
                <w:szCs w:val="21"/>
              </w:rPr>
              <w:t>换届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945" w:type="dxa"/>
            <w:vAlign w:val="center"/>
          </w:tcPr>
          <w:p>
            <w:pPr>
              <w:widowControl w:val="0"/>
              <w:jc w:val="center"/>
              <w:rPr>
                <w:szCs w:val="21"/>
              </w:rPr>
            </w:pPr>
            <w:r>
              <w:rPr>
                <w:rFonts w:hint="eastAsia"/>
                <w:color w:val="auto"/>
              </w:rPr>
              <w:t>魏佳</w:t>
            </w:r>
          </w:p>
        </w:tc>
        <w:tc>
          <w:tcPr>
            <w:tcW w:w="2262" w:type="dxa"/>
            <w:vAlign w:val="center"/>
          </w:tcPr>
          <w:p>
            <w:pPr>
              <w:widowControl w:val="0"/>
              <w:jc w:val="center"/>
              <w:rPr>
                <w:szCs w:val="21"/>
              </w:rPr>
            </w:pPr>
            <w:r>
              <w:rPr>
                <w:rFonts w:hint="eastAsia"/>
                <w:color w:val="auto"/>
              </w:rPr>
              <w:t>独立董事</w:t>
            </w:r>
          </w:p>
        </w:tc>
        <w:tc>
          <w:tcPr>
            <w:tcW w:w="2262" w:type="dxa"/>
            <w:vAlign w:val="center"/>
          </w:tcPr>
          <w:p>
            <w:pPr>
              <w:widowControl w:val="0"/>
              <w:jc w:val="center"/>
              <w:rPr>
                <w:szCs w:val="21"/>
              </w:rPr>
            </w:pPr>
            <w:r>
              <w:rPr>
                <w:rFonts w:hint="eastAsia"/>
                <w:szCs w:val="21"/>
              </w:rPr>
              <w:t>离任</w:t>
            </w:r>
          </w:p>
        </w:tc>
        <w:tc>
          <w:tcPr>
            <w:tcW w:w="2262" w:type="dxa"/>
            <w:vAlign w:val="center"/>
          </w:tcPr>
          <w:p>
            <w:pPr>
              <w:widowControl w:val="0"/>
              <w:jc w:val="center"/>
              <w:rPr>
                <w:szCs w:val="21"/>
              </w:rPr>
            </w:pPr>
            <w:r>
              <w:rPr>
                <w:rFonts w:hint="eastAsia"/>
                <w:szCs w:val="21"/>
              </w:rPr>
              <w:t>换届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945" w:type="dxa"/>
            <w:vAlign w:val="center"/>
          </w:tcPr>
          <w:p>
            <w:pPr>
              <w:widowControl w:val="0"/>
              <w:jc w:val="center"/>
              <w:rPr>
                <w:szCs w:val="21"/>
              </w:rPr>
            </w:pPr>
            <w:r>
              <w:rPr>
                <w:rFonts w:hint="eastAsia"/>
                <w:color w:val="auto"/>
              </w:rPr>
              <w:t>周云祥</w:t>
            </w:r>
          </w:p>
        </w:tc>
        <w:tc>
          <w:tcPr>
            <w:tcW w:w="2262" w:type="dxa"/>
            <w:vAlign w:val="center"/>
          </w:tcPr>
          <w:p>
            <w:pPr>
              <w:widowControl w:val="0"/>
              <w:jc w:val="center"/>
              <w:rPr>
                <w:szCs w:val="21"/>
              </w:rPr>
            </w:pPr>
            <w:r>
              <w:rPr>
                <w:rFonts w:hint="eastAsia"/>
                <w:color w:val="auto"/>
              </w:rPr>
              <w:t>董事长</w:t>
            </w:r>
          </w:p>
        </w:tc>
        <w:tc>
          <w:tcPr>
            <w:tcW w:w="2262" w:type="dxa"/>
            <w:vAlign w:val="center"/>
          </w:tcPr>
          <w:p>
            <w:pPr>
              <w:widowControl w:val="0"/>
              <w:jc w:val="center"/>
              <w:rPr>
                <w:szCs w:val="21"/>
              </w:rPr>
            </w:pPr>
            <w:r>
              <w:rPr>
                <w:rFonts w:hint="eastAsia"/>
                <w:szCs w:val="21"/>
              </w:rPr>
              <w:t>选举</w:t>
            </w:r>
          </w:p>
        </w:tc>
        <w:tc>
          <w:tcPr>
            <w:tcW w:w="2262" w:type="dxa"/>
            <w:vAlign w:val="center"/>
          </w:tcPr>
          <w:p>
            <w:pPr>
              <w:widowControl w:val="0"/>
              <w:jc w:val="center"/>
              <w:rPr>
                <w:szCs w:val="21"/>
              </w:rPr>
            </w:pPr>
            <w:r>
              <w:rPr>
                <w:rFonts w:hint="eastAsia"/>
                <w:szCs w:val="21"/>
              </w:rPr>
              <w:t>换届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945" w:type="dxa"/>
            <w:vAlign w:val="center"/>
          </w:tcPr>
          <w:p>
            <w:pPr>
              <w:widowControl w:val="0"/>
              <w:jc w:val="center"/>
              <w:rPr>
                <w:szCs w:val="21"/>
              </w:rPr>
            </w:pPr>
            <w:r>
              <w:rPr>
                <w:rFonts w:hint="eastAsia"/>
                <w:color w:val="auto"/>
              </w:rPr>
              <w:t>熊剑峰</w:t>
            </w:r>
          </w:p>
        </w:tc>
        <w:tc>
          <w:tcPr>
            <w:tcW w:w="2262" w:type="dxa"/>
            <w:vAlign w:val="center"/>
          </w:tcPr>
          <w:p>
            <w:pPr>
              <w:widowControl w:val="0"/>
              <w:jc w:val="center"/>
              <w:rPr>
                <w:szCs w:val="21"/>
              </w:rPr>
            </w:pPr>
            <w:r>
              <w:rPr>
                <w:rFonts w:hint="eastAsia"/>
                <w:color w:val="auto"/>
              </w:rPr>
              <w:t>董事、副总裁</w:t>
            </w:r>
          </w:p>
        </w:tc>
        <w:tc>
          <w:tcPr>
            <w:tcW w:w="2262" w:type="dxa"/>
            <w:vAlign w:val="center"/>
          </w:tcPr>
          <w:p>
            <w:pPr>
              <w:widowControl w:val="0"/>
              <w:jc w:val="center"/>
              <w:rPr>
                <w:szCs w:val="21"/>
              </w:rPr>
            </w:pPr>
            <w:r>
              <w:rPr>
                <w:rFonts w:hint="eastAsia"/>
                <w:szCs w:val="21"/>
              </w:rPr>
              <w:t>选举</w:t>
            </w:r>
          </w:p>
        </w:tc>
        <w:tc>
          <w:tcPr>
            <w:tcW w:w="2262" w:type="dxa"/>
            <w:vAlign w:val="center"/>
          </w:tcPr>
          <w:p>
            <w:pPr>
              <w:widowControl w:val="0"/>
              <w:jc w:val="center"/>
              <w:rPr>
                <w:szCs w:val="21"/>
              </w:rPr>
            </w:pPr>
            <w:r>
              <w:rPr>
                <w:rFonts w:hint="eastAsia"/>
                <w:szCs w:val="21"/>
              </w:rPr>
              <w:t>换届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945" w:type="dxa"/>
            <w:vAlign w:val="center"/>
          </w:tcPr>
          <w:p>
            <w:pPr>
              <w:widowControl w:val="0"/>
              <w:jc w:val="center"/>
              <w:rPr>
                <w:szCs w:val="21"/>
              </w:rPr>
            </w:pPr>
            <w:r>
              <w:rPr>
                <w:rFonts w:hint="eastAsia"/>
                <w:color w:val="auto"/>
              </w:rPr>
              <w:t>刘瑰</w:t>
            </w:r>
          </w:p>
        </w:tc>
        <w:tc>
          <w:tcPr>
            <w:tcW w:w="2262" w:type="dxa"/>
            <w:vAlign w:val="center"/>
          </w:tcPr>
          <w:p>
            <w:pPr>
              <w:widowControl w:val="0"/>
              <w:jc w:val="center"/>
              <w:rPr>
                <w:szCs w:val="21"/>
              </w:rPr>
            </w:pPr>
            <w:r>
              <w:rPr>
                <w:rFonts w:hint="eastAsia"/>
                <w:color w:val="auto"/>
              </w:rPr>
              <w:t>董事</w:t>
            </w:r>
          </w:p>
        </w:tc>
        <w:tc>
          <w:tcPr>
            <w:tcW w:w="2262" w:type="dxa"/>
            <w:vAlign w:val="center"/>
          </w:tcPr>
          <w:p>
            <w:pPr>
              <w:widowControl w:val="0"/>
              <w:jc w:val="center"/>
              <w:rPr>
                <w:szCs w:val="21"/>
              </w:rPr>
            </w:pPr>
            <w:r>
              <w:rPr>
                <w:rFonts w:hint="eastAsia"/>
                <w:szCs w:val="21"/>
              </w:rPr>
              <w:t>选举</w:t>
            </w:r>
          </w:p>
        </w:tc>
        <w:tc>
          <w:tcPr>
            <w:tcW w:w="2262" w:type="dxa"/>
            <w:vAlign w:val="center"/>
          </w:tcPr>
          <w:p>
            <w:pPr>
              <w:widowControl w:val="0"/>
              <w:jc w:val="center"/>
              <w:rPr>
                <w:szCs w:val="21"/>
              </w:rPr>
            </w:pPr>
            <w:r>
              <w:rPr>
                <w:rFonts w:hint="eastAsia"/>
                <w:szCs w:val="21"/>
              </w:rPr>
              <w:t>换届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945" w:type="dxa"/>
            <w:vAlign w:val="center"/>
          </w:tcPr>
          <w:p>
            <w:pPr>
              <w:widowControl w:val="0"/>
              <w:jc w:val="center"/>
              <w:rPr>
                <w:szCs w:val="21"/>
              </w:rPr>
            </w:pPr>
            <w:r>
              <w:rPr>
                <w:rFonts w:hint="eastAsia"/>
                <w:color w:val="auto"/>
              </w:rPr>
              <w:t>俞鹃</w:t>
            </w:r>
          </w:p>
        </w:tc>
        <w:tc>
          <w:tcPr>
            <w:tcW w:w="2262" w:type="dxa"/>
            <w:vAlign w:val="center"/>
          </w:tcPr>
          <w:p>
            <w:pPr>
              <w:widowControl w:val="0"/>
              <w:jc w:val="center"/>
              <w:rPr>
                <w:szCs w:val="21"/>
              </w:rPr>
            </w:pPr>
            <w:r>
              <w:rPr>
                <w:rFonts w:hint="eastAsia"/>
                <w:color w:val="auto"/>
              </w:rPr>
              <w:t>职工董事</w:t>
            </w:r>
          </w:p>
        </w:tc>
        <w:tc>
          <w:tcPr>
            <w:tcW w:w="2262" w:type="dxa"/>
            <w:vAlign w:val="center"/>
          </w:tcPr>
          <w:p>
            <w:pPr>
              <w:widowControl w:val="0"/>
              <w:jc w:val="center"/>
              <w:rPr>
                <w:szCs w:val="21"/>
              </w:rPr>
            </w:pPr>
            <w:r>
              <w:rPr>
                <w:rFonts w:hint="eastAsia"/>
                <w:szCs w:val="21"/>
              </w:rPr>
              <w:t>选举</w:t>
            </w:r>
          </w:p>
        </w:tc>
        <w:tc>
          <w:tcPr>
            <w:tcW w:w="2262" w:type="dxa"/>
            <w:vAlign w:val="center"/>
          </w:tcPr>
          <w:p>
            <w:pPr>
              <w:widowControl w:val="0"/>
              <w:jc w:val="center"/>
              <w:rPr>
                <w:szCs w:val="21"/>
              </w:rPr>
            </w:pPr>
            <w:r>
              <w:rPr>
                <w:rFonts w:hint="eastAsia"/>
                <w:szCs w:val="21"/>
              </w:rPr>
              <w:t>换届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945" w:type="dxa"/>
            <w:vAlign w:val="center"/>
          </w:tcPr>
          <w:p>
            <w:pPr>
              <w:widowControl w:val="0"/>
              <w:jc w:val="center"/>
              <w:rPr>
                <w:szCs w:val="21"/>
              </w:rPr>
            </w:pPr>
            <w:r>
              <w:rPr>
                <w:rFonts w:hint="eastAsia"/>
                <w:color w:val="auto"/>
              </w:rPr>
              <w:t>关忠良</w:t>
            </w:r>
          </w:p>
        </w:tc>
        <w:tc>
          <w:tcPr>
            <w:tcW w:w="2262" w:type="dxa"/>
            <w:vAlign w:val="center"/>
          </w:tcPr>
          <w:p>
            <w:pPr>
              <w:widowControl w:val="0"/>
              <w:jc w:val="center"/>
              <w:rPr>
                <w:szCs w:val="21"/>
              </w:rPr>
            </w:pPr>
            <w:r>
              <w:rPr>
                <w:rFonts w:hint="eastAsia"/>
                <w:color w:val="auto"/>
              </w:rPr>
              <w:t>独立董事</w:t>
            </w:r>
          </w:p>
        </w:tc>
        <w:tc>
          <w:tcPr>
            <w:tcW w:w="2262" w:type="dxa"/>
            <w:vAlign w:val="center"/>
          </w:tcPr>
          <w:p>
            <w:pPr>
              <w:widowControl w:val="0"/>
              <w:jc w:val="center"/>
              <w:rPr>
                <w:szCs w:val="21"/>
              </w:rPr>
            </w:pPr>
            <w:r>
              <w:rPr>
                <w:rFonts w:hint="eastAsia"/>
                <w:szCs w:val="21"/>
              </w:rPr>
              <w:t>选举</w:t>
            </w:r>
          </w:p>
        </w:tc>
        <w:tc>
          <w:tcPr>
            <w:tcW w:w="2262" w:type="dxa"/>
            <w:vAlign w:val="center"/>
          </w:tcPr>
          <w:p>
            <w:pPr>
              <w:widowControl w:val="0"/>
              <w:jc w:val="center"/>
              <w:rPr>
                <w:szCs w:val="21"/>
              </w:rPr>
            </w:pPr>
            <w:r>
              <w:rPr>
                <w:rFonts w:hint="eastAsia"/>
                <w:szCs w:val="21"/>
              </w:rPr>
              <w:t>换届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945" w:type="dxa"/>
            <w:vAlign w:val="center"/>
          </w:tcPr>
          <w:p>
            <w:pPr>
              <w:widowControl w:val="0"/>
              <w:jc w:val="center"/>
              <w:rPr>
                <w:szCs w:val="21"/>
              </w:rPr>
            </w:pPr>
            <w:r>
              <w:rPr>
                <w:rFonts w:hint="eastAsia"/>
                <w:color w:val="auto"/>
              </w:rPr>
              <w:t>刘婷婷</w:t>
            </w:r>
          </w:p>
        </w:tc>
        <w:tc>
          <w:tcPr>
            <w:tcW w:w="2262" w:type="dxa"/>
            <w:vAlign w:val="center"/>
          </w:tcPr>
          <w:p>
            <w:pPr>
              <w:widowControl w:val="0"/>
              <w:jc w:val="center"/>
              <w:rPr>
                <w:szCs w:val="21"/>
              </w:rPr>
            </w:pPr>
            <w:r>
              <w:rPr>
                <w:rFonts w:hint="eastAsia"/>
                <w:color w:val="auto"/>
              </w:rPr>
              <w:t>独立董事</w:t>
            </w:r>
          </w:p>
        </w:tc>
        <w:tc>
          <w:tcPr>
            <w:tcW w:w="2262" w:type="dxa"/>
            <w:vAlign w:val="center"/>
          </w:tcPr>
          <w:p>
            <w:pPr>
              <w:widowControl w:val="0"/>
              <w:jc w:val="center"/>
              <w:rPr>
                <w:szCs w:val="21"/>
              </w:rPr>
            </w:pPr>
            <w:r>
              <w:rPr>
                <w:rFonts w:hint="eastAsia"/>
                <w:szCs w:val="21"/>
              </w:rPr>
              <w:t>选举</w:t>
            </w:r>
          </w:p>
        </w:tc>
        <w:tc>
          <w:tcPr>
            <w:tcW w:w="2262" w:type="dxa"/>
            <w:vAlign w:val="center"/>
          </w:tcPr>
          <w:p>
            <w:pPr>
              <w:widowControl w:val="0"/>
              <w:jc w:val="center"/>
              <w:rPr>
                <w:szCs w:val="21"/>
              </w:rPr>
            </w:pPr>
            <w:r>
              <w:rPr>
                <w:rFonts w:hint="eastAsia"/>
                <w:szCs w:val="21"/>
              </w:rPr>
              <w:t>换届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945" w:type="dxa"/>
            <w:vAlign w:val="center"/>
          </w:tcPr>
          <w:p>
            <w:pPr>
              <w:widowControl w:val="0"/>
              <w:jc w:val="center"/>
              <w:rPr>
                <w:szCs w:val="21"/>
              </w:rPr>
            </w:pPr>
            <w:r>
              <w:rPr>
                <w:rFonts w:hint="eastAsia"/>
                <w:color w:val="auto"/>
              </w:rPr>
              <w:t>杨修</w:t>
            </w:r>
          </w:p>
        </w:tc>
        <w:tc>
          <w:tcPr>
            <w:tcW w:w="2262" w:type="dxa"/>
            <w:vAlign w:val="center"/>
          </w:tcPr>
          <w:p>
            <w:pPr>
              <w:widowControl w:val="0"/>
              <w:jc w:val="center"/>
              <w:rPr>
                <w:szCs w:val="21"/>
              </w:rPr>
            </w:pPr>
            <w:r>
              <w:rPr>
                <w:rFonts w:hint="eastAsia"/>
                <w:color w:val="auto"/>
              </w:rPr>
              <w:t>独立董事</w:t>
            </w:r>
          </w:p>
        </w:tc>
        <w:tc>
          <w:tcPr>
            <w:tcW w:w="2262" w:type="dxa"/>
            <w:vAlign w:val="center"/>
          </w:tcPr>
          <w:p>
            <w:pPr>
              <w:widowControl w:val="0"/>
              <w:jc w:val="center"/>
              <w:rPr>
                <w:szCs w:val="21"/>
              </w:rPr>
            </w:pPr>
            <w:r>
              <w:rPr>
                <w:rFonts w:hint="eastAsia"/>
                <w:szCs w:val="21"/>
              </w:rPr>
              <w:t>选举</w:t>
            </w:r>
          </w:p>
        </w:tc>
        <w:tc>
          <w:tcPr>
            <w:tcW w:w="2262" w:type="dxa"/>
            <w:vAlign w:val="center"/>
          </w:tcPr>
          <w:p>
            <w:pPr>
              <w:widowControl w:val="0"/>
              <w:jc w:val="center"/>
              <w:rPr>
                <w:szCs w:val="21"/>
              </w:rPr>
            </w:pPr>
            <w:r>
              <w:rPr>
                <w:rFonts w:hint="eastAsia"/>
                <w:szCs w:val="21"/>
              </w:rPr>
              <w:t>换届</w:t>
            </w:r>
          </w:p>
        </w:tc>
      </w:tr>
    </w:tbl>
    <w:p/>
    <w:p>
      <w:pPr>
        <w:pStyle w:val="4"/>
        <w:numPr>
          <w:ilvl w:val="0"/>
          <w:numId w:val="22"/>
        </w:numPr>
        <w:ind w:left="0" w:firstLine="0"/>
      </w:pPr>
      <w:r>
        <w:rPr>
          <w:rFonts w:hint="eastAsia"/>
        </w:rPr>
        <w:t>近三年受证券监管机构处罚的情况说明</w:t>
      </w:r>
    </w:p>
    <w:sdt>
      <w:sdtPr>
        <w:rPr>
          <w:szCs w:val="21"/>
        </w:rPr>
        <w:alias w:val="是否适用：近三年受证券监管机构处罚的情况说明[双击切换]"/>
        <w:tag w:val="_GBC_7955674a80d94ddc9e00915de353286e"/>
        <w:id w:val="6066"/>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Pr>
        <w:pStyle w:val="4"/>
        <w:numPr>
          <w:ilvl w:val="0"/>
          <w:numId w:val="22"/>
        </w:numPr>
        <w:ind w:left="0" w:firstLine="0"/>
      </w:pPr>
      <w:bookmarkStart w:id="94" w:name="_Hlk89182759"/>
      <w:r>
        <w:rPr>
          <w:rFonts w:hint="eastAsia"/>
        </w:rPr>
        <w:t>其他</w:t>
      </w:r>
    </w:p>
    <w:sdt>
      <w:sdtPr>
        <w:rPr>
          <w:rFonts w:hint="eastAsia"/>
          <w:bCs/>
          <w:szCs w:val="21"/>
        </w:rPr>
        <w:alias w:val="是否适用：其他董事、监事、高级管理人员情况说明[双击切换]"/>
        <w:tag w:val="_GBC_6698e1cba7354d29b0fcdbb38e7287d6"/>
        <w:id w:val="6067"/>
        <w:placeholder>
          <w:docPart w:val="GBC22222222222222222222222222222"/>
        </w:placeholder>
      </w:sdtPr>
      <w:sdtEndPr>
        <w:rPr>
          <w:rFonts w:hint="eastAsia"/>
          <w:bCs/>
          <w:szCs w:val="21"/>
        </w:rPr>
      </w:sdtEndPr>
      <w:sdtContent>
        <w:p>
          <w:pPr>
            <w:rPr>
              <w:bCs/>
              <w:szCs w:val="21"/>
            </w:rPr>
          </w:pPr>
          <w:r>
            <w:rPr>
              <w:rFonts w:ascii="宋体" w:hAnsi="宋体"/>
              <w:bCs/>
              <w:szCs w:val="21"/>
            </w:rPr>
            <w:fldChar w:fldCharType="begin"/>
          </w:r>
          <w:r>
            <w:rPr>
              <w:rFonts w:ascii="宋体" w:hAnsi="宋体"/>
              <w:bCs/>
              <w:szCs w:val="21"/>
            </w:rPr>
            <w:instrText xml:space="preserve"> </w:instrText>
          </w:r>
          <w:r>
            <w:rPr>
              <w:rFonts w:hint="eastAsia" w:ascii="宋体" w:hAnsi="宋体"/>
              <w:bCs/>
              <w:szCs w:val="21"/>
            </w:rPr>
            <w:instrText xml:space="preserve">MACROBUTTON  SnrToggleCheckbox □适用 </w:instrText>
          </w:r>
          <w:r>
            <w:rPr>
              <w:rFonts w:ascii="宋体" w:hAnsi="宋体"/>
              <w:bCs/>
              <w:szCs w:val="21"/>
            </w:rPr>
            <w:fldChar w:fldCharType="end"/>
          </w:r>
          <w:r>
            <w:rPr>
              <w:rFonts w:ascii="宋体" w:hAnsi="宋体"/>
              <w:bCs/>
              <w:szCs w:val="21"/>
            </w:rPr>
            <w:fldChar w:fldCharType="begin"/>
          </w:r>
          <w:r>
            <w:rPr>
              <w:rFonts w:ascii="宋体" w:hAnsi="宋体"/>
              <w:bCs/>
              <w:szCs w:val="21"/>
            </w:rPr>
            <w:instrText xml:space="preserve"> MACROBUTTON  SnrToggleCheckbox √不适用 </w:instrText>
          </w:r>
          <w:r>
            <w:rPr>
              <w:rFonts w:ascii="宋体" w:hAnsi="宋体"/>
              <w:bCs/>
              <w:szCs w:val="21"/>
            </w:rPr>
            <w:fldChar w:fldCharType="end"/>
          </w:r>
        </w:p>
      </w:sdtContent>
    </w:sdt>
    <w:p>
      <w:pPr>
        <w:rPr>
          <w:bCs/>
          <w:szCs w:val="21"/>
        </w:rPr>
      </w:pPr>
    </w:p>
    <w:bookmarkEnd w:id="94"/>
    <w:p>
      <w:pPr>
        <w:pStyle w:val="3"/>
        <w:numPr>
          <w:ilvl w:val="0"/>
          <w:numId w:val="21"/>
        </w:numPr>
      </w:pPr>
      <w:r>
        <w:t>董事履行职责情况</w:t>
      </w:r>
    </w:p>
    <w:p>
      <w:pPr>
        <w:pStyle w:val="4"/>
        <w:numPr>
          <w:ilvl w:val="0"/>
          <w:numId w:val="24"/>
        </w:numPr>
      </w:pPr>
      <w:r>
        <w:t>董事参加董事会和</w:t>
      </w:r>
      <w:sdt>
        <w:sdtPr>
          <w:tag w:val="_PLD_47828a77321a429297b4f49878c0e2f1"/>
          <w:id w:val="6068"/>
        </w:sdtPr>
        <w:sdtContent>
          <w:r>
            <w:t>股东会</w:t>
          </w:r>
        </w:sdtContent>
      </w:sdt>
      <w:r>
        <w:t>的情况</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845"/>
        <w:gridCol w:w="1098"/>
        <w:gridCol w:w="852"/>
        <w:gridCol w:w="968"/>
        <w:gridCol w:w="904"/>
        <w:gridCol w:w="845"/>
        <w:gridCol w:w="1292"/>
        <w:gridCol w:w="1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79" w:type="dxa"/>
            <w:vMerge w:val="restart"/>
            <w:vAlign w:val="center"/>
          </w:tcPr>
          <w:sdt>
            <w:sdtPr>
              <w:tag w:val="_PLD_fdf987702b2e46a4aaa1e3f20787a76c"/>
              <w:id w:val="6069"/>
            </w:sdtPr>
            <w:sdtContent>
              <w:p>
                <w:pPr>
                  <w:widowControl w:val="0"/>
                  <w:jc w:val="center"/>
                  <w:rPr>
                    <w:szCs w:val="21"/>
                  </w:rPr>
                </w:pPr>
                <w:r>
                  <w:rPr>
                    <w:rFonts w:hint="eastAsia"/>
                    <w:szCs w:val="21"/>
                  </w:rPr>
                  <w:t>董事</w:t>
                </w:r>
              </w:p>
              <w:p>
                <w:pPr>
                  <w:widowControl w:val="0"/>
                  <w:jc w:val="center"/>
                  <w:rPr>
                    <w:szCs w:val="21"/>
                  </w:rPr>
                </w:pPr>
                <w:r>
                  <w:rPr>
                    <w:rFonts w:hint="eastAsia"/>
                    <w:szCs w:val="21"/>
                  </w:rPr>
                  <w:t>姓名</w:t>
                </w:r>
              </w:p>
            </w:sdtContent>
          </w:sdt>
        </w:tc>
        <w:tc>
          <w:tcPr>
            <w:tcW w:w="845" w:type="dxa"/>
            <w:vMerge w:val="restart"/>
            <w:vAlign w:val="center"/>
          </w:tcPr>
          <w:sdt>
            <w:sdtPr>
              <w:tag w:val="_PLD_8c944f740a3a4784938038ab19e3a6ed"/>
              <w:id w:val="6070"/>
            </w:sdtPr>
            <w:sdtContent>
              <w:p>
                <w:pPr>
                  <w:widowControl w:val="0"/>
                  <w:jc w:val="center"/>
                  <w:rPr>
                    <w:szCs w:val="21"/>
                  </w:rPr>
                </w:pPr>
                <w:r>
                  <w:rPr>
                    <w:szCs w:val="21"/>
                  </w:rPr>
                  <w:t>是否独立董事</w:t>
                </w:r>
              </w:p>
            </w:sdtContent>
          </w:sdt>
        </w:tc>
        <w:tc>
          <w:tcPr>
            <w:tcW w:w="5961" w:type="dxa"/>
            <w:gridSpan w:val="6"/>
            <w:vAlign w:val="center"/>
          </w:tcPr>
          <w:sdt>
            <w:sdtPr>
              <w:tag w:val="_PLD_41002b55426142459adadb76d790d586"/>
              <w:id w:val="6071"/>
            </w:sdtPr>
            <w:sdtContent>
              <w:p>
                <w:pPr>
                  <w:widowControl w:val="0"/>
                  <w:jc w:val="center"/>
                  <w:rPr>
                    <w:szCs w:val="21"/>
                  </w:rPr>
                </w:pPr>
                <w:r>
                  <w:rPr>
                    <w:szCs w:val="21"/>
                  </w:rPr>
                  <w:t>参加董事会情况</w:t>
                </w:r>
              </w:p>
            </w:sdtContent>
          </w:sdt>
        </w:tc>
        <w:tc>
          <w:tcPr>
            <w:tcW w:w="1261" w:type="dxa"/>
            <w:vAlign w:val="center"/>
          </w:tcPr>
          <w:sdt>
            <w:sdtPr>
              <w:tag w:val="_PLD_a86ab0ba65874193bf46821cd6a13f4f"/>
              <w:id w:val="6072"/>
            </w:sdtPr>
            <w:sdtContent>
              <w:p>
                <w:pPr>
                  <w:widowControl w:val="0"/>
                  <w:jc w:val="center"/>
                  <w:rPr>
                    <w:szCs w:val="21"/>
                  </w:rPr>
                </w:pPr>
                <w:r>
                  <w:rPr>
                    <w:szCs w:val="21"/>
                  </w:rPr>
                  <w:t>参加股东会情况</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979" w:type="dxa"/>
            <w:vMerge w:val="continue"/>
            <w:vAlign w:val="center"/>
          </w:tcPr>
          <w:p>
            <w:pPr>
              <w:widowControl w:val="0"/>
              <w:jc w:val="center"/>
              <w:rPr>
                <w:szCs w:val="21"/>
              </w:rPr>
            </w:pPr>
          </w:p>
        </w:tc>
        <w:tc>
          <w:tcPr>
            <w:tcW w:w="845" w:type="dxa"/>
            <w:vMerge w:val="continue"/>
            <w:vAlign w:val="center"/>
          </w:tcPr>
          <w:p>
            <w:pPr>
              <w:widowControl w:val="0"/>
              <w:jc w:val="center"/>
              <w:rPr>
                <w:szCs w:val="21"/>
              </w:rPr>
            </w:pPr>
          </w:p>
        </w:tc>
        <w:tc>
          <w:tcPr>
            <w:tcW w:w="1098" w:type="dxa"/>
            <w:vAlign w:val="center"/>
          </w:tcPr>
          <w:sdt>
            <w:sdtPr>
              <w:tag w:val="_PLD_1be3bc3a3d894e22b017b70a7c691233"/>
              <w:id w:val="6073"/>
            </w:sdtPr>
            <w:sdtContent>
              <w:p>
                <w:pPr>
                  <w:widowControl w:val="0"/>
                  <w:jc w:val="center"/>
                  <w:rPr>
                    <w:szCs w:val="21"/>
                  </w:rPr>
                </w:pPr>
                <w:r>
                  <w:rPr>
                    <w:szCs w:val="21"/>
                  </w:rPr>
                  <w:t>本年应参加董事会次数</w:t>
                </w:r>
              </w:p>
            </w:sdtContent>
          </w:sdt>
        </w:tc>
        <w:tc>
          <w:tcPr>
            <w:tcW w:w="852" w:type="dxa"/>
            <w:vAlign w:val="center"/>
          </w:tcPr>
          <w:sdt>
            <w:sdtPr>
              <w:tag w:val="_PLD_3e45fc9802f241cb8e17735983417e9b"/>
              <w:id w:val="6074"/>
            </w:sdtPr>
            <w:sdtContent>
              <w:p>
                <w:pPr>
                  <w:widowControl w:val="0"/>
                  <w:jc w:val="center"/>
                  <w:rPr>
                    <w:szCs w:val="21"/>
                  </w:rPr>
                </w:pPr>
                <w:r>
                  <w:rPr>
                    <w:szCs w:val="21"/>
                  </w:rPr>
                  <w:t>亲自出席次数</w:t>
                </w:r>
              </w:p>
            </w:sdtContent>
          </w:sdt>
        </w:tc>
        <w:tc>
          <w:tcPr>
            <w:tcW w:w="968" w:type="dxa"/>
            <w:vAlign w:val="center"/>
          </w:tcPr>
          <w:sdt>
            <w:sdtPr>
              <w:tag w:val="_PLD_5b2f1e699fe34def868fe8b765d768ba"/>
              <w:id w:val="6075"/>
            </w:sdtPr>
            <w:sdtContent>
              <w:p>
                <w:pPr>
                  <w:widowControl w:val="0"/>
                  <w:jc w:val="center"/>
                  <w:rPr>
                    <w:szCs w:val="21"/>
                  </w:rPr>
                </w:pPr>
                <w:r>
                  <w:rPr>
                    <w:szCs w:val="21"/>
                  </w:rPr>
                  <w:t>以通讯方式参加次数</w:t>
                </w:r>
              </w:p>
            </w:sdtContent>
          </w:sdt>
        </w:tc>
        <w:tc>
          <w:tcPr>
            <w:tcW w:w="904" w:type="dxa"/>
            <w:vAlign w:val="center"/>
          </w:tcPr>
          <w:sdt>
            <w:sdtPr>
              <w:tag w:val="_PLD_981a0cb863d94703a5482c1ca67d4cb5"/>
              <w:id w:val="6076"/>
            </w:sdtPr>
            <w:sdtContent>
              <w:p>
                <w:pPr>
                  <w:widowControl w:val="0"/>
                  <w:jc w:val="center"/>
                  <w:rPr>
                    <w:szCs w:val="21"/>
                  </w:rPr>
                </w:pPr>
                <w:r>
                  <w:rPr>
                    <w:szCs w:val="21"/>
                  </w:rPr>
                  <w:t>委托出席次数</w:t>
                </w:r>
              </w:p>
            </w:sdtContent>
          </w:sdt>
        </w:tc>
        <w:tc>
          <w:tcPr>
            <w:tcW w:w="845" w:type="dxa"/>
            <w:vAlign w:val="center"/>
          </w:tcPr>
          <w:sdt>
            <w:sdtPr>
              <w:tag w:val="_PLD_e955143b8973461bb11aa6e64e6bb542"/>
              <w:id w:val="6077"/>
            </w:sdtPr>
            <w:sdtContent>
              <w:p>
                <w:pPr>
                  <w:widowControl w:val="0"/>
                  <w:jc w:val="center"/>
                  <w:rPr>
                    <w:szCs w:val="21"/>
                  </w:rPr>
                </w:pPr>
                <w:r>
                  <w:rPr>
                    <w:szCs w:val="21"/>
                  </w:rPr>
                  <w:t>缺席</w:t>
                </w:r>
              </w:p>
              <w:p>
                <w:pPr>
                  <w:widowControl w:val="0"/>
                  <w:jc w:val="center"/>
                  <w:rPr>
                    <w:szCs w:val="21"/>
                  </w:rPr>
                </w:pPr>
                <w:r>
                  <w:rPr>
                    <w:szCs w:val="21"/>
                  </w:rPr>
                  <w:t>次数</w:t>
                </w:r>
              </w:p>
            </w:sdtContent>
          </w:sdt>
        </w:tc>
        <w:tc>
          <w:tcPr>
            <w:tcW w:w="1292" w:type="dxa"/>
            <w:vAlign w:val="center"/>
          </w:tcPr>
          <w:sdt>
            <w:sdtPr>
              <w:tag w:val="_PLD_c94de7a455d94af5b8ffe4cc736c4b46"/>
              <w:id w:val="6078"/>
            </w:sdtPr>
            <w:sdtContent>
              <w:p>
                <w:pPr>
                  <w:widowControl w:val="0"/>
                  <w:jc w:val="center"/>
                  <w:rPr>
                    <w:szCs w:val="21"/>
                  </w:rPr>
                </w:pPr>
                <w:r>
                  <w:rPr>
                    <w:szCs w:val="21"/>
                  </w:rPr>
                  <w:t>是否连续两次未亲自参加会议</w:t>
                </w:r>
              </w:p>
            </w:sdtContent>
          </w:sdt>
        </w:tc>
        <w:tc>
          <w:tcPr>
            <w:tcW w:w="1261" w:type="dxa"/>
            <w:vAlign w:val="center"/>
          </w:tcPr>
          <w:sdt>
            <w:sdtPr>
              <w:tag w:val="_PLD_7f17c2a5ff9540709fafff9460b0756d"/>
              <w:id w:val="6079"/>
            </w:sdtPr>
            <w:sdtContent>
              <w:p>
                <w:pPr>
                  <w:widowControl w:val="0"/>
                  <w:jc w:val="center"/>
                  <w:rPr>
                    <w:b/>
                    <w:szCs w:val="21"/>
                  </w:rPr>
                </w:pPr>
                <w:r>
                  <w:rPr>
                    <w:szCs w:val="21"/>
                  </w:rPr>
                  <w:t>出席股东会的次数</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979" w:type="dxa"/>
            <w:vAlign w:val="center"/>
          </w:tcPr>
          <w:p>
            <w:pPr>
              <w:widowControl w:val="0"/>
              <w:jc w:val="both"/>
              <w:rPr>
                <w:szCs w:val="21"/>
              </w:rPr>
            </w:pPr>
            <w:r>
              <w:rPr>
                <w:rFonts w:hint="eastAsia"/>
                <w:color w:val="auto"/>
                <w:szCs w:val="21"/>
              </w:rPr>
              <w:t>周云祥</w:t>
            </w:r>
          </w:p>
        </w:tc>
        <w:tc>
          <w:tcPr>
            <w:tcW w:w="845" w:type="dxa"/>
            <w:vAlign w:val="center"/>
          </w:tcPr>
          <w:sdt>
            <w:sdtPr>
              <w:rPr>
                <w:rFonts w:hint="eastAsia"/>
                <w:szCs w:val="21"/>
              </w:rPr>
              <w:alias w:val="董事参加董事会的出席情况明细-是否独立董事"/>
              <w:tag w:val="_GBC_8f65cf2d483747a58ee92c8a36ee6375"/>
              <w:id w:val="6080"/>
              <w:comboBox>
                <w:listItem w:displayText="是" w:value="true"/>
                <w:listItem w:displayText="否" w:value="false"/>
              </w:comboBox>
            </w:sdtPr>
            <w:sdtEndPr>
              <w:rPr>
                <w:rFonts w:hint="eastAsia"/>
                <w:szCs w:val="21"/>
              </w:rPr>
            </w:sdtEndPr>
            <w:sdtContent>
              <w:p>
                <w:pPr>
                  <w:widowControl w:val="0"/>
                  <w:jc w:val="center"/>
                  <w:rPr>
                    <w:szCs w:val="21"/>
                  </w:rPr>
                </w:pPr>
                <w:r>
                  <w:rPr>
                    <w:rFonts w:hint="eastAsia"/>
                    <w:szCs w:val="21"/>
                  </w:rPr>
                  <w:t>否</w:t>
                </w:r>
              </w:p>
            </w:sdtContent>
          </w:sdt>
        </w:tc>
        <w:tc>
          <w:tcPr>
            <w:tcW w:w="1098" w:type="dxa"/>
            <w:vAlign w:val="center"/>
          </w:tcPr>
          <w:p>
            <w:pPr>
              <w:widowControl w:val="0"/>
              <w:jc w:val="center"/>
              <w:rPr>
                <w:rFonts w:hint="eastAsia"/>
                <w:szCs w:val="21"/>
              </w:rPr>
            </w:pPr>
            <w:r>
              <w:rPr>
                <w:rFonts w:hint="eastAsia"/>
                <w:color w:val="auto"/>
                <w:szCs w:val="21"/>
              </w:rPr>
              <w:t>8</w:t>
            </w:r>
          </w:p>
        </w:tc>
        <w:tc>
          <w:tcPr>
            <w:tcW w:w="852" w:type="dxa"/>
            <w:vAlign w:val="center"/>
          </w:tcPr>
          <w:p>
            <w:pPr>
              <w:widowControl w:val="0"/>
              <w:jc w:val="center"/>
              <w:rPr>
                <w:rFonts w:hint="eastAsia"/>
                <w:szCs w:val="21"/>
              </w:rPr>
            </w:pPr>
            <w:r>
              <w:rPr>
                <w:rFonts w:hint="eastAsia"/>
                <w:color w:val="auto"/>
                <w:szCs w:val="21"/>
              </w:rPr>
              <w:t>8</w:t>
            </w:r>
          </w:p>
        </w:tc>
        <w:tc>
          <w:tcPr>
            <w:tcW w:w="968" w:type="dxa"/>
            <w:vAlign w:val="center"/>
          </w:tcPr>
          <w:p>
            <w:pPr>
              <w:widowControl w:val="0"/>
              <w:jc w:val="center"/>
              <w:rPr>
                <w:rFonts w:hint="eastAsia"/>
                <w:szCs w:val="21"/>
              </w:rPr>
            </w:pPr>
            <w:r>
              <w:rPr>
                <w:rFonts w:hint="eastAsia"/>
                <w:color w:val="auto"/>
                <w:szCs w:val="21"/>
              </w:rPr>
              <w:t>3</w:t>
            </w:r>
          </w:p>
        </w:tc>
        <w:tc>
          <w:tcPr>
            <w:tcW w:w="904" w:type="dxa"/>
            <w:vAlign w:val="center"/>
          </w:tcPr>
          <w:p>
            <w:pPr>
              <w:widowControl w:val="0"/>
              <w:jc w:val="center"/>
              <w:rPr>
                <w:rFonts w:hint="eastAsia"/>
                <w:szCs w:val="21"/>
              </w:rPr>
            </w:pPr>
            <w:r>
              <w:rPr>
                <w:rFonts w:hint="eastAsia"/>
                <w:color w:val="auto"/>
                <w:szCs w:val="21"/>
              </w:rPr>
              <w:t>0</w:t>
            </w:r>
          </w:p>
        </w:tc>
        <w:tc>
          <w:tcPr>
            <w:tcW w:w="845" w:type="dxa"/>
            <w:vAlign w:val="center"/>
          </w:tcPr>
          <w:p>
            <w:pPr>
              <w:widowControl w:val="0"/>
              <w:jc w:val="center"/>
              <w:rPr>
                <w:rFonts w:hint="eastAsia"/>
                <w:szCs w:val="21"/>
              </w:rPr>
            </w:pPr>
            <w:r>
              <w:rPr>
                <w:rFonts w:hint="eastAsia"/>
                <w:color w:val="auto"/>
                <w:szCs w:val="21"/>
              </w:rPr>
              <w:t>0</w:t>
            </w:r>
          </w:p>
        </w:tc>
        <w:tc>
          <w:tcPr>
            <w:tcW w:w="1292" w:type="dxa"/>
            <w:vAlign w:val="center"/>
          </w:tcPr>
          <w:sdt>
            <w:sdtPr>
              <w:rPr>
                <w:rFonts w:hint="eastAsia"/>
                <w:szCs w:val="21"/>
              </w:rPr>
              <w:alias w:val="董事参加董事会的出席情况明细-是否连续两次未亲自参加会议"/>
              <w:tag w:val="_GBC_4748dc7c4f9b495f9d97d5c22a5e08e6"/>
              <w:id w:val="6081"/>
              <w:comboBox>
                <w:listItem w:displayText="是" w:value="true"/>
                <w:listItem w:displayText="否" w:value="false"/>
              </w:comboBox>
            </w:sdtPr>
            <w:sdtEndPr>
              <w:rPr>
                <w:rFonts w:hint="eastAsia"/>
                <w:szCs w:val="21"/>
              </w:rPr>
            </w:sdtEndPr>
            <w:sdtContent>
              <w:p>
                <w:pPr>
                  <w:widowControl w:val="0"/>
                  <w:jc w:val="center"/>
                  <w:rPr>
                    <w:szCs w:val="21"/>
                  </w:rPr>
                </w:pPr>
                <w:r>
                  <w:rPr>
                    <w:rFonts w:hint="eastAsia"/>
                    <w:szCs w:val="21"/>
                  </w:rPr>
                  <w:t>否</w:t>
                </w:r>
              </w:p>
            </w:sdtContent>
          </w:sdt>
        </w:tc>
        <w:tc>
          <w:tcPr>
            <w:tcW w:w="1261" w:type="dxa"/>
            <w:vAlign w:val="center"/>
          </w:tcPr>
          <w:p>
            <w:pPr>
              <w:widowControl w:val="0"/>
              <w:jc w:val="center"/>
              <w:rPr>
                <w:rFonts w:hint="eastAsia"/>
                <w:szCs w:val="21"/>
              </w:rPr>
            </w:pPr>
            <w:r>
              <w:rPr>
                <w:rFonts w:hint="eastAsia"/>
                <w:color w:val="auto"/>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979" w:type="dxa"/>
            <w:vAlign w:val="center"/>
          </w:tcPr>
          <w:p>
            <w:pPr>
              <w:widowControl w:val="0"/>
              <w:jc w:val="both"/>
              <w:rPr>
                <w:szCs w:val="21"/>
              </w:rPr>
            </w:pPr>
            <w:r>
              <w:rPr>
                <w:rFonts w:hint="eastAsia"/>
                <w:color w:val="auto"/>
                <w:szCs w:val="21"/>
              </w:rPr>
              <w:t>龚慧泉</w:t>
            </w:r>
          </w:p>
        </w:tc>
        <w:tc>
          <w:tcPr>
            <w:tcW w:w="845" w:type="dxa"/>
            <w:vAlign w:val="center"/>
          </w:tcPr>
          <w:p>
            <w:pPr>
              <w:widowControl w:val="0"/>
              <w:jc w:val="center"/>
              <w:rPr>
                <w:szCs w:val="21"/>
              </w:rPr>
            </w:pPr>
            <w:r>
              <w:rPr>
                <w:rFonts w:hint="eastAsia"/>
                <w:szCs w:val="21"/>
              </w:rPr>
              <w:t>否</w:t>
            </w:r>
          </w:p>
        </w:tc>
        <w:tc>
          <w:tcPr>
            <w:tcW w:w="1098" w:type="dxa"/>
            <w:vAlign w:val="center"/>
          </w:tcPr>
          <w:p>
            <w:pPr>
              <w:widowControl w:val="0"/>
              <w:jc w:val="center"/>
              <w:rPr>
                <w:rFonts w:hint="eastAsia"/>
                <w:szCs w:val="21"/>
              </w:rPr>
            </w:pPr>
            <w:r>
              <w:rPr>
                <w:rFonts w:hint="eastAsia"/>
                <w:color w:val="auto"/>
                <w:szCs w:val="21"/>
              </w:rPr>
              <w:t>9</w:t>
            </w:r>
          </w:p>
        </w:tc>
        <w:tc>
          <w:tcPr>
            <w:tcW w:w="852" w:type="dxa"/>
            <w:vAlign w:val="center"/>
          </w:tcPr>
          <w:p>
            <w:pPr>
              <w:widowControl w:val="0"/>
              <w:jc w:val="center"/>
              <w:rPr>
                <w:rFonts w:hint="eastAsia"/>
                <w:szCs w:val="21"/>
              </w:rPr>
            </w:pPr>
            <w:r>
              <w:rPr>
                <w:rFonts w:hint="eastAsia"/>
                <w:color w:val="auto"/>
                <w:szCs w:val="21"/>
              </w:rPr>
              <w:t>9</w:t>
            </w:r>
          </w:p>
        </w:tc>
        <w:tc>
          <w:tcPr>
            <w:tcW w:w="968" w:type="dxa"/>
            <w:vAlign w:val="center"/>
          </w:tcPr>
          <w:p>
            <w:pPr>
              <w:widowControl w:val="0"/>
              <w:jc w:val="center"/>
              <w:rPr>
                <w:rFonts w:hint="eastAsia"/>
                <w:szCs w:val="21"/>
              </w:rPr>
            </w:pPr>
            <w:r>
              <w:rPr>
                <w:rFonts w:hint="eastAsia"/>
                <w:color w:val="auto"/>
                <w:szCs w:val="21"/>
              </w:rPr>
              <w:t>1</w:t>
            </w:r>
          </w:p>
        </w:tc>
        <w:tc>
          <w:tcPr>
            <w:tcW w:w="904" w:type="dxa"/>
            <w:vAlign w:val="center"/>
          </w:tcPr>
          <w:p>
            <w:pPr>
              <w:widowControl w:val="0"/>
              <w:jc w:val="center"/>
              <w:rPr>
                <w:rFonts w:hint="eastAsia"/>
                <w:szCs w:val="21"/>
              </w:rPr>
            </w:pPr>
            <w:r>
              <w:rPr>
                <w:rFonts w:hint="eastAsia"/>
                <w:color w:val="auto"/>
                <w:szCs w:val="21"/>
              </w:rPr>
              <w:t>0</w:t>
            </w:r>
          </w:p>
        </w:tc>
        <w:tc>
          <w:tcPr>
            <w:tcW w:w="845" w:type="dxa"/>
            <w:vAlign w:val="center"/>
          </w:tcPr>
          <w:p>
            <w:pPr>
              <w:widowControl w:val="0"/>
              <w:jc w:val="center"/>
              <w:rPr>
                <w:rFonts w:hint="eastAsia"/>
                <w:szCs w:val="21"/>
              </w:rPr>
            </w:pPr>
            <w:r>
              <w:rPr>
                <w:rFonts w:hint="eastAsia"/>
                <w:color w:val="auto"/>
                <w:szCs w:val="21"/>
              </w:rPr>
              <w:t>0</w:t>
            </w:r>
          </w:p>
        </w:tc>
        <w:tc>
          <w:tcPr>
            <w:tcW w:w="1292" w:type="dxa"/>
            <w:vAlign w:val="center"/>
          </w:tcPr>
          <w:p>
            <w:pPr>
              <w:widowControl w:val="0"/>
              <w:jc w:val="center"/>
              <w:rPr>
                <w:szCs w:val="21"/>
              </w:rPr>
            </w:pPr>
            <w:r>
              <w:rPr>
                <w:rFonts w:hint="eastAsia"/>
                <w:szCs w:val="21"/>
              </w:rPr>
              <w:t>否</w:t>
            </w:r>
          </w:p>
        </w:tc>
        <w:tc>
          <w:tcPr>
            <w:tcW w:w="1261" w:type="dxa"/>
            <w:vAlign w:val="center"/>
          </w:tcPr>
          <w:p>
            <w:pPr>
              <w:widowControl w:val="0"/>
              <w:jc w:val="center"/>
              <w:rPr>
                <w:rFonts w:hint="eastAsia"/>
                <w:szCs w:val="21"/>
              </w:rPr>
            </w:pPr>
            <w:r>
              <w:rPr>
                <w:rFonts w:hint="eastAsia"/>
                <w:color w:val="auto"/>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979" w:type="dxa"/>
            <w:vAlign w:val="center"/>
          </w:tcPr>
          <w:p>
            <w:pPr>
              <w:widowControl w:val="0"/>
              <w:jc w:val="both"/>
              <w:rPr>
                <w:szCs w:val="21"/>
              </w:rPr>
            </w:pPr>
            <w:r>
              <w:rPr>
                <w:rFonts w:hint="eastAsia"/>
                <w:color w:val="auto"/>
                <w:szCs w:val="21"/>
              </w:rPr>
              <w:t>王为民（离任）</w:t>
            </w:r>
          </w:p>
        </w:tc>
        <w:tc>
          <w:tcPr>
            <w:tcW w:w="845" w:type="dxa"/>
            <w:vAlign w:val="center"/>
          </w:tcPr>
          <w:p>
            <w:pPr>
              <w:widowControl w:val="0"/>
              <w:jc w:val="center"/>
              <w:rPr>
                <w:szCs w:val="21"/>
              </w:rPr>
            </w:pPr>
            <w:r>
              <w:rPr>
                <w:rFonts w:hint="eastAsia"/>
                <w:szCs w:val="21"/>
              </w:rPr>
              <w:t>否</w:t>
            </w:r>
          </w:p>
        </w:tc>
        <w:tc>
          <w:tcPr>
            <w:tcW w:w="1098" w:type="dxa"/>
            <w:vAlign w:val="center"/>
          </w:tcPr>
          <w:p>
            <w:pPr>
              <w:widowControl w:val="0"/>
              <w:jc w:val="center"/>
              <w:rPr>
                <w:rFonts w:hint="eastAsia"/>
                <w:szCs w:val="21"/>
              </w:rPr>
            </w:pPr>
            <w:r>
              <w:rPr>
                <w:rFonts w:hint="eastAsia"/>
                <w:color w:val="auto"/>
                <w:szCs w:val="21"/>
              </w:rPr>
              <w:t>5</w:t>
            </w:r>
          </w:p>
        </w:tc>
        <w:tc>
          <w:tcPr>
            <w:tcW w:w="852" w:type="dxa"/>
            <w:vAlign w:val="center"/>
          </w:tcPr>
          <w:p>
            <w:pPr>
              <w:widowControl w:val="0"/>
              <w:jc w:val="center"/>
              <w:rPr>
                <w:rFonts w:hint="eastAsia"/>
                <w:szCs w:val="21"/>
              </w:rPr>
            </w:pPr>
            <w:r>
              <w:rPr>
                <w:rFonts w:hint="eastAsia"/>
                <w:color w:val="auto"/>
                <w:szCs w:val="21"/>
              </w:rPr>
              <w:t>5</w:t>
            </w:r>
          </w:p>
        </w:tc>
        <w:tc>
          <w:tcPr>
            <w:tcW w:w="968" w:type="dxa"/>
            <w:vAlign w:val="center"/>
          </w:tcPr>
          <w:p>
            <w:pPr>
              <w:widowControl w:val="0"/>
              <w:jc w:val="center"/>
              <w:rPr>
                <w:rFonts w:hint="eastAsia"/>
                <w:szCs w:val="21"/>
              </w:rPr>
            </w:pPr>
            <w:r>
              <w:rPr>
                <w:rFonts w:hint="eastAsia"/>
                <w:color w:val="auto"/>
                <w:szCs w:val="21"/>
              </w:rPr>
              <w:t>2</w:t>
            </w:r>
          </w:p>
        </w:tc>
        <w:tc>
          <w:tcPr>
            <w:tcW w:w="904" w:type="dxa"/>
            <w:vAlign w:val="center"/>
          </w:tcPr>
          <w:p>
            <w:pPr>
              <w:widowControl w:val="0"/>
              <w:jc w:val="center"/>
              <w:rPr>
                <w:rFonts w:hint="eastAsia"/>
                <w:szCs w:val="21"/>
              </w:rPr>
            </w:pPr>
            <w:r>
              <w:rPr>
                <w:rFonts w:hint="eastAsia"/>
                <w:color w:val="auto"/>
                <w:szCs w:val="21"/>
              </w:rPr>
              <w:t>0</w:t>
            </w:r>
          </w:p>
        </w:tc>
        <w:tc>
          <w:tcPr>
            <w:tcW w:w="845" w:type="dxa"/>
            <w:vAlign w:val="center"/>
          </w:tcPr>
          <w:p>
            <w:pPr>
              <w:widowControl w:val="0"/>
              <w:jc w:val="center"/>
              <w:rPr>
                <w:rFonts w:hint="eastAsia"/>
                <w:szCs w:val="21"/>
              </w:rPr>
            </w:pPr>
            <w:r>
              <w:rPr>
                <w:rFonts w:hint="eastAsia"/>
                <w:color w:val="auto"/>
                <w:szCs w:val="21"/>
              </w:rPr>
              <w:t>0</w:t>
            </w:r>
          </w:p>
        </w:tc>
        <w:tc>
          <w:tcPr>
            <w:tcW w:w="1292" w:type="dxa"/>
            <w:vAlign w:val="center"/>
          </w:tcPr>
          <w:p>
            <w:pPr>
              <w:widowControl w:val="0"/>
              <w:jc w:val="center"/>
              <w:rPr>
                <w:szCs w:val="21"/>
              </w:rPr>
            </w:pPr>
            <w:r>
              <w:rPr>
                <w:rFonts w:hint="eastAsia"/>
                <w:szCs w:val="21"/>
              </w:rPr>
              <w:t>否</w:t>
            </w:r>
          </w:p>
        </w:tc>
        <w:tc>
          <w:tcPr>
            <w:tcW w:w="1261" w:type="dxa"/>
            <w:vAlign w:val="center"/>
          </w:tcPr>
          <w:p>
            <w:pPr>
              <w:widowControl w:val="0"/>
              <w:jc w:val="center"/>
              <w:rPr>
                <w:rFonts w:hint="eastAsia"/>
                <w:szCs w:val="21"/>
              </w:rPr>
            </w:pPr>
            <w:r>
              <w:rPr>
                <w:rFonts w:hint="eastAsia"/>
                <w:color w:val="auto"/>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979" w:type="dxa"/>
            <w:vAlign w:val="center"/>
          </w:tcPr>
          <w:p>
            <w:pPr>
              <w:widowControl w:val="0"/>
              <w:jc w:val="both"/>
              <w:rPr>
                <w:szCs w:val="21"/>
              </w:rPr>
            </w:pPr>
            <w:r>
              <w:rPr>
                <w:rFonts w:hint="eastAsia"/>
                <w:color w:val="auto"/>
                <w:szCs w:val="21"/>
              </w:rPr>
              <w:t>孙雪东</w:t>
            </w:r>
          </w:p>
        </w:tc>
        <w:tc>
          <w:tcPr>
            <w:tcW w:w="845" w:type="dxa"/>
            <w:vAlign w:val="center"/>
          </w:tcPr>
          <w:p>
            <w:pPr>
              <w:widowControl w:val="0"/>
              <w:jc w:val="center"/>
              <w:rPr>
                <w:szCs w:val="21"/>
              </w:rPr>
            </w:pPr>
            <w:r>
              <w:rPr>
                <w:rFonts w:hint="eastAsia"/>
                <w:szCs w:val="21"/>
              </w:rPr>
              <w:t>否</w:t>
            </w:r>
          </w:p>
        </w:tc>
        <w:tc>
          <w:tcPr>
            <w:tcW w:w="1098" w:type="dxa"/>
            <w:vAlign w:val="center"/>
          </w:tcPr>
          <w:p>
            <w:pPr>
              <w:widowControl w:val="0"/>
              <w:jc w:val="center"/>
              <w:rPr>
                <w:rFonts w:hint="eastAsia"/>
                <w:szCs w:val="21"/>
              </w:rPr>
            </w:pPr>
            <w:r>
              <w:rPr>
                <w:rFonts w:hint="eastAsia"/>
                <w:color w:val="auto"/>
                <w:szCs w:val="21"/>
              </w:rPr>
              <w:t>9</w:t>
            </w:r>
          </w:p>
        </w:tc>
        <w:tc>
          <w:tcPr>
            <w:tcW w:w="852" w:type="dxa"/>
            <w:vAlign w:val="center"/>
          </w:tcPr>
          <w:p>
            <w:pPr>
              <w:widowControl w:val="0"/>
              <w:jc w:val="center"/>
              <w:rPr>
                <w:rFonts w:hint="eastAsia"/>
                <w:szCs w:val="21"/>
              </w:rPr>
            </w:pPr>
            <w:r>
              <w:rPr>
                <w:rFonts w:hint="eastAsia"/>
                <w:color w:val="auto"/>
                <w:szCs w:val="21"/>
              </w:rPr>
              <w:t>9</w:t>
            </w:r>
          </w:p>
        </w:tc>
        <w:tc>
          <w:tcPr>
            <w:tcW w:w="968" w:type="dxa"/>
            <w:vAlign w:val="center"/>
          </w:tcPr>
          <w:p>
            <w:pPr>
              <w:widowControl w:val="0"/>
              <w:jc w:val="center"/>
              <w:rPr>
                <w:rFonts w:hint="eastAsia"/>
                <w:szCs w:val="21"/>
              </w:rPr>
            </w:pPr>
            <w:r>
              <w:rPr>
                <w:rFonts w:hint="eastAsia"/>
                <w:color w:val="auto"/>
                <w:szCs w:val="21"/>
              </w:rPr>
              <w:t>8</w:t>
            </w:r>
          </w:p>
        </w:tc>
        <w:tc>
          <w:tcPr>
            <w:tcW w:w="904" w:type="dxa"/>
            <w:vAlign w:val="center"/>
          </w:tcPr>
          <w:p>
            <w:pPr>
              <w:widowControl w:val="0"/>
              <w:jc w:val="center"/>
              <w:rPr>
                <w:rFonts w:hint="eastAsia"/>
                <w:szCs w:val="21"/>
              </w:rPr>
            </w:pPr>
            <w:r>
              <w:rPr>
                <w:rFonts w:hint="eastAsia"/>
                <w:color w:val="auto"/>
                <w:szCs w:val="21"/>
              </w:rPr>
              <w:t>0</w:t>
            </w:r>
          </w:p>
        </w:tc>
        <w:tc>
          <w:tcPr>
            <w:tcW w:w="845" w:type="dxa"/>
            <w:vAlign w:val="center"/>
          </w:tcPr>
          <w:p>
            <w:pPr>
              <w:widowControl w:val="0"/>
              <w:jc w:val="center"/>
              <w:rPr>
                <w:rFonts w:hint="eastAsia"/>
                <w:szCs w:val="21"/>
              </w:rPr>
            </w:pPr>
            <w:r>
              <w:rPr>
                <w:rFonts w:hint="eastAsia"/>
                <w:color w:val="auto"/>
                <w:szCs w:val="21"/>
              </w:rPr>
              <w:t>0</w:t>
            </w:r>
          </w:p>
        </w:tc>
        <w:tc>
          <w:tcPr>
            <w:tcW w:w="1292" w:type="dxa"/>
            <w:vAlign w:val="center"/>
          </w:tcPr>
          <w:p>
            <w:pPr>
              <w:widowControl w:val="0"/>
              <w:jc w:val="center"/>
              <w:rPr>
                <w:szCs w:val="21"/>
              </w:rPr>
            </w:pPr>
            <w:r>
              <w:rPr>
                <w:rFonts w:hint="eastAsia"/>
                <w:szCs w:val="21"/>
              </w:rPr>
              <w:t>否</w:t>
            </w:r>
          </w:p>
        </w:tc>
        <w:tc>
          <w:tcPr>
            <w:tcW w:w="1261" w:type="dxa"/>
            <w:vAlign w:val="center"/>
          </w:tcPr>
          <w:p>
            <w:pPr>
              <w:widowControl w:val="0"/>
              <w:jc w:val="center"/>
              <w:rPr>
                <w:rFonts w:hint="eastAsia"/>
                <w:szCs w:val="21"/>
              </w:rPr>
            </w:pPr>
            <w:r>
              <w:rPr>
                <w:rFonts w:hint="eastAsia"/>
                <w:color w:val="auto"/>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979" w:type="dxa"/>
            <w:vAlign w:val="center"/>
          </w:tcPr>
          <w:p>
            <w:pPr>
              <w:widowControl w:val="0"/>
              <w:jc w:val="both"/>
              <w:rPr>
                <w:szCs w:val="21"/>
              </w:rPr>
            </w:pPr>
            <w:r>
              <w:rPr>
                <w:rFonts w:hint="eastAsia"/>
                <w:color w:val="auto"/>
                <w:szCs w:val="21"/>
              </w:rPr>
              <w:t>唐 鹏</w:t>
            </w:r>
          </w:p>
        </w:tc>
        <w:tc>
          <w:tcPr>
            <w:tcW w:w="845" w:type="dxa"/>
            <w:vAlign w:val="center"/>
          </w:tcPr>
          <w:p>
            <w:pPr>
              <w:widowControl w:val="0"/>
              <w:jc w:val="center"/>
              <w:rPr>
                <w:szCs w:val="21"/>
              </w:rPr>
            </w:pPr>
            <w:r>
              <w:rPr>
                <w:rFonts w:hint="eastAsia"/>
                <w:szCs w:val="21"/>
              </w:rPr>
              <w:t>否</w:t>
            </w:r>
          </w:p>
        </w:tc>
        <w:tc>
          <w:tcPr>
            <w:tcW w:w="1098" w:type="dxa"/>
            <w:vAlign w:val="center"/>
          </w:tcPr>
          <w:p>
            <w:pPr>
              <w:widowControl w:val="0"/>
              <w:jc w:val="center"/>
              <w:rPr>
                <w:rFonts w:hint="eastAsia"/>
                <w:szCs w:val="21"/>
              </w:rPr>
            </w:pPr>
            <w:r>
              <w:rPr>
                <w:rFonts w:hint="eastAsia"/>
                <w:color w:val="auto"/>
                <w:szCs w:val="21"/>
              </w:rPr>
              <w:t>9</w:t>
            </w:r>
          </w:p>
        </w:tc>
        <w:tc>
          <w:tcPr>
            <w:tcW w:w="852" w:type="dxa"/>
            <w:vAlign w:val="center"/>
          </w:tcPr>
          <w:p>
            <w:pPr>
              <w:widowControl w:val="0"/>
              <w:jc w:val="center"/>
              <w:rPr>
                <w:rFonts w:hint="eastAsia"/>
                <w:szCs w:val="21"/>
              </w:rPr>
            </w:pPr>
            <w:r>
              <w:rPr>
                <w:rFonts w:hint="eastAsia"/>
                <w:color w:val="auto"/>
                <w:szCs w:val="21"/>
              </w:rPr>
              <w:t>9</w:t>
            </w:r>
          </w:p>
        </w:tc>
        <w:tc>
          <w:tcPr>
            <w:tcW w:w="968" w:type="dxa"/>
            <w:vAlign w:val="center"/>
          </w:tcPr>
          <w:p>
            <w:pPr>
              <w:widowControl w:val="0"/>
              <w:jc w:val="center"/>
              <w:rPr>
                <w:rFonts w:hint="eastAsia"/>
                <w:szCs w:val="21"/>
              </w:rPr>
            </w:pPr>
            <w:r>
              <w:rPr>
                <w:rFonts w:hint="eastAsia"/>
                <w:color w:val="auto"/>
                <w:szCs w:val="21"/>
              </w:rPr>
              <w:t>1</w:t>
            </w:r>
          </w:p>
        </w:tc>
        <w:tc>
          <w:tcPr>
            <w:tcW w:w="904" w:type="dxa"/>
            <w:vAlign w:val="center"/>
          </w:tcPr>
          <w:p>
            <w:pPr>
              <w:widowControl w:val="0"/>
              <w:jc w:val="center"/>
              <w:rPr>
                <w:rFonts w:hint="eastAsia"/>
                <w:szCs w:val="21"/>
              </w:rPr>
            </w:pPr>
            <w:r>
              <w:rPr>
                <w:rFonts w:hint="eastAsia"/>
                <w:color w:val="auto"/>
                <w:szCs w:val="21"/>
              </w:rPr>
              <w:t>0</w:t>
            </w:r>
          </w:p>
        </w:tc>
        <w:tc>
          <w:tcPr>
            <w:tcW w:w="845" w:type="dxa"/>
            <w:vAlign w:val="center"/>
          </w:tcPr>
          <w:p>
            <w:pPr>
              <w:widowControl w:val="0"/>
              <w:jc w:val="center"/>
              <w:rPr>
                <w:rFonts w:hint="eastAsia"/>
                <w:szCs w:val="21"/>
              </w:rPr>
            </w:pPr>
            <w:r>
              <w:rPr>
                <w:rFonts w:hint="eastAsia"/>
                <w:color w:val="auto"/>
                <w:szCs w:val="21"/>
              </w:rPr>
              <w:t>0</w:t>
            </w:r>
          </w:p>
        </w:tc>
        <w:tc>
          <w:tcPr>
            <w:tcW w:w="1292" w:type="dxa"/>
            <w:vAlign w:val="center"/>
          </w:tcPr>
          <w:p>
            <w:pPr>
              <w:widowControl w:val="0"/>
              <w:jc w:val="center"/>
              <w:rPr>
                <w:szCs w:val="21"/>
              </w:rPr>
            </w:pPr>
            <w:r>
              <w:rPr>
                <w:rFonts w:hint="eastAsia"/>
                <w:szCs w:val="21"/>
              </w:rPr>
              <w:t>否</w:t>
            </w:r>
          </w:p>
        </w:tc>
        <w:tc>
          <w:tcPr>
            <w:tcW w:w="1261" w:type="dxa"/>
            <w:vAlign w:val="center"/>
          </w:tcPr>
          <w:p>
            <w:pPr>
              <w:widowControl w:val="0"/>
              <w:jc w:val="center"/>
              <w:rPr>
                <w:rFonts w:hint="eastAsia"/>
                <w:szCs w:val="21"/>
              </w:rPr>
            </w:pPr>
            <w:r>
              <w:rPr>
                <w:rFonts w:hint="eastAsia"/>
                <w:color w:val="auto"/>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979" w:type="dxa"/>
            <w:vAlign w:val="center"/>
          </w:tcPr>
          <w:p>
            <w:pPr>
              <w:widowControl w:val="0"/>
              <w:jc w:val="both"/>
              <w:rPr>
                <w:szCs w:val="21"/>
              </w:rPr>
            </w:pPr>
            <w:r>
              <w:rPr>
                <w:rFonts w:hint="eastAsia"/>
                <w:color w:val="auto"/>
                <w:szCs w:val="21"/>
              </w:rPr>
              <w:t>张重义</w:t>
            </w:r>
          </w:p>
        </w:tc>
        <w:tc>
          <w:tcPr>
            <w:tcW w:w="845" w:type="dxa"/>
            <w:vAlign w:val="center"/>
          </w:tcPr>
          <w:p>
            <w:pPr>
              <w:widowControl w:val="0"/>
              <w:jc w:val="center"/>
              <w:rPr>
                <w:szCs w:val="21"/>
              </w:rPr>
            </w:pPr>
            <w:r>
              <w:rPr>
                <w:rFonts w:hint="eastAsia"/>
                <w:szCs w:val="21"/>
              </w:rPr>
              <w:t>是</w:t>
            </w:r>
          </w:p>
        </w:tc>
        <w:tc>
          <w:tcPr>
            <w:tcW w:w="1098" w:type="dxa"/>
            <w:vAlign w:val="center"/>
          </w:tcPr>
          <w:p>
            <w:pPr>
              <w:widowControl w:val="0"/>
              <w:jc w:val="center"/>
              <w:rPr>
                <w:rFonts w:hint="eastAsia"/>
                <w:szCs w:val="21"/>
              </w:rPr>
            </w:pPr>
            <w:r>
              <w:rPr>
                <w:rFonts w:hint="eastAsia"/>
                <w:color w:val="auto"/>
                <w:szCs w:val="21"/>
              </w:rPr>
              <w:t>9</w:t>
            </w:r>
          </w:p>
        </w:tc>
        <w:tc>
          <w:tcPr>
            <w:tcW w:w="852" w:type="dxa"/>
            <w:vAlign w:val="center"/>
          </w:tcPr>
          <w:p>
            <w:pPr>
              <w:widowControl w:val="0"/>
              <w:jc w:val="center"/>
              <w:rPr>
                <w:rFonts w:hint="eastAsia"/>
                <w:szCs w:val="21"/>
              </w:rPr>
            </w:pPr>
            <w:r>
              <w:rPr>
                <w:rFonts w:hint="eastAsia"/>
                <w:color w:val="auto"/>
                <w:szCs w:val="21"/>
              </w:rPr>
              <w:t>9</w:t>
            </w:r>
          </w:p>
        </w:tc>
        <w:tc>
          <w:tcPr>
            <w:tcW w:w="968" w:type="dxa"/>
            <w:vAlign w:val="center"/>
          </w:tcPr>
          <w:p>
            <w:pPr>
              <w:widowControl w:val="0"/>
              <w:jc w:val="center"/>
              <w:rPr>
                <w:rFonts w:hint="eastAsia"/>
                <w:szCs w:val="21"/>
              </w:rPr>
            </w:pPr>
            <w:r>
              <w:rPr>
                <w:rFonts w:hint="eastAsia"/>
                <w:color w:val="auto"/>
                <w:szCs w:val="21"/>
              </w:rPr>
              <w:t>7</w:t>
            </w:r>
          </w:p>
        </w:tc>
        <w:tc>
          <w:tcPr>
            <w:tcW w:w="904" w:type="dxa"/>
            <w:vAlign w:val="center"/>
          </w:tcPr>
          <w:p>
            <w:pPr>
              <w:widowControl w:val="0"/>
              <w:jc w:val="center"/>
              <w:rPr>
                <w:rFonts w:hint="eastAsia"/>
                <w:szCs w:val="21"/>
              </w:rPr>
            </w:pPr>
            <w:r>
              <w:rPr>
                <w:rFonts w:hint="eastAsia"/>
                <w:color w:val="auto"/>
                <w:szCs w:val="21"/>
              </w:rPr>
              <w:t>0</w:t>
            </w:r>
          </w:p>
        </w:tc>
        <w:tc>
          <w:tcPr>
            <w:tcW w:w="845" w:type="dxa"/>
            <w:vAlign w:val="center"/>
          </w:tcPr>
          <w:p>
            <w:pPr>
              <w:widowControl w:val="0"/>
              <w:jc w:val="center"/>
              <w:rPr>
                <w:rFonts w:hint="eastAsia"/>
                <w:szCs w:val="21"/>
              </w:rPr>
            </w:pPr>
            <w:r>
              <w:rPr>
                <w:rFonts w:hint="eastAsia"/>
                <w:color w:val="auto"/>
                <w:szCs w:val="21"/>
              </w:rPr>
              <w:t>0</w:t>
            </w:r>
          </w:p>
        </w:tc>
        <w:tc>
          <w:tcPr>
            <w:tcW w:w="1292" w:type="dxa"/>
            <w:vAlign w:val="center"/>
          </w:tcPr>
          <w:p>
            <w:pPr>
              <w:widowControl w:val="0"/>
              <w:jc w:val="center"/>
              <w:rPr>
                <w:szCs w:val="21"/>
              </w:rPr>
            </w:pPr>
            <w:r>
              <w:rPr>
                <w:rFonts w:hint="eastAsia"/>
                <w:szCs w:val="21"/>
              </w:rPr>
              <w:t>否</w:t>
            </w:r>
          </w:p>
        </w:tc>
        <w:tc>
          <w:tcPr>
            <w:tcW w:w="1261" w:type="dxa"/>
            <w:vAlign w:val="center"/>
          </w:tcPr>
          <w:p>
            <w:pPr>
              <w:widowControl w:val="0"/>
              <w:jc w:val="center"/>
              <w:rPr>
                <w:rFonts w:hint="eastAsia"/>
                <w:szCs w:val="21"/>
              </w:rPr>
            </w:pPr>
            <w:r>
              <w:rPr>
                <w:rFonts w:hint="eastAsia"/>
                <w:color w:val="auto"/>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979" w:type="dxa"/>
            <w:vAlign w:val="center"/>
          </w:tcPr>
          <w:p>
            <w:pPr>
              <w:widowControl w:val="0"/>
              <w:jc w:val="both"/>
              <w:rPr>
                <w:szCs w:val="21"/>
              </w:rPr>
            </w:pPr>
            <w:r>
              <w:rPr>
                <w:rFonts w:hint="eastAsia"/>
                <w:color w:val="auto"/>
                <w:szCs w:val="21"/>
              </w:rPr>
              <w:t>余 兵</w:t>
            </w:r>
          </w:p>
        </w:tc>
        <w:tc>
          <w:tcPr>
            <w:tcW w:w="845" w:type="dxa"/>
            <w:vAlign w:val="center"/>
          </w:tcPr>
          <w:p>
            <w:pPr>
              <w:widowControl w:val="0"/>
              <w:jc w:val="center"/>
              <w:rPr>
                <w:szCs w:val="21"/>
              </w:rPr>
            </w:pPr>
            <w:r>
              <w:rPr>
                <w:rFonts w:hint="eastAsia"/>
                <w:szCs w:val="21"/>
              </w:rPr>
              <w:t>是</w:t>
            </w:r>
          </w:p>
        </w:tc>
        <w:tc>
          <w:tcPr>
            <w:tcW w:w="1098" w:type="dxa"/>
            <w:vAlign w:val="center"/>
          </w:tcPr>
          <w:p>
            <w:pPr>
              <w:widowControl w:val="0"/>
              <w:jc w:val="center"/>
              <w:rPr>
                <w:rFonts w:hint="eastAsia"/>
                <w:szCs w:val="21"/>
              </w:rPr>
            </w:pPr>
            <w:r>
              <w:rPr>
                <w:rFonts w:hint="eastAsia"/>
                <w:color w:val="auto"/>
                <w:szCs w:val="21"/>
              </w:rPr>
              <w:t>9</w:t>
            </w:r>
          </w:p>
        </w:tc>
        <w:tc>
          <w:tcPr>
            <w:tcW w:w="852" w:type="dxa"/>
            <w:vAlign w:val="center"/>
          </w:tcPr>
          <w:p>
            <w:pPr>
              <w:widowControl w:val="0"/>
              <w:jc w:val="center"/>
              <w:rPr>
                <w:rFonts w:hint="eastAsia"/>
                <w:szCs w:val="21"/>
              </w:rPr>
            </w:pPr>
            <w:r>
              <w:rPr>
                <w:rFonts w:hint="eastAsia"/>
                <w:color w:val="auto"/>
                <w:szCs w:val="21"/>
              </w:rPr>
              <w:t>9</w:t>
            </w:r>
          </w:p>
        </w:tc>
        <w:tc>
          <w:tcPr>
            <w:tcW w:w="968" w:type="dxa"/>
            <w:vAlign w:val="center"/>
          </w:tcPr>
          <w:p>
            <w:pPr>
              <w:widowControl w:val="0"/>
              <w:jc w:val="center"/>
              <w:rPr>
                <w:rFonts w:hint="eastAsia"/>
                <w:szCs w:val="21"/>
              </w:rPr>
            </w:pPr>
            <w:r>
              <w:rPr>
                <w:rFonts w:hint="eastAsia"/>
                <w:color w:val="auto"/>
                <w:szCs w:val="21"/>
              </w:rPr>
              <w:t>2</w:t>
            </w:r>
          </w:p>
        </w:tc>
        <w:tc>
          <w:tcPr>
            <w:tcW w:w="904" w:type="dxa"/>
            <w:vAlign w:val="center"/>
          </w:tcPr>
          <w:p>
            <w:pPr>
              <w:widowControl w:val="0"/>
              <w:jc w:val="center"/>
              <w:rPr>
                <w:rFonts w:hint="eastAsia"/>
                <w:szCs w:val="21"/>
              </w:rPr>
            </w:pPr>
            <w:r>
              <w:rPr>
                <w:rFonts w:hint="eastAsia"/>
                <w:color w:val="auto"/>
                <w:szCs w:val="21"/>
              </w:rPr>
              <w:t>0</w:t>
            </w:r>
          </w:p>
        </w:tc>
        <w:tc>
          <w:tcPr>
            <w:tcW w:w="845" w:type="dxa"/>
            <w:vAlign w:val="center"/>
          </w:tcPr>
          <w:p>
            <w:pPr>
              <w:widowControl w:val="0"/>
              <w:jc w:val="center"/>
              <w:rPr>
                <w:rFonts w:hint="eastAsia"/>
                <w:szCs w:val="21"/>
              </w:rPr>
            </w:pPr>
            <w:r>
              <w:rPr>
                <w:rFonts w:hint="eastAsia"/>
                <w:color w:val="auto"/>
                <w:szCs w:val="21"/>
              </w:rPr>
              <w:t>0</w:t>
            </w:r>
          </w:p>
        </w:tc>
        <w:tc>
          <w:tcPr>
            <w:tcW w:w="1292" w:type="dxa"/>
            <w:vAlign w:val="center"/>
          </w:tcPr>
          <w:p>
            <w:pPr>
              <w:widowControl w:val="0"/>
              <w:jc w:val="center"/>
              <w:rPr>
                <w:szCs w:val="21"/>
              </w:rPr>
            </w:pPr>
            <w:r>
              <w:rPr>
                <w:rFonts w:hint="eastAsia"/>
                <w:szCs w:val="21"/>
              </w:rPr>
              <w:t>否</w:t>
            </w:r>
          </w:p>
        </w:tc>
        <w:tc>
          <w:tcPr>
            <w:tcW w:w="1261" w:type="dxa"/>
            <w:vAlign w:val="center"/>
          </w:tcPr>
          <w:p>
            <w:pPr>
              <w:widowControl w:val="0"/>
              <w:jc w:val="center"/>
              <w:rPr>
                <w:rFonts w:hint="eastAsia"/>
                <w:szCs w:val="21"/>
              </w:rPr>
            </w:pPr>
            <w:r>
              <w:rPr>
                <w:rFonts w:hint="eastAsia"/>
                <w:color w:val="auto"/>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979" w:type="dxa"/>
            <w:vAlign w:val="center"/>
          </w:tcPr>
          <w:p>
            <w:pPr>
              <w:widowControl w:val="0"/>
              <w:jc w:val="both"/>
              <w:rPr>
                <w:szCs w:val="21"/>
              </w:rPr>
            </w:pPr>
            <w:r>
              <w:rPr>
                <w:rFonts w:hint="eastAsia"/>
                <w:color w:val="auto"/>
                <w:szCs w:val="21"/>
              </w:rPr>
              <w:t>魏 佳</w:t>
            </w:r>
          </w:p>
        </w:tc>
        <w:tc>
          <w:tcPr>
            <w:tcW w:w="845" w:type="dxa"/>
            <w:vAlign w:val="center"/>
          </w:tcPr>
          <w:p>
            <w:pPr>
              <w:widowControl w:val="0"/>
              <w:jc w:val="center"/>
              <w:rPr>
                <w:szCs w:val="21"/>
              </w:rPr>
            </w:pPr>
            <w:r>
              <w:rPr>
                <w:rFonts w:hint="eastAsia"/>
                <w:szCs w:val="21"/>
              </w:rPr>
              <w:t>是</w:t>
            </w:r>
          </w:p>
        </w:tc>
        <w:tc>
          <w:tcPr>
            <w:tcW w:w="1098" w:type="dxa"/>
            <w:vAlign w:val="center"/>
          </w:tcPr>
          <w:p>
            <w:pPr>
              <w:widowControl w:val="0"/>
              <w:jc w:val="center"/>
              <w:rPr>
                <w:rFonts w:hint="eastAsia"/>
                <w:szCs w:val="21"/>
              </w:rPr>
            </w:pPr>
            <w:r>
              <w:rPr>
                <w:rFonts w:hint="eastAsia"/>
                <w:color w:val="auto"/>
                <w:szCs w:val="21"/>
              </w:rPr>
              <w:t>9</w:t>
            </w:r>
          </w:p>
        </w:tc>
        <w:tc>
          <w:tcPr>
            <w:tcW w:w="852" w:type="dxa"/>
            <w:vAlign w:val="center"/>
          </w:tcPr>
          <w:p>
            <w:pPr>
              <w:widowControl w:val="0"/>
              <w:jc w:val="center"/>
              <w:rPr>
                <w:rFonts w:hint="eastAsia"/>
                <w:szCs w:val="21"/>
              </w:rPr>
            </w:pPr>
            <w:r>
              <w:rPr>
                <w:rFonts w:hint="eastAsia"/>
                <w:color w:val="auto"/>
                <w:szCs w:val="21"/>
              </w:rPr>
              <w:t>9</w:t>
            </w:r>
          </w:p>
        </w:tc>
        <w:tc>
          <w:tcPr>
            <w:tcW w:w="968" w:type="dxa"/>
            <w:vAlign w:val="center"/>
          </w:tcPr>
          <w:p>
            <w:pPr>
              <w:widowControl w:val="0"/>
              <w:jc w:val="center"/>
              <w:rPr>
                <w:rFonts w:hint="eastAsia"/>
                <w:szCs w:val="21"/>
              </w:rPr>
            </w:pPr>
            <w:r>
              <w:rPr>
                <w:rFonts w:hint="eastAsia"/>
                <w:color w:val="auto"/>
                <w:szCs w:val="21"/>
              </w:rPr>
              <w:t>7</w:t>
            </w:r>
          </w:p>
        </w:tc>
        <w:tc>
          <w:tcPr>
            <w:tcW w:w="904" w:type="dxa"/>
            <w:vAlign w:val="center"/>
          </w:tcPr>
          <w:p>
            <w:pPr>
              <w:widowControl w:val="0"/>
              <w:jc w:val="center"/>
              <w:rPr>
                <w:rFonts w:hint="eastAsia"/>
                <w:szCs w:val="21"/>
              </w:rPr>
            </w:pPr>
            <w:r>
              <w:rPr>
                <w:rFonts w:hint="eastAsia"/>
                <w:color w:val="auto"/>
                <w:szCs w:val="21"/>
              </w:rPr>
              <w:t>0</w:t>
            </w:r>
          </w:p>
        </w:tc>
        <w:tc>
          <w:tcPr>
            <w:tcW w:w="845" w:type="dxa"/>
            <w:vAlign w:val="center"/>
          </w:tcPr>
          <w:p>
            <w:pPr>
              <w:widowControl w:val="0"/>
              <w:jc w:val="center"/>
              <w:rPr>
                <w:rFonts w:hint="eastAsia"/>
                <w:szCs w:val="21"/>
              </w:rPr>
            </w:pPr>
            <w:r>
              <w:rPr>
                <w:rFonts w:hint="eastAsia"/>
                <w:color w:val="auto"/>
                <w:szCs w:val="21"/>
              </w:rPr>
              <w:t>0</w:t>
            </w:r>
          </w:p>
        </w:tc>
        <w:tc>
          <w:tcPr>
            <w:tcW w:w="1292" w:type="dxa"/>
            <w:vAlign w:val="center"/>
          </w:tcPr>
          <w:p>
            <w:pPr>
              <w:widowControl w:val="0"/>
              <w:jc w:val="center"/>
              <w:rPr>
                <w:szCs w:val="21"/>
              </w:rPr>
            </w:pPr>
            <w:r>
              <w:rPr>
                <w:rFonts w:hint="eastAsia"/>
                <w:szCs w:val="21"/>
              </w:rPr>
              <w:t>否</w:t>
            </w:r>
          </w:p>
        </w:tc>
        <w:tc>
          <w:tcPr>
            <w:tcW w:w="1261" w:type="dxa"/>
            <w:vAlign w:val="center"/>
          </w:tcPr>
          <w:p>
            <w:pPr>
              <w:widowControl w:val="0"/>
              <w:jc w:val="center"/>
              <w:rPr>
                <w:rFonts w:hint="eastAsia"/>
                <w:szCs w:val="21"/>
              </w:rPr>
            </w:pPr>
            <w:r>
              <w:rPr>
                <w:rFonts w:hint="eastAsia"/>
                <w:color w:val="auto"/>
                <w:szCs w:val="21"/>
              </w:rPr>
              <w:t>2</w:t>
            </w:r>
          </w:p>
        </w:tc>
      </w:tr>
    </w:tbl>
    <w:p>
      <w:pPr>
        <w:rPr>
          <w:szCs w:val="21"/>
        </w:rPr>
      </w:pPr>
      <w:r>
        <w:rPr>
          <w:szCs w:val="21"/>
        </w:rPr>
        <w:t>连续两次未亲自出席董事会会议的说明</w:t>
      </w:r>
    </w:p>
    <w:sdt>
      <w:sdtPr>
        <w:rPr>
          <w:szCs w:val="21"/>
        </w:rPr>
        <w:alias w:val="是否适用：连续两次未亲自出席董事会会议的说明[双击切换]"/>
        <w:tag w:val="_GBC_866534c9760844d1a6f6fa69c39ae52d"/>
        <w:id w:val="6082"/>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4"/>
        <w:gridCol w:w="4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4" w:type="dxa"/>
            <w:vAlign w:val="center"/>
          </w:tcPr>
          <w:sdt>
            <w:sdtPr>
              <w:tag w:val="_PLD_0fc68bf164f04edda97a907df4cc747d"/>
              <w:id w:val="6083"/>
            </w:sdtPr>
            <w:sdtEndPr>
              <w:rPr>
                <w:szCs w:val="20"/>
              </w:rPr>
            </w:sdtEndPr>
            <w:sdtContent>
              <w:p>
                <w:pPr>
                  <w:widowControl w:val="0"/>
                  <w:jc w:val="both"/>
                  <w:rPr>
                    <w:szCs w:val="21"/>
                  </w:rPr>
                </w:pPr>
                <w:r>
                  <w:rPr>
                    <w:szCs w:val="21"/>
                  </w:rPr>
                  <w:t>年内召开董事会会议次数</w:t>
                </w:r>
              </w:p>
            </w:sdtContent>
          </w:sdt>
        </w:tc>
        <w:tc>
          <w:tcPr>
            <w:tcW w:w="4525" w:type="dxa"/>
            <w:vAlign w:val="center"/>
          </w:tcPr>
          <w:sdt>
            <w:sdtPr>
              <w:rPr>
                <w:rFonts w:hint="eastAsia"/>
                <w:szCs w:val="21"/>
              </w:rPr>
              <w:alias w:val="报告期内召开董事会会议次数"/>
              <w:tag w:val="_GBC_cabd294ab90e40d0afb59e61df002667"/>
              <w:id w:val="6084"/>
            </w:sdtPr>
            <w:sdtEndPr>
              <w:rPr>
                <w:rFonts w:hint="eastAsia"/>
                <w:szCs w:val="21"/>
              </w:rPr>
            </w:sdtEndPr>
            <w:sdtContent>
              <w:p>
                <w:pPr>
                  <w:widowControl w:val="0"/>
                  <w:jc w:val="both"/>
                  <w:rPr>
                    <w:szCs w:val="21"/>
                  </w:rPr>
                </w:pPr>
                <w:r>
                  <w:rPr>
                    <w:rFonts w:hint="eastAsia"/>
                    <w:szCs w:val="21"/>
                  </w:rPr>
                  <w:t>9</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4" w:type="dxa"/>
            <w:vAlign w:val="center"/>
          </w:tcPr>
          <w:p>
            <w:pPr>
              <w:widowControl w:val="0"/>
              <w:jc w:val="both"/>
              <w:rPr>
                <w:szCs w:val="21"/>
              </w:rPr>
            </w:pPr>
            <w:r>
              <w:rPr>
                <w:szCs w:val="21"/>
              </w:rPr>
              <w:t>其中：现场会议次数</w:t>
            </w:r>
          </w:p>
        </w:tc>
        <w:tc>
          <w:tcPr>
            <w:tcW w:w="4525" w:type="dxa"/>
            <w:vAlign w:val="center"/>
          </w:tcPr>
          <w:p>
            <w:pPr>
              <w:widowControl w:val="0"/>
              <w:jc w:val="both"/>
              <w:rPr>
                <w:szCs w:val="21"/>
              </w:rPr>
            </w:pPr>
            <w:r>
              <w:rPr>
                <w:rFonts w:hint="eastAsia"/>
                <w:color w:val="auto"/>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4" w:type="dxa"/>
            <w:vAlign w:val="center"/>
          </w:tcPr>
          <w:p>
            <w:pPr>
              <w:widowControl w:val="0"/>
              <w:jc w:val="both"/>
              <w:rPr>
                <w:szCs w:val="21"/>
              </w:rPr>
            </w:pPr>
            <w:r>
              <w:rPr>
                <w:szCs w:val="21"/>
              </w:rPr>
              <w:t>通讯方式召开会议次数</w:t>
            </w:r>
          </w:p>
        </w:tc>
        <w:tc>
          <w:tcPr>
            <w:tcW w:w="4525" w:type="dxa"/>
            <w:vAlign w:val="center"/>
          </w:tcPr>
          <w:p>
            <w:pPr>
              <w:widowControl w:val="0"/>
              <w:jc w:val="both"/>
              <w:rPr>
                <w:szCs w:val="21"/>
              </w:rPr>
            </w:pPr>
            <w:r>
              <w:rPr>
                <w:rFonts w:hint="eastAsia"/>
                <w:color w:val="auto"/>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4" w:type="dxa"/>
            <w:vAlign w:val="center"/>
          </w:tcPr>
          <w:p>
            <w:pPr>
              <w:widowControl w:val="0"/>
              <w:jc w:val="both"/>
              <w:rPr>
                <w:szCs w:val="21"/>
              </w:rPr>
            </w:pPr>
            <w:r>
              <w:rPr>
                <w:szCs w:val="21"/>
              </w:rPr>
              <w:t>现场结合通讯方式召开会议次数</w:t>
            </w:r>
          </w:p>
        </w:tc>
        <w:tc>
          <w:tcPr>
            <w:tcW w:w="4525" w:type="dxa"/>
            <w:vAlign w:val="center"/>
          </w:tcPr>
          <w:p>
            <w:pPr>
              <w:widowControl w:val="0"/>
              <w:jc w:val="both"/>
              <w:rPr>
                <w:szCs w:val="21"/>
              </w:rPr>
            </w:pPr>
            <w:r>
              <w:rPr>
                <w:rFonts w:hint="eastAsia"/>
                <w:color w:val="auto"/>
                <w:szCs w:val="21"/>
              </w:rPr>
              <w:t>1</w:t>
            </w:r>
          </w:p>
        </w:tc>
      </w:tr>
    </w:tbl>
    <w:p/>
    <w:p>
      <w:pPr>
        <w:pStyle w:val="4"/>
        <w:numPr>
          <w:ilvl w:val="0"/>
          <w:numId w:val="24"/>
        </w:numPr>
        <w:rPr>
          <w:szCs w:val="21"/>
        </w:rPr>
      </w:pPr>
      <w:r>
        <w:rPr>
          <w:szCs w:val="21"/>
        </w:rPr>
        <w:t>董事对公司有关事项提出异议的情况</w:t>
      </w:r>
    </w:p>
    <w:sdt>
      <w:sdtPr>
        <w:alias w:val="是否适用：独立董事对公司有关事项提出异议的情况[双击切换]"/>
        <w:tag w:val="_GBC_1369df39a53747ff843be7f892cb0cbd"/>
        <w:id w:val="6085"/>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pStyle w:val="4"/>
        <w:numPr>
          <w:ilvl w:val="0"/>
          <w:numId w:val="24"/>
        </w:numPr>
        <w:rPr>
          <w:szCs w:val="21"/>
        </w:rPr>
      </w:pPr>
      <w:r>
        <w:rPr>
          <w:szCs w:val="21"/>
        </w:rPr>
        <w:t>其他</w:t>
      </w:r>
    </w:p>
    <w:sdt>
      <w:sdtPr>
        <w:rPr>
          <w:rFonts w:hint="eastAsia"/>
          <w:szCs w:val="21"/>
        </w:rPr>
        <w:alias w:val="是否适用：其他董事履行职责情况说明[双击切换]"/>
        <w:tag w:val="_GBC_ba1a70dda14046559f72c5b524ca1125"/>
        <w:id w:val="6086"/>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sdt>
      <w:sdtPr>
        <w:tag w:val="_PLD_51f1c635fe1d40e18fec65dfb0947575"/>
        <w:id w:val="6087"/>
      </w:sdtPr>
      <w:sdtContent>
        <w:p>
          <w:pPr>
            <w:pStyle w:val="3"/>
            <w:numPr>
              <w:ilvl w:val="0"/>
              <w:numId w:val="21"/>
            </w:numPr>
          </w:pPr>
          <w:r>
            <w:rPr>
              <w:rFonts w:hint="eastAsia"/>
            </w:rPr>
            <w:t>董事会下设专门委员会情况</w:t>
          </w:r>
        </w:p>
      </w:sdtContent>
    </w:sdt>
    <w:sdt>
      <w:sdtPr>
        <w:rPr>
          <w:rFonts w:hint="eastAsia"/>
          <w:szCs w:val="21"/>
        </w:rPr>
        <w:alias w:val="是否适用：董事会下设专门委员会情况[双击切换]"/>
        <w:tag w:val="_GBC_88389a2d52e44644a2332ba32500fe69"/>
        <w:id w:val="6088"/>
        <w:lock w:val="contentLocked"/>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pStyle w:val="4"/>
        <w:numPr>
          <w:ilvl w:val="0"/>
          <w:numId w:val="25"/>
        </w:numPr>
      </w:pPr>
      <w:r>
        <w:rPr>
          <w:rFonts w:hint="eastAsia"/>
        </w:rPr>
        <w:t>董事会下设专门委员会成员情况</w:t>
      </w:r>
    </w:p>
    <w:tbl>
      <w:tblPr>
        <w:tblStyle w:val="38"/>
        <w:tblW w:w="0" w:type="auto"/>
        <w:jc w:val="center"/>
        <w:tblLayout w:type="fixed"/>
        <w:tblCellMar>
          <w:top w:w="0" w:type="dxa"/>
          <w:left w:w="108" w:type="dxa"/>
          <w:bottom w:w="0" w:type="dxa"/>
          <w:right w:w="108" w:type="dxa"/>
        </w:tblCellMar>
      </w:tblPr>
      <w:tblGrid>
        <w:gridCol w:w="2586"/>
        <w:gridCol w:w="6465"/>
      </w:tblGrid>
      <w:tr>
        <w:tblPrEx>
          <w:tblCellMar>
            <w:top w:w="0" w:type="dxa"/>
            <w:left w:w="108" w:type="dxa"/>
            <w:bottom w:w="0" w:type="dxa"/>
            <w:right w:w="108" w:type="dxa"/>
          </w:tblCellMar>
        </w:tblPrEx>
        <w:trPr>
          <w:trHeight w:val="270" w:hRule="atLeast"/>
          <w:jc w:val="center"/>
        </w:trPr>
        <w:tc>
          <w:tcPr>
            <w:tcW w:w="2586" w:type="dxa"/>
            <w:tcBorders>
              <w:top w:val="single" w:color="auto" w:sz="4" w:space="0"/>
              <w:left w:val="single" w:color="auto" w:sz="4" w:space="0"/>
              <w:bottom w:val="single" w:color="auto" w:sz="4" w:space="0"/>
              <w:right w:val="single" w:color="auto" w:sz="4" w:space="0"/>
            </w:tcBorders>
            <w:noWrap/>
            <w:vAlign w:val="center"/>
          </w:tcPr>
          <w:sdt>
            <w:sdtPr>
              <w:tag w:val="_PLD_d469fc77cfdc44b0b043e0b1ab52e604"/>
              <w:id w:val="6089"/>
            </w:sdtPr>
            <w:sdtContent>
              <w:p>
                <w:pPr>
                  <w:jc w:val="center"/>
                  <w:rPr>
                    <w:color w:val="000000"/>
                    <w:sz w:val="22"/>
                  </w:rPr>
                </w:pPr>
                <w:r>
                  <w:rPr>
                    <w:rFonts w:hint="eastAsia"/>
                    <w:color w:val="000000"/>
                    <w:sz w:val="22"/>
                  </w:rPr>
                  <w:t>专门委员会类别</w:t>
                </w:r>
              </w:p>
            </w:sdtContent>
          </w:sdt>
        </w:tc>
        <w:tc>
          <w:tcPr>
            <w:tcW w:w="6465" w:type="dxa"/>
            <w:tcBorders>
              <w:top w:val="single" w:color="auto" w:sz="4" w:space="0"/>
              <w:left w:val="nil"/>
              <w:bottom w:val="single" w:color="auto" w:sz="4" w:space="0"/>
              <w:right w:val="single" w:color="auto" w:sz="4" w:space="0"/>
            </w:tcBorders>
            <w:noWrap/>
            <w:vAlign w:val="center"/>
          </w:tcPr>
          <w:sdt>
            <w:sdtPr>
              <w:tag w:val="_PLD_32d037161ea94d0eb907c4e766b75044"/>
              <w:id w:val="6090"/>
            </w:sdtPr>
            <w:sdtContent>
              <w:p>
                <w:pPr>
                  <w:jc w:val="center"/>
                  <w:rPr>
                    <w:color w:val="000000"/>
                    <w:sz w:val="22"/>
                  </w:rPr>
                </w:pPr>
                <w:r>
                  <w:rPr>
                    <w:rFonts w:hint="eastAsia"/>
                    <w:color w:val="000000"/>
                    <w:sz w:val="22"/>
                  </w:rPr>
                  <w:t>成员姓名</w:t>
                </w:r>
              </w:p>
            </w:sdtContent>
          </w:sdt>
        </w:tc>
      </w:tr>
      <w:tr>
        <w:tblPrEx>
          <w:tblCellMar>
            <w:top w:w="0" w:type="dxa"/>
            <w:left w:w="108" w:type="dxa"/>
            <w:bottom w:w="0" w:type="dxa"/>
            <w:right w:w="108" w:type="dxa"/>
          </w:tblCellMar>
        </w:tblPrEx>
        <w:trPr>
          <w:trHeight w:val="270" w:hRule="atLeast"/>
          <w:jc w:val="center"/>
        </w:trPr>
        <w:tc>
          <w:tcPr>
            <w:tcW w:w="2586" w:type="dxa"/>
            <w:tcBorders>
              <w:top w:val="nil"/>
              <w:left w:val="single" w:color="auto" w:sz="4" w:space="0"/>
              <w:bottom w:val="single" w:color="auto" w:sz="4" w:space="0"/>
              <w:right w:val="single" w:color="auto" w:sz="4" w:space="0"/>
            </w:tcBorders>
            <w:noWrap/>
            <w:vAlign w:val="center"/>
          </w:tcPr>
          <w:p>
            <w:pPr>
              <w:rPr>
                <w:color w:val="000000"/>
                <w:sz w:val="22"/>
              </w:rPr>
            </w:pPr>
            <w:r>
              <w:rPr>
                <w:rFonts w:hint="eastAsia"/>
                <w:color w:val="000000"/>
                <w:sz w:val="22"/>
              </w:rPr>
              <w:t>审计委员会</w:t>
            </w:r>
          </w:p>
        </w:tc>
        <w:tc>
          <w:tcPr>
            <w:tcW w:w="6465" w:type="dxa"/>
            <w:tcBorders>
              <w:top w:val="nil"/>
              <w:left w:val="nil"/>
              <w:bottom w:val="single" w:color="auto" w:sz="4" w:space="0"/>
              <w:right w:val="single" w:color="auto" w:sz="4" w:space="0"/>
            </w:tcBorders>
            <w:noWrap/>
            <w:vAlign w:val="center"/>
          </w:tcPr>
          <w:p>
            <w:pPr>
              <w:rPr>
                <w:sz w:val="22"/>
              </w:rPr>
            </w:pPr>
            <w:r>
              <w:rPr>
                <w:rFonts w:hint="eastAsia"/>
                <w:color w:val="auto"/>
              </w:rPr>
              <w:t>杨修、刘婷婷、俞鹃</w:t>
            </w:r>
          </w:p>
        </w:tc>
      </w:tr>
      <w:tr>
        <w:tblPrEx>
          <w:tblCellMar>
            <w:top w:w="0" w:type="dxa"/>
            <w:left w:w="108" w:type="dxa"/>
            <w:bottom w:w="0" w:type="dxa"/>
            <w:right w:w="108" w:type="dxa"/>
          </w:tblCellMar>
        </w:tblPrEx>
        <w:trPr>
          <w:trHeight w:val="270" w:hRule="atLeast"/>
          <w:jc w:val="center"/>
        </w:trPr>
        <w:tc>
          <w:tcPr>
            <w:tcW w:w="2586" w:type="dxa"/>
            <w:tcBorders>
              <w:top w:val="nil"/>
              <w:left w:val="single" w:color="auto" w:sz="4" w:space="0"/>
              <w:bottom w:val="single" w:color="auto" w:sz="4" w:space="0"/>
              <w:right w:val="single" w:color="auto" w:sz="4" w:space="0"/>
            </w:tcBorders>
            <w:noWrap/>
            <w:vAlign w:val="center"/>
          </w:tcPr>
          <w:p>
            <w:pPr>
              <w:rPr>
                <w:color w:val="000000"/>
                <w:sz w:val="22"/>
              </w:rPr>
            </w:pPr>
            <w:r>
              <w:rPr>
                <w:rFonts w:hint="eastAsia"/>
                <w:color w:val="000000"/>
                <w:sz w:val="22"/>
              </w:rPr>
              <w:t>提名委员会</w:t>
            </w:r>
          </w:p>
        </w:tc>
        <w:tc>
          <w:tcPr>
            <w:tcW w:w="6465" w:type="dxa"/>
            <w:tcBorders>
              <w:top w:val="nil"/>
              <w:left w:val="nil"/>
              <w:bottom w:val="single" w:color="auto" w:sz="4" w:space="0"/>
              <w:right w:val="single" w:color="auto" w:sz="4" w:space="0"/>
            </w:tcBorders>
            <w:noWrap/>
            <w:vAlign w:val="center"/>
          </w:tcPr>
          <w:p>
            <w:pPr>
              <w:rPr>
                <w:sz w:val="22"/>
              </w:rPr>
            </w:pPr>
            <w:r>
              <w:rPr>
                <w:rFonts w:hint="eastAsia"/>
                <w:color w:val="auto"/>
              </w:rPr>
              <w:t>关忠良、周云祥、刘婷婷</w:t>
            </w:r>
          </w:p>
        </w:tc>
      </w:tr>
      <w:tr>
        <w:tblPrEx>
          <w:tblCellMar>
            <w:top w:w="0" w:type="dxa"/>
            <w:left w:w="108" w:type="dxa"/>
            <w:bottom w:w="0" w:type="dxa"/>
            <w:right w:w="108" w:type="dxa"/>
          </w:tblCellMar>
        </w:tblPrEx>
        <w:trPr>
          <w:trHeight w:val="270" w:hRule="atLeast"/>
          <w:jc w:val="center"/>
        </w:trPr>
        <w:tc>
          <w:tcPr>
            <w:tcW w:w="2586" w:type="dxa"/>
            <w:tcBorders>
              <w:top w:val="nil"/>
              <w:left w:val="single" w:color="auto" w:sz="4" w:space="0"/>
              <w:bottom w:val="single" w:color="auto" w:sz="4" w:space="0"/>
              <w:right w:val="single" w:color="auto" w:sz="4" w:space="0"/>
            </w:tcBorders>
            <w:noWrap/>
            <w:vAlign w:val="center"/>
          </w:tcPr>
          <w:p>
            <w:pPr>
              <w:rPr>
                <w:color w:val="000000"/>
                <w:sz w:val="22"/>
              </w:rPr>
            </w:pPr>
            <w:r>
              <w:rPr>
                <w:rFonts w:hint="eastAsia"/>
                <w:color w:val="000000"/>
                <w:sz w:val="22"/>
              </w:rPr>
              <w:t>薪酬与考核委员会</w:t>
            </w:r>
          </w:p>
        </w:tc>
        <w:tc>
          <w:tcPr>
            <w:tcW w:w="6465" w:type="dxa"/>
            <w:tcBorders>
              <w:top w:val="nil"/>
              <w:left w:val="nil"/>
              <w:bottom w:val="single" w:color="auto" w:sz="4" w:space="0"/>
              <w:right w:val="single" w:color="auto" w:sz="4" w:space="0"/>
            </w:tcBorders>
            <w:noWrap/>
            <w:vAlign w:val="center"/>
          </w:tcPr>
          <w:p>
            <w:pPr>
              <w:rPr>
                <w:sz w:val="22"/>
              </w:rPr>
            </w:pPr>
            <w:r>
              <w:rPr>
                <w:rFonts w:hint="eastAsia"/>
                <w:color w:val="auto"/>
              </w:rPr>
              <w:t>刘婷婷、龚慧泉、关忠良</w:t>
            </w:r>
          </w:p>
        </w:tc>
      </w:tr>
      <w:tr>
        <w:tblPrEx>
          <w:tblCellMar>
            <w:top w:w="0" w:type="dxa"/>
            <w:left w:w="108" w:type="dxa"/>
            <w:bottom w:w="0" w:type="dxa"/>
            <w:right w:w="108" w:type="dxa"/>
          </w:tblCellMar>
        </w:tblPrEx>
        <w:trPr>
          <w:trHeight w:val="270" w:hRule="atLeast"/>
          <w:jc w:val="center"/>
        </w:trPr>
        <w:tc>
          <w:tcPr>
            <w:tcW w:w="2586" w:type="dxa"/>
            <w:tcBorders>
              <w:top w:val="single" w:color="auto" w:sz="4" w:space="0"/>
              <w:left w:val="single" w:color="auto" w:sz="4" w:space="0"/>
              <w:bottom w:val="single" w:color="auto" w:sz="4" w:space="0"/>
              <w:right w:val="single" w:color="auto" w:sz="4" w:space="0"/>
            </w:tcBorders>
            <w:noWrap/>
            <w:vAlign w:val="center"/>
          </w:tcPr>
          <w:p>
            <w:pPr>
              <w:rPr>
                <w:color w:val="000000"/>
                <w:sz w:val="22"/>
              </w:rPr>
            </w:pPr>
            <w:r>
              <w:rPr>
                <w:rFonts w:hint="eastAsia"/>
                <w:color w:val="000000"/>
                <w:sz w:val="22"/>
              </w:rPr>
              <w:t>战略委员会</w:t>
            </w:r>
          </w:p>
        </w:tc>
        <w:tc>
          <w:tcPr>
            <w:tcW w:w="6465" w:type="dxa"/>
            <w:tcBorders>
              <w:top w:val="single" w:color="auto" w:sz="4" w:space="0"/>
              <w:left w:val="nil"/>
              <w:bottom w:val="single" w:color="auto" w:sz="4" w:space="0"/>
              <w:right w:val="single" w:color="auto" w:sz="4" w:space="0"/>
            </w:tcBorders>
            <w:noWrap/>
            <w:vAlign w:val="center"/>
          </w:tcPr>
          <w:p>
            <w:pPr>
              <w:rPr>
                <w:sz w:val="22"/>
              </w:rPr>
            </w:pPr>
            <w:r>
              <w:rPr>
                <w:rFonts w:hint="eastAsia"/>
                <w:color w:val="auto"/>
              </w:rPr>
              <w:t>周云祥、龚慧泉、熊剑峰、刘瑰、关忠良</w:t>
            </w:r>
          </w:p>
        </w:tc>
      </w:tr>
    </w:tbl>
    <w:p>
      <w:pPr>
        <w:rPr>
          <w:szCs w:val="21"/>
        </w:rPr>
      </w:pPr>
    </w:p>
    <w:sdt>
      <w:sdtPr>
        <w:rPr>
          <w:rFonts w:hint="eastAsia" w:ascii="宋体" w:hAnsi="宋体" w:cs="宋体"/>
          <w:b w:val="0"/>
          <w:bCs w:val="0"/>
          <w:kern w:val="0"/>
          <w:szCs w:val="24"/>
        </w:rPr>
        <w:alias w:val="模块:专门委员会召开会议情况"/>
        <w:tag w:val="_SEC_1e3a9c0a15ba40d1bda51574352f1bf7"/>
        <w:id w:val="6091"/>
        <w:placeholder>
          <w:docPart w:val="GBC22222222222222222222222222222"/>
        </w:placeholder>
      </w:sdtPr>
      <w:sdtEndPr>
        <w:rPr>
          <w:rFonts w:hint="eastAsia" w:ascii="Times New Roman" w:hAnsi="Times New Roman" w:cs="Times New Roman"/>
          <w:b w:val="0"/>
          <w:bCs w:val="0"/>
          <w:kern w:val="0"/>
          <w:szCs w:val="20"/>
        </w:rPr>
      </w:sdtEndPr>
      <w:sdtContent>
        <w:p>
          <w:pPr>
            <w:pStyle w:val="4"/>
            <w:numPr>
              <w:ilvl w:val="0"/>
              <w:numId w:val="25"/>
            </w:numPr>
            <w:rPr>
              <w:rFonts w:hint="eastAsia" w:ascii="宋体" w:hAnsi="宋体" w:cs="宋体"/>
              <w:kern w:val="0"/>
              <w:szCs w:val="24"/>
            </w:rPr>
          </w:pPr>
          <w:r>
            <w:rPr>
              <w:rFonts w:hint="eastAsia" w:ascii="宋体" w:hAnsi="宋体" w:cs="宋体"/>
              <w:kern w:val="0"/>
              <w:szCs w:val="24"/>
            </w:rPr>
            <w:t>报告期内</w:t>
          </w:r>
          <w:sdt>
            <w:sdtPr>
              <w:rPr>
                <w:rFonts w:hint="eastAsia" w:ascii="宋体" w:hAnsi="宋体" w:cs="宋体"/>
                <w:kern w:val="0"/>
                <w:szCs w:val="24"/>
              </w:rPr>
              <w:alias w:val="召开会议的专门委员会类别"/>
              <w:tag w:val="_GBC_adf76ecbe3584f07b573642215a867bd"/>
              <w:id w:val="6092"/>
              <w:placeholder>
                <w:docPart w:val="GBC22222222222222222222222222222"/>
              </w:placeholder>
            </w:sdtPr>
            <w:sdtEndPr>
              <w:rPr>
                <w:rFonts w:hint="eastAsia" w:ascii="宋体" w:hAnsi="宋体" w:cs="宋体"/>
                <w:kern w:val="0"/>
                <w:szCs w:val="24"/>
              </w:rPr>
            </w:sdtEndPr>
            <w:sdtContent>
              <w:r>
                <w:rPr>
                  <w:rFonts w:hint="eastAsia" w:ascii="宋体" w:hAnsi="宋体" w:cs="宋体"/>
                  <w:kern w:val="0"/>
                  <w:szCs w:val="24"/>
                </w:rPr>
                <w:t>审计</w:t>
              </w:r>
            </w:sdtContent>
          </w:sdt>
          <w:r>
            <w:rPr>
              <w:rFonts w:hint="eastAsia" w:ascii="宋体" w:hAnsi="宋体" w:cs="宋体"/>
              <w:kern w:val="0"/>
              <w:szCs w:val="24"/>
            </w:rPr>
            <w:t>委员会召开</w:t>
          </w:r>
          <w:sdt>
            <w:sdtPr>
              <w:rPr>
                <w:rFonts w:hint="eastAsia" w:ascii="宋体" w:hAnsi="宋体" w:cs="宋体"/>
                <w:kern w:val="0"/>
                <w:szCs w:val="24"/>
              </w:rPr>
              <w:alias w:val="报告期内召开专门委员会会议次数"/>
              <w:tag w:val="_GBC_7bf2cd7c3a6a4685ac9c89ee396352a0"/>
              <w:id w:val="6093"/>
              <w:placeholder>
                <w:docPart w:val="GBC22222222222222222222222222222"/>
              </w:placeholder>
            </w:sdtPr>
            <w:sdtEndPr>
              <w:rPr>
                <w:rFonts w:hint="eastAsia" w:ascii="宋体" w:hAnsi="宋体" w:cs="宋体"/>
                <w:kern w:val="0"/>
                <w:szCs w:val="24"/>
              </w:rPr>
            </w:sdtEndPr>
            <w:sdtContent>
              <w:r>
                <w:rPr>
                  <w:rFonts w:hint="eastAsia" w:ascii="宋体" w:hAnsi="宋体" w:cs="宋体"/>
                  <w:kern w:val="0"/>
                  <w:szCs w:val="24"/>
                </w:rPr>
                <w:t>8</w:t>
              </w:r>
            </w:sdtContent>
          </w:sdt>
          <w:r>
            <w:rPr>
              <w:rFonts w:hint="eastAsia" w:ascii="宋体" w:hAnsi="宋体" w:cs="宋体"/>
              <w:kern w:val="0"/>
              <w:szCs w:val="24"/>
            </w:rPr>
            <w:t>次会议</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1"/>
            <w:gridCol w:w="3029"/>
            <w:gridCol w:w="2820"/>
            <w:gridCol w:w="1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1" w:type="dxa"/>
                <w:vAlign w:val="center"/>
              </w:tcPr>
              <w:sdt>
                <w:sdtPr>
                  <w:tag w:val="_PLD_81aefc289fbf48b1865138608d8bd14f"/>
                  <w:id w:val="6094"/>
                </w:sdtPr>
                <w:sdtContent>
                  <w:p>
                    <w:pPr>
                      <w:widowControl w:val="0"/>
                      <w:jc w:val="center"/>
                      <w:rPr>
                        <w:szCs w:val="21"/>
                      </w:rPr>
                    </w:pPr>
                    <w:r>
                      <w:rPr>
                        <w:rFonts w:hint="eastAsia"/>
                        <w:szCs w:val="21"/>
                      </w:rPr>
                      <w:t>召开日期</w:t>
                    </w:r>
                  </w:p>
                </w:sdtContent>
              </w:sdt>
            </w:tc>
            <w:tc>
              <w:tcPr>
                <w:tcW w:w="3029" w:type="dxa"/>
                <w:vAlign w:val="center"/>
              </w:tcPr>
              <w:sdt>
                <w:sdtPr>
                  <w:tag w:val="_PLD_9d24b601ec70414eb969daf6b393edc8"/>
                  <w:id w:val="6095"/>
                </w:sdtPr>
                <w:sdtContent>
                  <w:p>
                    <w:pPr>
                      <w:widowControl w:val="0"/>
                      <w:jc w:val="center"/>
                      <w:rPr>
                        <w:szCs w:val="21"/>
                      </w:rPr>
                    </w:pPr>
                    <w:r>
                      <w:rPr>
                        <w:rFonts w:hint="eastAsia"/>
                        <w:szCs w:val="21"/>
                      </w:rPr>
                      <w:t>会议内容</w:t>
                    </w:r>
                  </w:p>
                </w:sdtContent>
              </w:sdt>
            </w:tc>
            <w:tc>
              <w:tcPr>
                <w:tcW w:w="2820" w:type="dxa"/>
                <w:vAlign w:val="center"/>
              </w:tcPr>
              <w:sdt>
                <w:sdtPr>
                  <w:tag w:val="_PLD_6ea19dadc3684e98a6d98faaf035a9d9"/>
                  <w:id w:val="6096"/>
                </w:sdtPr>
                <w:sdtContent>
                  <w:p>
                    <w:pPr>
                      <w:widowControl w:val="0"/>
                      <w:jc w:val="center"/>
                      <w:rPr>
                        <w:szCs w:val="21"/>
                      </w:rPr>
                    </w:pPr>
                    <w:r>
                      <w:rPr>
                        <w:rFonts w:hint="eastAsia"/>
                        <w:szCs w:val="21"/>
                      </w:rPr>
                      <w:t>重要意见和建议</w:t>
                    </w:r>
                  </w:p>
                </w:sdtContent>
              </w:sdt>
            </w:tc>
            <w:tc>
              <w:tcPr>
                <w:tcW w:w="1185" w:type="dxa"/>
                <w:vAlign w:val="center"/>
              </w:tcPr>
              <w:sdt>
                <w:sdtPr>
                  <w:tag w:val="_PLD_ef03d3ffb00740008011022cb6a96805"/>
                  <w:id w:val="6097"/>
                </w:sdtPr>
                <w:sdtContent>
                  <w:p>
                    <w:pPr>
                      <w:widowControl w:val="0"/>
                      <w:jc w:val="center"/>
                      <w:rPr>
                        <w:szCs w:val="21"/>
                      </w:rPr>
                    </w:pPr>
                    <w:r>
                      <w:rPr>
                        <w:rFonts w:hint="eastAsia"/>
                        <w:szCs w:val="21"/>
                      </w:rPr>
                      <w:t>其他履行职责情况</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1" w:type="dxa"/>
                <w:vAlign w:val="center"/>
              </w:tcPr>
              <w:p>
                <w:pPr>
                  <w:widowControl w:val="0"/>
                  <w:jc w:val="both"/>
                  <w:rPr>
                    <w:szCs w:val="21"/>
                  </w:rPr>
                </w:pPr>
                <w:r>
                  <w:rPr>
                    <w:rFonts w:hint="eastAsia"/>
                    <w:color w:val="auto"/>
                  </w:rPr>
                  <w:t>2025年1月9日</w:t>
                </w:r>
              </w:p>
            </w:tc>
            <w:tc>
              <w:tcPr>
                <w:tcW w:w="3029" w:type="dxa"/>
                <w:vAlign w:val="center"/>
              </w:tcPr>
              <w:p>
                <w:pPr>
                  <w:widowControl w:val="0"/>
                  <w:jc w:val="both"/>
                  <w:rPr>
                    <w:szCs w:val="21"/>
                  </w:rPr>
                </w:pPr>
                <w:r>
                  <w:rPr>
                    <w:rFonts w:hint="eastAsia"/>
                    <w:color w:val="auto"/>
                  </w:rPr>
                  <w:t>审计委员会2025年第一次会议：讨论关于2024年年报披露有关涉及时间安排的事项、审计工作安排及沟通</w:t>
                </w:r>
              </w:p>
            </w:tc>
            <w:tc>
              <w:tcPr>
                <w:tcW w:w="2820" w:type="dxa"/>
                <w:vAlign w:val="center"/>
              </w:tcPr>
              <w:p>
                <w:pPr>
                  <w:widowControl w:val="0"/>
                  <w:jc w:val="both"/>
                  <w:rPr>
                    <w:szCs w:val="21"/>
                  </w:rPr>
                </w:pPr>
                <w:r>
                  <w:rPr>
                    <w:rFonts w:hint="eastAsia"/>
                    <w:color w:val="auto"/>
                  </w:rPr>
                  <w:t>明确年报有关情况安排，督促各方及时解决工作遇到的问题。</w:t>
                </w:r>
              </w:p>
            </w:tc>
            <w:tc>
              <w:tcPr>
                <w:tcW w:w="1185" w:type="dxa"/>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1" w:type="dxa"/>
                <w:vAlign w:val="center"/>
              </w:tcPr>
              <w:p>
                <w:pPr>
                  <w:widowControl w:val="0"/>
                  <w:jc w:val="both"/>
                  <w:rPr>
                    <w:szCs w:val="21"/>
                  </w:rPr>
                </w:pPr>
                <w:r>
                  <w:rPr>
                    <w:rFonts w:hint="eastAsia"/>
                    <w:color w:val="auto"/>
                  </w:rPr>
                  <w:t>2025年1月23日</w:t>
                </w:r>
              </w:p>
            </w:tc>
            <w:tc>
              <w:tcPr>
                <w:tcW w:w="3029" w:type="dxa"/>
                <w:vAlign w:val="center"/>
              </w:tcPr>
              <w:p>
                <w:pPr>
                  <w:widowControl w:val="0"/>
                  <w:jc w:val="both"/>
                  <w:rPr>
                    <w:szCs w:val="21"/>
                  </w:rPr>
                </w:pPr>
                <w:r>
                  <w:rPr>
                    <w:rFonts w:hint="eastAsia"/>
                    <w:color w:val="auto"/>
                  </w:rPr>
                  <w:t>审计委员会2025年第二次会议：审议关于业绩预告的有关事项；讨论关于2024年报审计的有关情况</w:t>
                </w:r>
              </w:p>
            </w:tc>
            <w:tc>
              <w:tcPr>
                <w:tcW w:w="2820" w:type="dxa"/>
                <w:vAlign w:val="center"/>
              </w:tcPr>
              <w:p>
                <w:pPr>
                  <w:widowControl w:val="0"/>
                  <w:jc w:val="both"/>
                  <w:rPr>
                    <w:szCs w:val="21"/>
                  </w:rPr>
                </w:pPr>
                <w:r>
                  <w:rPr>
                    <w:rFonts w:hint="eastAsia"/>
                    <w:color w:val="auto"/>
                  </w:rPr>
                  <w:t>确认了业绩预告的披露口径，了解2024年审计工作进展，对目前遇到的问题进行了充分的沟通交流。</w:t>
                </w:r>
              </w:p>
            </w:tc>
            <w:tc>
              <w:tcPr>
                <w:tcW w:w="1185" w:type="dxa"/>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1" w:type="dxa"/>
                <w:vAlign w:val="center"/>
              </w:tcPr>
              <w:p>
                <w:pPr>
                  <w:widowControl w:val="0"/>
                  <w:jc w:val="both"/>
                  <w:rPr>
                    <w:szCs w:val="21"/>
                  </w:rPr>
                </w:pPr>
                <w:r>
                  <w:rPr>
                    <w:rFonts w:hint="eastAsia"/>
                    <w:color w:val="auto"/>
                  </w:rPr>
                  <w:t>2025年3月25日</w:t>
                </w:r>
              </w:p>
            </w:tc>
            <w:tc>
              <w:tcPr>
                <w:tcW w:w="3029" w:type="dxa"/>
                <w:vAlign w:val="center"/>
              </w:tcPr>
              <w:p>
                <w:pPr>
                  <w:widowControl w:val="0"/>
                  <w:jc w:val="both"/>
                  <w:rPr>
                    <w:szCs w:val="21"/>
                  </w:rPr>
                </w:pPr>
                <w:r>
                  <w:rPr>
                    <w:rFonts w:hint="eastAsia"/>
                    <w:color w:val="auto"/>
                  </w:rPr>
                  <w:t>审计委员会2025年第三次会议：审议《2024年年度报告（全文及摘要）》；对年审会计师事务所出具的《2024年度审计报告》中“关键审计事项”等涉及的重要事项进行审阅；整理形成了《董事会审计委员会2024年度履职报告》；同意将《2024年度内部控制评价报告》提交公司董事会审议；审议通过《2024年度财务决算报告》；审议通过《2024年度审计委员会对会计师事务所履行监督职责情况的报告》；听取内部审计工作情况，审阅并同意《2025年度内部审计工作计划》。</w:t>
                </w:r>
              </w:p>
            </w:tc>
            <w:tc>
              <w:tcPr>
                <w:tcW w:w="2820" w:type="dxa"/>
                <w:vAlign w:val="center"/>
              </w:tcPr>
              <w:p>
                <w:pPr>
                  <w:widowControl w:val="0"/>
                  <w:jc w:val="both"/>
                  <w:rPr>
                    <w:szCs w:val="21"/>
                  </w:rPr>
                </w:pPr>
                <w:r>
                  <w:rPr>
                    <w:rFonts w:hint="eastAsia"/>
                    <w:color w:val="auto"/>
                  </w:rPr>
                  <w:t>认为公司已严格按企业会计准则和有关财务制度编制报表，能真实、准确、完整反映公司经营情况，同意将《2024年年度报告（全文及摘要）》提交董事会审议。</w:t>
                </w:r>
              </w:p>
            </w:tc>
            <w:tc>
              <w:tcPr>
                <w:tcW w:w="1185" w:type="dxa"/>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1" w:type="dxa"/>
                <w:vAlign w:val="center"/>
              </w:tcPr>
              <w:p>
                <w:pPr>
                  <w:widowControl w:val="0"/>
                  <w:jc w:val="both"/>
                  <w:rPr>
                    <w:szCs w:val="21"/>
                  </w:rPr>
                </w:pPr>
                <w:r>
                  <w:rPr>
                    <w:rFonts w:hint="eastAsia"/>
                    <w:color w:val="auto"/>
                  </w:rPr>
                  <w:t>2025年4月24日</w:t>
                </w:r>
              </w:p>
            </w:tc>
            <w:tc>
              <w:tcPr>
                <w:tcW w:w="3029" w:type="dxa"/>
                <w:vAlign w:val="center"/>
              </w:tcPr>
              <w:p>
                <w:pPr>
                  <w:widowControl w:val="0"/>
                  <w:jc w:val="both"/>
                  <w:rPr>
                    <w:szCs w:val="21"/>
                  </w:rPr>
                </w:pPr>
                <w:r>
                  <w:rPr>
                    <w:rFonts w:hint="eastAsia"/>
                    <w:color w:val="auto"/>
                  </w:rPr>
                  <w:t>审计委员会2025年第四次会议：审议《2025年第一季度报告》</w:t>
                </w:r>
              </w:p>
            </w:tc>
            <w:tc>
              <w:tcPr>
                <w:tcW w:w="2820" w:type="dxa"/>
                <w:vAlign w:val="center"/>
              </w:tcPr>
              <w:p>
                <w:pPr>
                  <w:widowControl w:val="0"/>
                  <w:jc w:val="both"/>
                  <w:rPr>
                    <w:szCs w:val="21"/>
                  </w:rPr>
                </w:pPr>
                <w:r>
                  <w:rPr>
                    <w:rFonts w:hint="eastAsia"/>
                    <w:color w:val="auto"/>
                  </w:rPr>
                  <w:t>认为公司已严格按企业会计准则和有关财务制度编制报表，能真实、准确、完整反映公司经营情况，同意将《2025年第一季度报告》提交董事会审议。</w:t>
                </w:r>
              </w:p>
            </w:tc>
            <w:tc>
              <w:tcPr>
                <w:tcW w:w="1185" w:type="dxa"/>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1" w:type="dxa"/>
                <w:vAlign w:val="center"/>
              </w:tcPr>
              <w:p>
                <w:pPr>
                  <w:widowControl w:val="0"/>
                  <w:jc w:val="both"/>
                  <w:rPr>
                    <w:szCs w:val="21"/>
                  </w:rPr>
                </w:pPr>
                <w:r>
                  <w:rPr>
                    <w:rFonts w:hint="eastAsia"/>
                    <w:color w:val="auto"/>
                  </w:rPr>
                  <w:t>2025年6月30日</w:t>
                </w:r>
              </w:p>
            </w:tc>
            <w:tc>
              <w:tcPr>
                <w:tcW w:w="3029" w:type="dxa"/>
                <w:vAlign w:val="center"/>
              </w:tcPr>
              <w:p>
                <w:pPr>
                  <w:widowControl w:val="0"/>
                  <w:jc w:val="both"/>
                  <w:rPr>
                    <w:szCs w:val="21"/>
                  </w:rPr>
                </w:pPr>
                <w:r>
                  <w:rPr>
                    <w:rFonts w:hint="eastAsia"/>
                    <w:color w:val="auto"/>
                  </w:rPr>
                  <w:t>审计委员会2025年第五次会议：《关于总裁代行财务负责人职责的议案》</w:t>
                </w:r>
              </w:p>
            </w:tc>
            <w:tc>
              <w:tcPr>
                <w:tcW w:w="2820" w:type="dxa"/>
                <w:vAlign w:val="center"/>
              </w:tcPr>
              <w:p>
                <w:pPr>
                  <w:widowControl w:val="0"/>
                  <w:jc w:val="both"/>
                  <w:rPr>
                    <w:szCs w:val="21"/>
                  </w:rPr>
                </w:pPr>
                <w:r>
                  <w:rPr>
                    <w:rFonts w:hint="eastAsia"/>
                    <w:color w:val="auto"/>
                  </w:rPr>
                  <w:t>为确保公司财务管理工作的平稳、有序运行，在财务负责人空缺期间，同意由总裁龚慧泉先生代行财务负责人职责，并同意将相关议案提交董事会审议。</w:t>
                </w:r>
              </w:p>
            </w:tc>
            <w:tc>
              <w:tcPr>
                <w:tcW w:w="1185" w:type="dxa"/>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1" w:type="dxa"/>
                <w:vAlign w:val="center"/>
              </w:tcPr>
              <w:p>
                <w:pPr>
                  <w:widowControl w:val="0"/>
                  <w:jc w:val="both"/>
                  <w:rPr>
                    <w:szCs w:val="21"/>
                  </w:rPr>
                </w:pPr>
                <w:r>
                  <w:rPr>
                    <w:rFonts w:hint="eastAsia"/>
                    <w:color w:val="auto"/>
                  </w:rPr>
                  <w:t>2025年8月27日</w:t>
                </w:r>
              </w:p>
            </w:tc>
            <w:tc>
              <w:tcPr>
                <w:tcW w:w="3029" w:type="dxa"/>
                <w:vAlign w:val="center"/>
              </w:tcPr>
              <w:p>
                <w:pPr>
                  <w:widowControl w:val="0"/>
                  <w:jc w:val="both"/>
                  <w:rPr>
                    <w:szCs w:val="21"/>
                  </w:rPr>
                </w:pPr>
                <w:r>
                  <w:rPr>
                    <w:rFonts w:hint="eastAsia"/>
                    <w:color w:val="auto"/>
                  </w:rPr>
                  <w:t>审计委员会2025年第六次会议：审议《2025年半年度报告（全文及摘要）》</w:t>
                </w:r>
              </w:p>
            </w:tc>
            <w:tc>
              <w:tcPr>
                <w:tcW w:w="2820" w:type="dxa"/>
                <w:vAlign w:val="center"/>
              </w:tcPr>
              <w:p>
                <w:pPr>
                  <w:widowControl w:val="0"/>
                  <w:jc w:val="both"/>
                  <w:rPr>
                    <w:szCs w:val="21"/>
                  </w:rPr>
                </w:pPr>
                <w:r>
                  <w:rPr>
                    <w:rFonts w:hint="eastAsia"/>
                    <w:color w:val="auto"/>
                  </w:rPr>
                  <w:t>认为公司已严格按企业会计准则和有关财务制度编制报表，能真实、准确、完整反映公司经营情况，同意将《2025年半年度报告（全文及摘要）》提交董事会审议。</w:t>
                </w:r>
              </w:p>
            </w:tc>
            <w:tc>
              <w:tcPr>
                <w:tcW w:w="1185" w:type="dxa"/>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1" w:type="dxa"/>
                <w:vAlign w:val="center"/>
              </w:tcPr>
              <w:p>
                <w:pPr>
                  <w:widowControl w:val="0"/>
                  <w:jc w:val="both"/>
                  <w:rPr>
                    <w:szCs w:val="21"/>
                  </w:rPr>
                </w:pPr>
                <w:r>
                  <w:rPr>
                    <w:rFonts w:hint="eastAsia"/>
                    <w:color w:val="auto"/>
                  </w:rPr>
                  <w:t>2025年10月23日</w:t>
                </w:r>
              </w:p>
            </w:tc>
            <w:tc>
              <w:tcPr>
                <w:tcW w:w="3029" w:type="dxa"/>
                <w:vAlign w:val="center"/>
              </w:tcPr>
              <w:p>
                <w:pPr>
                  <w:widowControl w:val="0"/>
                  <w:jc w:val="both"/>
                  <w:rPr>
                    <w:szCs w:val="21"/>
                  </w:rPr>
                </w:pPr>
                <w:r>
                  <w:rPr>
                    <w:rFonts w:hint="eastAsia"/>
                    <w:color w:val="auto"/>
                  </w:rPr>
                  <w:t>审计委员会2025年第七次会议：审议《2025年第三季度报告》</w:t>
                </w:r>
              </w:p>
            </w:tc>
            <w:tc>
              <w:tcPr>
                <w:tcW w:w="2820" w:type="dxa"/>
                <w:vAlign w:val="center"/>
              </w:tcPr>
              <w:p>
                <w:pPr>
                  <w:widowControl w:val="0"/>
                  <w:jc w:val="both"/>
                  <w:rPr>
                    <w:szCs w:val="21"/>
                  </w:rPr>
                </w:pPr>
                <w:r>
                  <w:rPr>
                    <w:rFonts w:hint="eastAsia"/>
                    <w:color w:val="auto"/>
                  </w:rPr>
                  <w:t>认为公司已严格按企业会计准则和有关财务制度编制报表，能真实、准确、完整反映公司经营情况，同意将《202</w:t>
                </w:r>
                <w:r>
                  <w:rPr>
                    <w:rFonts w:hint="eastAsia"/>
                    <w:color w:val="auto"/>
                    <w:lang w:val="en-US" w:eastAsia="zh-CN"/>
                  </w:rPr>
                  <w:t>5</w:t>
                </w:r>
                <w:r>
                  <w:rPr>
                    <w:rFonts w:hint="eastAsia"/>
                    <w:color w:val="auto"/>
                  </w:rPr>
                  <w:t>年第三季度报告》提交董事会审议。</w:t>
                </w:r>
              </w:p>
            </w:tc>
            <w:tc>
              <w:tcPr>
                <w:tcW w:w="1185" w:type="dxa"/>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1" w:type="dxa"/>
                <w:vAlign w:val="center"/>
              </w:tcPr>
              <w:p>
                <w:pPr>
                  <w:widowControl w:val="0"/>
                  <w:jc w:val="both"/>
                  <w:rPr>
                    <w:szCs w:val="21"/>
                  </w:rPr>
                </w:pPr>
                <w:r>
                  <w:rPr>
                    <w:rFonts w:hint="eastAsia"/>
                    <w:color w:val="auto"/>
                  </w:rPr>
                  <w:t>2025年11月21日</w:t>
                </w:r>
              </w:p>
            </w:tc>
            <w:tc>
              <w:tcPr>
                <w:tcW w:w="3029" w:type="dxa"/>
                <w:vAlign w:val="center"/>
              </w:tcPr>
              <w:p>
                <w:pPr>
                  <w:widowControl w:val="0"/>
                  <w:jc w:val="both"/>
                  <w:rPr>
                    <w:szCs w:val="21"/>
                  </w:rPr>
                </w:pPr>
                <w:r>
                  <w:rPr>
                    <w:rFonts w:hint="eastAsia"/>
                    <w:color w:val="auto"/>
                  </w:rPr>
                  <w:t>审计委员会2025年第八次会议：审议《关于续聘会计师事务所的议案》</w:t>
                </w:r>
              </w:p>
            </w:tc>
            <w:tc>
              <w:tcPr>
                <w:tcW w:w="2820" w:type="dxa"/>
                <w:vAlign w:val="center"/>
              </w:tcPr>
              <w:p>
                <w:pPr>
                  <w:widowControl w:val="0"/>
                  <w:jc w:val="both"/>
                  <w:rPr>
                    <w:szCs w:val="21"/>
                  </w:rPr>
                </w:pPr>
                <w:r>
                  <w:rPr>
                    <w:rFonts w:hint="eastAsia"/>
                    <w:color w:val="auto"/>
                  </w:rPr>
                  <w:t>对中喜会计师事务所的资质、专业胜任能力、投资者保护能力、独立性和诚信状况进行了审查，认为中喜会计师事务所满足为公司提供审计服务的资质要求，同意《关于续聘会计师事务所的议案》并提交公司董事会审议。</w:t>
                </w:r>
              </w:p>
            </w:tc>
            <w:tc>
              <w:tcPr>
                <w:tcW w:w="1185" w:type="dxa"/>
                <w:vAlign w:val="center"/>
              </w:tcPr>
              <w:p>
                <w:pPr>
                  <w:widowControl w:val="0"/>
                  <w:jc w:val="both"/>
                  <w:rPr>
                    <w:szCs w:val="21"/>
                  </w:rPr>
                </w:pPr>
              </w:p>
            </w:tc>
          </w:tr>
        </w:tbl>
        <w:p/>
      </w:sdtContent>
    </w:sdt>
    <w:p>
      <w:pPr>
        <w:pStyle w:val="4"/>
        <w:numPr>
          <w:ilvl w:val="0"/>
          <w:numId w:val="25"/>
        </w:numPr>
        <w:rPr>
          <w:rFonts w:hint="eastAsia" w:ascii="宋体" w:hAnsi="宋体" w:cs="宋体"/>
          <w:kern w:val="0"/>
          <w:szCs w:val="24"/>
        </w:rPr>
      </w:pPr>
      <w:r>
        <w:rPr>
          <w:rFonts w:hint="eastAsia" w:ascii="宋体" w:hAnsi="宋体" w:cs="宋体"/>
          <w:kern w:val="0"/>
          <w:szCs w:val="24"/>
        </w:rPr>
        <w:t>存在异议事项的具体情况</w:t>
      </w:r>
    </w:p>
    <w:sdt>
      <w:sdtPr>
        <w:rPr>
          <w:rFonts w:hint="eastAsia"/>
          <w:szCs w:val="21"/>
        </w:rPr>
        <w:alias w:val="是否适用：董事会下设专门委员会在报告期内履行职责时所提出的重要意见和建议[双击切换]"/>
        <w:tag w:val="_GBC_f61de8443c9e4bc6b27047ea31f34f46"/>
        <w:id w:val="6098"/>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3"/>
        <w:numPr>
          <w:ilvl w:val="0"/>
          <w:numId w:val="21"/>
        </w:numPr>
      </w:pPr>
      <w:r>
        <w:rPr>
          <w:rFonts w:hint="eastAsia"/>
        </w:rPr>
        <w:t>审计委员会</w:t>
      </w:r>
      <w:r>
        <w:t>发现公司存在风险的说明</w:t>
      </w:r>
    </w:p>
    <w:sdt>
      <w:sdtPr>
        <w:alias w:val="是否适用：监事会发现公司存在风险的说明[双击切换]"/>
        <w:tag w:val="_GBC_987bc6e795084351a58e9d0bca47f246"/>
        <w:id w:val="6099"/>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r>
        <w:rPr>
          <w:rFonts w:hint="eastAsia"/>
        </w:rPr>
        <w:t>审计委员会对报告期内的监督事项</w:t>
      </w:r>
      <w:sdt>
        <w:sdtPr>
          <w:tag w:val="_PLD_66086d7fdf9245bb81102da5ce6dd63d"/>
          <w:id w:val="6100"/>
        </w:sdtPr>
        <w:sdtContent>
          <w:r>
            <w:rPr>
              <w:rFonts w:hint="eastAsia"/>
            </w:rPr>
            <w:t>无异议</w:t>
          </w:r>
        </w:sdtContent>
      </w:sdt>
      <w:r>
        <w:rPr>
          <w:rFonts w:hint="eastAsia"/>
        </w:rPr>
        <w:t>。</w:t>
      </w:r>
    </w:p>
    <w:p>
      <w:pPr>
        <w:rPr>
          <w:szCs w:val="21"/>
        </w:rPr>
      </w:pPr>
    </w:p>
    <w:p>
      <w:pPr>
        <w:pStyle w:val="3"/>
        <w:numPr>
          <w:ilvl w:val="0"/>
          <w:numId w:val="21"/>
        </w:numPr>
        <w:rPr>
          <w:rFonts w:hint="eastAsia" w:ascii="宋体" w:hAnsi="宋体" w:cs="宋体"/>
          <w:kern w:val="0"/>
          <w:szCs w:val="24"/>
        </w:rPr>
      </w:pPr>
      <w:r>
        <w:rPr>
          <w:rFonts w:hint="eastAsia" w:ascii="宋体" w:hAnsi="宋体" w:cs="宋体"/>
          <w:kern w:val="0"/>
          <w:szCs w:val="24"/>
        </w:rPr>
        <w:t>报告期末</w:t>
      </w:r>
      <w:r>
        <w:rPr>
          <w:rFonts w:ascii="宋体" w:hAnsi="宋体" w:cs="宋体"/>
          <w:kern w:val="0"/>
          <w:szCs w:val="24"/>
        </w:rPr>
        <w:t>母公司和主要子公司的员工情况</w:t>
      </w:r>
    </w:p>
    <w:p>
      <w:pPr>
        <w:pStyle w:val="4"/>
        <w:numPr>
          <w:ilvl w:val="0"/>
          <w:numId w:val="26"/>
        </w:numPr>
        <w:rPr>
          <w:szCs w:val="21"/>
        </w:rPr>
      </w:pPr>
      <w:bookmarkStart w:id="95" w:name="_Hlk89184114"/>
      <w:r>
        <w:rPr>
          <w:szCs w:val="21"/>
        </w:rPr>
        <w:t>员工情况</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5"/>
        <w:gridCol w:w="4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4875" w:type="dxa"/>
            <w:vAlign w:val="center"/>
          </w:tcPr>
          <w:sdt>
            <w:sdtPr>
              <w:tag w:val="_PLD_cff5d8823807446facbb16ac3f50949e"/>
              <w:id w:val="6101"/>
            </w:sdtPr>
            <w:sdtContent>
              <w:p>
                <w:pPr>
                  <w:widowControl w:val="0"/>
                  <w:jc w:val="both"/>
                  <w:rPr>
                    <w:szCs w:val="21"/>
                  </w:rPr>
                </w:pPr>
                <w:r>
                  <w:rPr>
                    <w:szCs w:val="21"/>
                  </w:rPr>
                  <w:t>母公司在职员工的数量</w:t>
                </w:r>
              </w:p>
            </w:sdtContent>
          </w:sdt>
        </w:tc>
        <w:tc>
          <w:tcPr>
            <w:tcW w:w="4173" w:type="dxa"/>
            <w:vAlign w:val="center"/>
          </w:tcPr>
          <w:sdt>
            <w:sdtPr>
              <w:rPr>
                <w:szCs w:val="21"/>
              </w:rPr>
              <w:alias w:val="母公司在职员工的数量"/>
              <w:tag w:val="_GBC_abd1eca65c1c4a43937ae4fdd8599b5b"/>
              <w:id w:val="6102"/>
            </w:sdtPr>
            <w:sdtEndPr>
              <w:rPr>
                <w:szCs w:val="21"/>
              </w:rPr>
            </w:sdtEndPr>
            <w:sdtContent>
              <w:p>
                <w:pPr>
                  <w:widowControl w:val="0"/>
                  <w:jc w:val="right"/>
                  <w:rPr>
                    <w:szCs w:val="21"/>
                  </w:rPr>
                </w:pPr>
                <w:r>
                  <w:rPr>
                    <w:rFonts w:hint="eastAsia"/>
                    <w:szCs w:val="21"/>
                  </w:rPr>
                  <w:t>414</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4875" w:type="dxa"/>
            <w:vAlign w:val="center"/>
          </w:tcPr>
          <w:p>
            <w:pPr>
              <w:widowControl w:val="0"/>
              <w:jc w:val="both"/>
              <w:rPr>
                <w:szCs w:val="21"/>
              </w:rPr>
            </w:pPr>
            <w:r>
              <w:rPr>
                <w:szCs w:val="21"/>
              </w:rPr>
              <w:t>主要子公司在职员工的数量</w:t>
            </w:r>
          </w:p>
        </w:tc>
        <w:tc>
          <w:tcPr>
            <w:tcW w:w="4173" w:type="dxa"/>
            <w:vAlign w:val="center"/>
          </w:tcPr>
          <w:p>
            <w:pPr>
              <w:widowControl w:val="0"/>
              <w:jc w:val="right"/>
              <w:rPr>
                <w:szCs w:val="21"/>
              </w:rPr>
            </w:pPr>
            <w:r>
              <w:rPr>
                <w:rFonts w:hint="eastAsia"/>
                <w:color w:val="auto"/>
                <w:szCs w:val="21"/>
              </w:rPr>
              <w:t>1,237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4875" w:type="dxa"/>
            <w:vAlign w:val="center"/>
          </w:tcPr>
          <w:p>
            <w:pPr>
              <w:widowControl w:val="0"/>
              <w:jc w:val="both"/>
              <w:rPr>
                <w:szCs w:val="21"/>
              </w:rPr>
            </w:pPr>
            <w:r>
              <w:rPr>
                <w:szCs w:val="21"/>
              </w:rPr>
              <w:t>在职员工的数量合计</w:t>
            </w:r>
          </w:p>
        </w:tc>
        <w:tc>
          <w:tcPr>
            <w:tcW w:w="4173" w:type="dxa"/>
            <w:vAlign w:val="center"/>
          </w:tcPr>
          <w:p>
            <w:pPr>
              <w:widowControl w:val="0"/>
              <w:jc w:val="right"/>
              <w:rPr>
                <w:szCs w:val="21"/>
              </w:rPr>
            </w:pPr>
            <w:r>
              <w:rPr>
                <w:rFonts w:hint="eastAsia"/>
                <w:color w:val="auto"/>
                <w:szCs w:val="21"/>
              </w:rPr>
              <w:t>1,651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4875" w:type="dxa"/>
            <w:vAlign w:val="center"/>
          </w:tcPr>
          <w:p>
            <w:pPr>
              <w:widowControl w:val="0"/>
              <w:jc w:val="both"/>
              <w:rPr>
                <w:szCs w:val="21"/>
              </w:rPr>
            </w:pPr>
            <w:r>
              <w:rPr>
                <w:szCs w:val="21"/>
              </w:rPr>
              <w:t>母公司及主要子公司需承担费用的离退休职工人数</w:t>
            </w:r>
          </w:p>
        </w:tc>
        <w:tc>
          <w:tcPr>
            <w:tcW w:w="4173" w:type="dxa"/>
            <w:vAlign w:val="center"/>
          </w:tcPr>
          <w:p>
            <w:pPr>
              <w:widowControl w:val="0"/>
              <w:jc w:val="right"/>
              <w:rPr>
                <w:rFonts w:hint="eastAsia" w:eastAsia="宋体"/>
                <w:szCs w:val="21"/>
                <w:lang w:eastAsia="zh-CN"/>
              </w:rPr>
            </w:pPr>
            <w:r>
              <w:rPr>
                <w:rFonts w:hint="eastAsia"/>
                <w:color w:val="auto"/>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9048" w:type="dxa"/>
            <w:gridSpan w:val="2"/>
            <w:vAlign w:val="center"/>
          </w:tcPr>
          <w:sdt>
            <w:sdtPr>
              <w:tag w:val="_PLD_f37d0297c6bb44dea272632ad4d910e4"/>
              <w:id w:val="6103"/>
            </w:sdtPr>
            <w:sdtContent>
              <w:p>
                <w:pPr>
                  <w:widowControl w:val="0"/>
                  <w:jc w:val="center"/>
                  <w:rPr>
                    <w:szCs w:val="21"/>
                  </w:rPr>
                </w:pPr>
                <w:r>
                  <w:rPr>
                    <w:szCs w:val="21"/>
                  </w:rPr>
                  <w:t>专业构成</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4875" w:type="dxa"/>
            <w:vAlign w:val="center"/>
          </w:tcPr>
          <w:sdt>
            <w:sdtPr>
              <w:tag w:val="_PLD_90bef974c0c14508b11a7e84e6f364c5"/>
              <w:id w:val="6104"/>
            </w:sdtPr>
            <w:sdtContent>
              <w:p>
                <w:pPr>
                  <w:widowControl w:val="0"/>
                  <w:jc w:val="center"/>
                  <w:rPr>
                    <w:szCs w:val="21"/>
                  </w:rPr>
                </w:pPr>
                <w:r>
                  <w:rPr>
                    <w:szCs w:val="21"/>
                  </w:rPr>
                  <w:t>专业构成类别</w:t>
                </w:r>
              </w:p>
            </w:sdtContent>
          </w:sdt>
        </w:tc>
        <w:tc>
          <w:tcPr>
            <w:tcW w:w="4173" w:type="dxa"/>
            <w:vAlign w:val="center"/>
          </w:tcPr>
          <w:sdt>
            <w:sdtPr>
              <w:tag w:val="_PLD_a5f175a6b2a94ee7a70936fbe5cbc8da"/>
              <w:id w:val="6105"/>
            </w:sdtPr>
            <w:sdtContent>
              <w:p>
                <w:pPr>
                  <w:widowControl w:val="0"/>
                  <w:jc w:val="center"/>
                  <w:rPr>
                    <w:szCs w:val="21"/>
                  </w:rPr>
                </w:pPr>
                <w:r>
                  <w:rPr>
                    <w:szCs w:val="21"/>
                  </w:rPr>
                  <w:t>专业构成人数</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4875" w:type="dxa"/>
            <w:vAlign w:val="center"/>
          </w:tcPr>
          <w:p>
            <w:pPr>
              <w:widowControl w:val="0"/>
              <w:jc w:val="center"/>
              <w:rPr>
                <w:szCs w:val="21"/>
              </w:rPr>
            </w:pPr>
            <w:r>
              <w:rPr>
                <w:szCs w:val="21"/>
              </w:rPr>
              <w:t>生产人员</w:t>
            </w:r>
          </w:p>
        </w:tc>
        <w:tc>
          <w:tcPr>
            <w:tcW w:w="4173" w:type="dxa"/>
            <w:vAlign w:val="center"/>
          </w:tcPr>
          <w:p>
            <w:pPr>
              <w:widowControl w:val="0"/>
              <w:jc w:val="right"/>
              <w:rPr>
                <w:szCs w:val="21"/>
              </w:rPr>
            </w:pPr>
            <w:r>
              <w:rPr>
                <w:rFonts w:hint="eastAsia"/>
                <w:color w:val="auto"/>
                <w:szCs w:val="21"/>
              </w:rPr>
              <w:t>984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4875" w:type="dxa"/>
            <w:vAlign w:val="center"/>
          </w:tcPr>
          <w:p>
            <w:pPr>
              <w:widowControl w:val="0"/>
              <w:jc w:val="center"/>
              <w:rPr>
                <w:szCs w:val="21"/>
              </w:rPr>
            </w:pPr>
            <w:r>
              <w:rPr>
                <w:szCs w:val="21"/>
              </w:rPr>
              <w:t>销售人员</w:t>
            </w:r>
          </w:p>
        </w:tc>
        <w:tc>
          <w:tcPr>
            <w:tcW w:w="4173" w:type="dxa"/>
            <w:vAlign w:val="center"/>
          </w:tcPr>
          <w:p>
            <w:pPr>
              <w:widowControl w:val="0"/>
              <w:jc w:val="right"/>
              <w:rPr>
                <w:szCs w:val="21"/>
              </w:rPr>
            </w:pPr>
            <w:r>
              <w:rPr>
                <w:rFonts w:hint="eastAsia"/>
                <w:color w:val="auto"/>
                <w:szCs w:val="21"/>
              </w:rPr>
              <w:t>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4875" w:type="dxa"/>
            <w:vAlign w:val="center"/>
          </w:tcPr>
          <w:p>
            <w:pPr>
              <w:widowControl w:val="0"/>
              <w:jc w:val="center"/>
              <w:rPr>
                <w:szCs w:val="21"/>
              </w:rPr>
            </w:pPr>
            <w:r>
              <w:rPr>
                <w:szCs w:val="21"/>
              </w:rPr>
              <w:t>技术人员</w:t>
            </w:r>
          </w:p>
        </w:tc>
        <w:tc>
          <w:tcPr>
            <w:tcW w:w="4173" w:type="dxa"/>
            <w:vAlign w:val="center"/>
          </w:tcPr>
          <w:p>
            <w:pPr>
              <w:widowControl w:val="0"/>
              <w:jc w:val="right"/>
              <w:rPr>
                <w:szCs w:val="21"/>
              </w:rPr>
            </w:pPr>
            <w:r>
              <w:rPr>
                <w:rFonts w:hint="eastAsia"/>
                <w:color w:val="auto"/>
                <w:szCs w:val="21"/>
              </w:rPr>
              <w:t>207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4875" w:type="dxa"/>
            <w:vAlign w:val="center"/>
          </w:tcPr>
          <w:p>
            <w:pPr>
              <w:widowControl w:val="0"/>
              <w:jc w:val="center"/>
              <w:rPr>
                <w:szCs w:val="21"/>
              </w:rPr>
            </w:pPr>
            <w:r>
              <w:rPr>
                <w:szCs w:val="21"/>
              </w:rPr>
              <w:t>财务人员</w:t>
            </w:r>
          </w:p>
        </w:tc>
        <w:tc>
          <w:tcPr>
            <w:tcW w:w="4173" w:type="dxa"/>
            <w:vAlign w:val="center"/>
          </w:tcPr>
          <w:p>
            <w:pPr>
              <w:widowControl w:val="0"/>
              <w:jc w:val="right"/>
              <w:rPr>
                <w:szCs w:val="21"/>
              </w:rPr>
            </w:pPr>
            <w:r>
              <w:rPr>
                <w:rFonts w:hint="eastAsia"/>
                <w:color w:val="auto"/>
                <w:szCs w:val="21"/>
              </w:rPr>
              <w:t>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875" w:type="dxa"/>
            <w:vAlign w:val="center"/>
          </w:tcPr>
          <w:p>
            <w:pPr>
              <w:widowControl w:val="0"/>
              <w:jc w:val="center"/>
              <w:rPr>
                <w:szCs w:val="21"/>
              </w:rPr>
            </w:pPr>
            <w:r>
              <w:rPr>
                <w:szCs w:val="21"/>
              </w:rPr>
              <w:t>行政人员</w:t>
            </w:r>
          </w:p>
        </w:tc>
        <w:tc>
          <w:tcPr>
            <w:tcW w:w="4173" w:type="dxa"/>
            <w:vAlign w:val="center"/>
          </w:tcPr>
          <w:p>
            <w:pPr>
              <w:widowControl w:val="0"/>
              <w:jc w:val="right"/>
              <w:rPr>
                <w:szCs w:val="21"/>
              </w:rPr>
            </w:pPr>
            <w:r>
              <w:rPr>
                <w:rFonts w:hint="eastAsia"/>
                <w:color w:val="auto"/>
                <w:szCs w:val="21"/>
              </w:rPr>
              <w:t>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4875" w:type="dxa"/>
            <w:vAlign w:val="center"/>
          </w:tcPr>
          <w:p>
            <w:pPr>
              <w:widowControl w:val="0"/>
              <w:jc w:val="center"/>
              <w:rPr>
                <w:szCs w:val="21"/>
              </w:rPr>
            </w:pPr>
            <w:r>
              <w:rPr>
                <w:szCs w:val="21"/>
              </w:rPr>
              <w:t>合计</w:t>
            </w:r>
          </w:p>
        </w:tc>
        <w:tc>
          <w:tcPr>
            <w:tcW w:w="4173" w:type="dxa"/>
            <w:vAlign w:val="center"/>
          </w:tcPr>
          <w:p>
            <w:pPr>
              <w:widowControl w:val="0"/>
              <w:jc w:val="right"/>
              <w:rPr>
                <w:szCs w:val="21"/>
              </w:rPr>
            </w:pPr>
            <w:r>
              <w:rPr>
                <w:rFonts w:hint="eastAsia"/>
                <w:color w:val="auto"/>
              </w:rPr>
              <w:t>1,651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9048" w:type="dxa"/>
            <w:gridSpan w:val="2"/>
            <w:vAlign w:val="center"/>
          </w:tcPr>
          <w:sdt>
            <w:sdtPr>
              <w:tag w:val="_PLD_ea58f2d9c900463a8694fdc78940295e"/>
              <w:id w:val="6106"/>
            </w:sdtPr>
            <w:sdtContent>
              <w:p>
                <w:pPr>
                  <w:widowControl w:val="0"/>
                  <w:jc w:val="center"/>
                  <w:rPr>
                    <w:szCs w:val="21"/>
                  </w:rPr>
                </w:pPr>
                <w:r>
                  <w:rPr>
                    <w:szCs w:val="21"/>
                  </w:rPr>
                  <w:t>教育程度</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4875" w:type="dxa"/>
            <w:vAlign w:val="center"/>
          </w:tcPr>
          <w:sdt>
            <w:sdtPr>
              <w:tag w:val="_PLD_92fefeded22c454881177d08c5c97d97"/>
              <w:id w:val="6107"/>
            </w:sdtPr>
            <w:sdtContent>
              <w:p>
                <w:pPr>
                  <w:widowControl w:val="0"/>
                  <w:jc w:val="center"/>
                  <w:rPr>
                    <w:szCs w:val="21"/>
                  </w:rPr>
                </w:pPr>
                <w:r>
                  <w:rPr>
                    <w:szCs w:val="21"/>
                  </w:rPr>
                  <w:t>教育程度类别</w:t>
                </w:r>
              </w:p>
            </w:sdtContent>
          </w:sdt>
        </w:tc>
        <w:tc>
          <w:tcPr>
            <w:tcW w:w="4173" w:type="dxa"/>
            <w:vAlign w:val="center"/>
          </w:tcPr>
          <w:sdt>
            <w:sdtPr>
              <w:tag w:val="_PLD_2a8ff2c52daa4348bedf7a0e6951a5c6"/>
              <w:id w:val="6108"/>
            </w:sdtPr>
            <w:sdtContent>
              <w:p>
                <w:pPr>
                  <w:widowControl w:val="0"/>
                  <w:jc w:val="center"/>
                  <w:rPr>
                    <w:szCs w:val="21"/>
                  </w:rPr>
                </w:pPr>
                <w:r>
                  <w:rPr>
                    <w:szCs w:val="21"/>
                  </w:rPr>
                  <w:t>数量（人）</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4875" w:type="dxa"/>
            <w:vAlign w:val="center"/>
          </w:tcPr>
          <w:p>
            <w:pPr>
              <w:widowControl w:val="0"/>
              <w:jc w:val="center"/>
              <w:rPr>
                <w:szCs w:val="21"/>
              </w:rPr>
            </w:pPr>
            <w:r>
              <w:rPr>
                <w:rFonts w:hint="eastAsia"/>
                <w:color w:val="auto"/>
                <w:szCs w:val="21"/>
              </w:rPr>
              <w:t>研究生及以上学历</w:t>
            </w:r>
          </w:p>
        </w:tc>
        <w:tc>
          <w:tcPr>
            <w:tcW w:w="4173" w:type="dxa"/>
            <w:vAlign w:val="center"/>
          </w:tcPr>
          <w:p>
            <w:pPr>
              <w:widowControl w:val="0"/>
              <w:jc w:val="right"/>
              <w:rPr>
                <w:szCs w:val="21"/>
              </w:rPr>
            </w:pPr>
            <w:r>
              <w:rPr>
                <w:rFonts w:hint="eastAsia"/>
                <w:color w:val="auto"/>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4875" w:type="dxa"/>
            <w:vAlign w:val="center"/>
          </w:tcPr>
          <w:p>
            <w:pPr>
              <w:widowControl w:val="0"/>
              <w:jc w:val="center"/>
              <w:rPr>
                <w:szCs w:val="21"/>
              </w:rPr>
            </w:pPr>
            <w:r>
              <w:rPr>
                <w:rFonts w:hint="eastAsia"/>
                <w:color w:val="auto"/>
                <w:szCs w:val="21"/>
              </w:rPr>
              <w:t>大学本科</w:t>
            </w:r>
          </w:p>
        </w:tc>
        <w:tc>
          <w:tcPr>
            <w:tcW w:w="4173" w:type="dxa"/>
            <w:vAlign w:val="center"/>
          </w:tcPr>
          <w:p>
            <w:pPr>
              <w:widowControl w:val="0"/>
              <w:jc w:val="right"/>
              <w:rPr>
                <w:szCs w:val="21"/>
              </w:rPr>
            </w:pPr>
            <w:r>
              <w:rPr>
                <w:rFonts w:hint="eastAsia"/>
                <w:color w:val="auto"/>
                <w:szCs w:val="21"/>
              </w:rPr>
              <w:t>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4875" w:type="dxa"/>
            <w:vAlign w:val="center"/>
          </w:tcPr>
          <w:p>
            <w:pPr>
              <w:widowControl w:val="0"/>
              <w:jc w:val="center"/>
              <w:rPr>
                <w:szCs w:val="21"/>
              </w:rPr>
            </w:pPr>
            <w:r>
              <w:rPr>
                <w:rFonts w:hint="eastAsia"/>
                <w:color w:val="auto"/>
                <w:szCs w:val="21"/>
              </w:rPr>
              <w:t>专科</w:t>
            </w:r>
          </w:p>
        </w:tc>
        <w:tc>
          <w:tcPr>
            <w:tcW w:w="4173" w:type="dxa"/>
            <w:vAlign w:val="center"/>
          </w:tcPr>
          <w:p>
            <w:pPr>
              <w:widowControl w:val="0"/>
              <w:jc w:val="right"/>
              <w:rPr>
                <w:szCs w:val="21"/>
              </w:rPr>
            </w:pPr>
            <w:r>
              <w:rPr>
                <w:rFonts w:hint="eastAsia"/>
                <w:color w:val="auto"/>
                <w:szCs w:val="21"/>
              </w:rPr>
              <w:t>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4875" w:type="dxa"/>
            <w:vAlign w:val="center"/>
          </w:tcPr>
          <w:p>
            <w:pPr>
              <w:widowControl w:val="0"/>
              <w:jc w:val="center"/>
              <w:rPr>
                <w:szCs w:val="21"/>
              </w:rPr>
            </w:pPr>
            <w:r>
              <w:rPr>
                <w:rFonts w:hint="eastAsia"/>
                <w:color w:val="auto"/>
                <w:szCs w:val="21"/>
              </w:rPr>
              <w:t>高中、中专、或技校</w:t>
            </w:r>
          </w:p>
        </w:tc>
        <w:tc>
          <w:tcPr>
            <w:tcW w:w="4173" w:type="dxa"/>
            <w:vAlign w:val="center"/>
          </w:tcPr>
          <w:p>
            <w:pPr>
              <w:widowControl w:val="0"/>
              <w:jc w:val="right"/>
              <w:rPr>
                <w:szCs w:val="21"/>
              </w:rPr>
            </w:pPr>
            <w:r>
              <w:rPr>
                <w:rFonts w:hint="eastAsia"/>
                <w:color w:val="auto"/>
                <w:szCs w:val="21"/>
              </w:rPr>
              <w:t>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4875" w:type="dxa"/>
            <w:vAlign w:val="center"/>
          </w:tcPr>
          <w:p>
            <w:pPr>
              <w:widowControl w:val="0"/>
              <w:jc w:val="center"/>
              <w:rPr>
                <w:szCs w:val="21"/>
              </w:rPr>
            </w:pPr>
            <w:r>
              <w:rPr>
                <w:rFonts w:hint="eastAsia"/>
                <w:color w:val="auto"/>
                <w:szCs w:val="21"/>
              </w:rPr>
              <w:t>初中及以下</w:t>
            </w:r>
          </w:p>
        </w:tc>
        <w:tc>
          <w:tcPr>
            <w:tcW w:w="4173" w:type="dxa"/>
            <w:vAlign w:val="center"/>
          </w:tcPr>
          <w:p>
            <w:pPr>
              <w:widowControl w:val="0"/>
              <w:jc w:val="right"/>
              <w:rPr>
                <w:szCs w:val="21"/>
              </w:rPr>
            </w:pPr>
            <w:r>
              <w:rPr>
                <w:rFonts w:hint="eastAsia"/>
                <w:color w:val="auto"/>
                <w:szCs w:val="21"/>
              </w:rPr>
              <w:t>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875" w:type="dxa"/>
            <w:tcBorders>
              <w:bottom w:val="single" w:color="auto" w:sz="4" w:space="0"/>
            </w:tcBorders>
            <w:vAlign w:val="center"/>
          </w:tcPr>
          <w:p>
            <w:pPr>
              <w:widowControl w:val="0"/>
              <w:jc w:val="center"/>
              <w:rPr>
                <w:szCs w:val="21"/>
              </w:rPr>
            </w:pPr>
            <w:r>
              <w:rPr>
                <w:szCs w:val="21"/>
              </w:rPr>
              <w:t>合计</w:t>
            </w:r>
          </w:p>
        </w:tc>
        <w:tc>
          <w:tcPr>
            <w:tcW w:w="4173" w:type="dxa"/>
            <w:tcBorders>
              <w:bottom w:val="single" w:color="auto" w:sz="4" w:space="0"/>
            </w:tcBorders>
            <w:vAlign w:val="center"/>
          </w:tcPr>
          <w:p>
            <w:pPr>
              <w:widowControl w:val="0"/>
              <w:jc w:val="right"/>
              <w:rPr>
                <w:szCs w:val="21"/>
              </w:rPr>
            </w:pPr>
            <w:r>
              <w:rPr>
                <w:rFonts w:hint="eastAsia"/>
                <w:color w:val="auto"/>
                <w:szCs w:val="21"/>
              </w:rPr>
              <w:t>1,651</w:t>
            </w:r>
          </w:p>
        </w:tc>
      </w:tr>
    </w:tbl>
    <w:p>
      <w:pPr>
        <w:rPr>
          <w:szCs w:val="21"/>
        </w:rPr>
      </w:pPr>
    </w:p>
    <w:bookmarkEnd w:id="95"/>
    <w:p>
      <w:pPr>
        <w:pStyle w:val="4"/>
        <w:numPr>
          <w:ilvl w:val="0"/>
          <w:numId w:val="26"/>
        </w:numPr>
        <w:rPr>
          <w:szCs w:val="21"/>
        </w:rPr>
      </w:pPr>
      <w:r>
        <w:t>薪</w:t>
      </w:r>
      <w:r>
        <w:rPr>
          <w:szCs w:val="21"/>
        </w:rPr>
        <w:t>酬政策</w:t>
      </w:r>
    </w:p>
    <w:sdt>
      <w:sdtPr>
        <w:rPr>
          <w:rFonts w:hint="eastAsia"/>
          <w:szCs w:val="21"/>
        </w:rPr>
        <w:alias w:val="是否适用：薪酬政策[双击切换]"/>
        <w:tag w:val="_GBC_13404877597d44c38f554884f31b3123"/>
        <w:id w:val="6109"/>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szCs w:val="21"/>
        </w:rPr>
        <w:alias w:val="员工薪酬政策"/>
        <w:tag w:val="_GBC_c66914a8847a42b2b50437dbe93cdad1"/>
        <w:id w:val="6110"/>
        <w:placeholder>
          <w:docPart w:val="GBC22222222222222222222222222222"/>
        </w:placeholder>
      </w:sdtPr>
      <w:sdtEndPr>
        <w:rPr>
          <w:rFonts w:hint="eastAsia"/>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17"/>
            <w:textAlignment w:val="auto"/>
            <w:rPr>
              <w:szCs w:val="21"/>
            </w:rPr>
          </w:pPr>
          <w:r>
            <w:rPr>
              <w:rFonts w:hint="eastAsia" w:ascii="宋体" w:eastAsia="宋体"/>
              <w:sz w:val="21"/>
              <w:szCs w:val="21"/>
            </w:rPr>
            <w:t>公司围绕“适应市场环境，体现人才价值，发挥激励作用”的原则，规范薪酬管理工作，通过“薪酬体系优化项目”，建立以职位价值评估为基础，宽带薪酬制为主，多种薪酬模式并存的薪酬管理体系，并建立员工绩效考核管理体系，进一步完善公司的激励体系。一是强调“价值导向”，即创造的价值（业绩）越大薪酬越高。二是“宽带薪酬制”更多的是关注员工技能和能力的提高，有利于岗位轮换与员工职业生涯发展，有利于调动员工的积极性、创造</w:t>
          </w:r>
          <w:r>
            <w:rPr>
              <w:rFonts w:hint="eastAsia" w:ascii="宋体"/>
              <w:sz w:val="21"/>
              <w:szCs w:val="21"/>
              <w:lang w:val="en-US" w:eastAsia="zh-CN"/>
            </w:rPr>
            <w:t>性</w:t>
          </w:r>
          <w:r>
            <w:rPr>
              <w:rFonts w:hint="eastAsia" w:ascii="宋体" w:eastAsia="宋体"/>
              <w:sz w:val="21"/>
              <w:szCs w:val="21"/>
            </w:rPr>
            <w:t>，也有利于公司干部人才队伍建设。</w:t>
          </w:r>
        </w:p>
        <w:p>
          <w:pPr>
            <w:keepNext w:val="0"/>
            <w:keepLines w:val="0"/>
            <w:pageBreakBefore w:val="0"/>
            <w:widowControl/>
            <w:kinsoku/>
            <w:wordWrap/>
            <w:overflowPunct/>
            <w:topLinePunct w:val="0"/>
            <w:autoSpaceDE/>
            <w:autoSpaceDN/>
            <w:bidi w:val="0"/>
            <w:adjustRightInd/>
            <w:snapToGrid/>
            <w:spacing w:line="400" w:lineRule="exact"/>
            <w:ind w:firstLine="317"/>
            <w:textAlignment w:val="auto"/>
            <w:rPr>
              <w:szCs w:val="21"/>
            </w:rPr>
          </w:pPr>
          <w:r>
            <w:rPr>
              <w:rFonts w:hint="eastAsia" w:ascii="宋体" w:eastAsia="宋体"/>
              <w:sz w:val="21"/>
              <w:szCs w:val="21"/>
            </w:rPr>
            <w:t>对于生产一线人员及销售一线人员，公司按照多劳多得的方式进行分配，以生产任务量、销售任务量的完成匹配薪酬发放，给予上述部门“超额利润分享”机制，鼓励员工为企业创造更多的效益。</w:t>
          </w:r>
        </w:p>
      </w:sdtContent>
    </w:sdt>
    <w:p>
      <w:pPr>
        <w:rPr>
          <w:szCs w:val="21"/>
        </w:rPr>
      </w:pPr>
    </w:p>
    <w:p>
      <w:pPr>
        <w:pStyle w:val="4"/>
        <w:numPr>
          <w:ilvl w:val="0"/>
          <w:numId w:val="26"/>
        </w:numPr>
        <w:rPr>
          <w:szCs w:val="21"/>
        </w:rPr>
      </w:pPr>
      <w:r>
        <w:rPr>
          <w:szCs w:val="21"/>
        </w:rPr>
        <w:t>培训计划</w:t>
      </w:r>
    </w:p>
    <w:sdt>
      <w:sdtPr>
        <w:rPr>
          <w:rFonts w:hint="eastAsia"/>
          <w:szCs w:val="21"/>
        </w:rPr>
        <w:alias w:val="是否适用：培训计划[双击切换]"/>
        <w:tag w:val="_GBC_123cfa2c006d4970ae10b316c2c1f95a"/>
        <w:id w:val="6111"/>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szCs w:val="21"/>
        </w:rPr>
        <w:alias w:val="员工培训计划"/>
        <w:tag w:val="_GBC_266f6e1d93824387ae96645a471738b7"/>
        <w:id w:val="6112"/>
        <w:placeholder>
          <w:docPart w:val="GBC22222222222222222222222222222"/>
        </w:placeholder>
      </w:sdtPr>
      <w:sdtEndPr>
        <w:rPr>
          <w:rFonts w:hint="eastAsia"/>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17"/>
            <w:textAlignment w:val="auto"/>
            <w:rPr>
              <w:szCs w:val="21"/>
            </w:rPr>
          </w:pPr>
          <w:r>
            <w:rPr>
              <w:rFonts w:hint="eastAsia" w:ascii="宋体" w:eastAsia="宋体"/>
              <w:sz w:val="21"/>
              <w:szCs w:val="21"/>
            </w:rPr>
            <w:t>公司人力资源部每年初收集各单位各部门培训需求意向并制定年度培训计划，按比例投入培训费用、开发或引进相应培训课程，通过加强培训提高员工综合素质，促进员工工作效率和效益的提升。</w:t>
          </w:r>
        </w:p>
        <w:p>
          <w:pPr>
            <w:keepNext w:val="0"/>
            <w:keepLines w:val="0"/>
            <w:pageBreakBefore w:val="0"/>
            <w:widowControl/>
            <w:kinsoku/>
            <w:wordWrap/>
            <w:overflowPunct/>
            <w:topLinePunct w:val="0"/>
            <w:autoSpaceDE/>
            <w:autoSpaceDN/>
            <w:bidi w:val="0"/>
            <w:adjustRightInd/>
            <w:snapToGrid/>
            <w:spacing w:line="400" w:lineRule="exact"/>
            <w:ind w:firstLine="317"/>
            <w:textAlignment w:val="auto"/>
            <w:rPr>
              <w:szCs w:val="21"/>
            </w:rPr>
          </w:pPr>
          <w:r>
            <w:rPr>
              <w:rFonts w:hint="eastAsia" w:ascii="宋体" w:eastAsia="宋体"/>
              <w:sz w:val="21"/>
              <w:szCs w:val="21"/>
            </w:rPr>
            <w:t>公司培训采取分级管理模式，公司高管培训由董事办或党委工作部根据证监会或上级部门要求安排培训课程、公司中层管理人员的个人必修课程由公司高管安排、普通员工的个人必修课程由部门负责人安排、新进员工的个人必修课程由人力资源部及所在部门负责人安排、中层后备干部的个人必修课程由党委工作部和人力资源部安排；公司加强内训师和业务导师培训，并通过内外部培训的方式加强员工岗位知识和技能培训，培训课程分必</w:t>
          </w:r>
          <w:r>
            <w:rPr>
              <w:rFonts w:hint="eastAsia" w:ascii="宋体"/>
              <w:sz w:val="21"/>
              <w:szCs w:val="21"/>
              <w:lang w:val="en-US" w:eastAsia="zh-CN"/>
            </w:rPr>
            <w:t>修</w:t>
          </w:r>
          <w:r>
            <w:rPr>
              <w:rFonts w:hint="eastAsia" w:ascii="宋体" w:eastAsia="宋体"/>
              <w:sz w:val="21"/>
              <w:szCs w:val="21"/>
            </w:rPr>
            <w:t>课和选修课，课程设计采取“纵向”和“横向”相结合的方式进行——针对不同层级员工设计不同的课程体系，根据同一层级员工职业发展规划设计不同的课程体系，采取线上线下相结合的方式推进培训落实并务求取得实效。</w:t>
          </w:r>
        </w:p>
      </w:sdtContent>
    </w:sdt>
    <w:p>
      <w:pPr>
        <w:rPr>
          <w:szCs w:val="21"/>
        </w:rPr>
      </w:pPr>
    </w:p>
    <w:p>
      <w:pPr>
        <w:pStyle w:val="4"/>
        <w:numPr>
          <w:ilvl w:val="0"/>
          <w:numId w:val="26"/>
        </w:numPr>
        <w:ind w:left="420" w:hanging="420"/>
        <w:rPr>
          <w:szCs w:val="21"/>
        </w:rPr>
      </w:pPr>
      <w:bookmarkStart w:id="96" w:name="_Hlk184285495"/>
      <w:r>
        <w:rPr>
          <w:szCs w:val="21"/>
        </w:rPr>
        <w:t>劳务外包情况</w:t>
      </w:r>
    </w:p>
    <w:sdt>
      <w:sdtPr>
        <w:alias w:val="是否适用：劳务外包情况[双击切换]"/>
        <w:tag w:val="_GBC_7647f15955ca4a4f9916c280d684fbc0"/>
        <w:id w:val="6113"/>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4"/>
        <w:gridCol w:w="4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4524" w:type="dxa"/>
            <w:vAlign w:val="center"/>
          </w:tcPr>
          <w:sdt>
            <w:sdtPr>
              <w:tag w:val="_PLD_82dc296a8c284b9282b46cab0554b720"/>
              <w:id w:val="6114"/>
            </w:sdtPr>
            <w:sdtContent>
              <w:p>
                <w:pPr>
                  <w:widowControl w:val="0"/>
                  <w:jc w:val="both"/>
                  <w:rPr>
                    <w:szCs w:val="21"/>
                  </w:rPr>
                </w:pPr>
                <w:r>
                  <w:rPr>
                    <w:szCs w:val="21"/>
                  </w:rPr>
                  <w:t>劳务外包的工时总数</w:t>
                </w:r>
              </w:p>
            </w:sdtContent>
          </w:sdt>
        </w:tc>
        <w:tc>
          <w:tcPr>
            <w:tcW w:w="4524" w:type="dxa"/>
            <w:vAlign w:val="center"/>
          </w:tcPr>
          <w:sdt>
            <w:sdtPr>
              <w:rPr>
                <w:rFonts w:hint="eastAsia"/>
                <w:szCs w:val="21"/>
              </w:rPr>
              <w:alias w:val="劳务外包的工时总数"/>
              <w:tag w:val="_GBC_57af955738b649e0bbd52a97391c6751"/>
              <w:id w:val="6115"/>
            </w:sdtPr>
            <w:sdtEndPr>
              <w:rPr>
                <w:rFonts w:hint="eastAsia"/>
                <w:szCs w:val="21"/>
              </w:rPr>
            </w:sdtEndPr>
            <w:sdtContent>
              <w:p>
                <w:pPr>
                  <w:widowControl w:val="0"/>
                  <w:jc w:val="right"/>
                  <w:rPr>
                    <w:szCs w:val="21"/>
                  </w:rPr>
                </w:pPr>
                <w:r>
                  <w:rPr>
                    <w:rFonts w:hint="eastAsia"/>
                    <w:szCs w:val="21"/>
                  </w:rPr>
                  <w:t>463,312</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524" w:type="dxa"/>
            <w:vAlign w:val="center"/>
          </w:tcPr>
          <w:p>
            <w:pPr>
              <w:widowControl w:val="0"/>
              <w:jc w:val="both"/>
              <w:rPr>
                <w:szCs w:val="21"/>
              </w:rPr>
            </w:pPr>
            <w:sdt>
              <w:sdtPr>
                <w:tag w:val="_PLD_c14afbdf9d884b0888bd3291c9492a08"/>
                <w:id w:val="6116"/>
              </w:sdtPr>
              <w:sdtContent>
                <w:r>
                  <w:rPr>
                    <w:szCs w:val="21"/>
                  </w:rPr>
                  <w:t>劳务外包支付的报酬总额</w:t>
                </w:r>
              </w:sdtContent>
            </w:sdt>
            <w:r>
              <w:rPr>
                <w:rFonts w:hint="eastAsia"/>
              </w:rPr>
              <w:t>（</w:t>
            </w:r>
            <w:sdt>
              <w:sdtPr>
                <w:rPr>
                  <w:rFonts w:hint="eastAsia"/>
                </w:rPr>
                <w:alias w:val="单位：劳务外包支付的总报酬金额"/>
                <w:tag w:val="_GBC_fa19a3e0039b46f192fa76c461a19d43"/>
                <w:id w:val="6117"/>
                <w:placeholder>
                  <w:docPart w:val="GBC11111111111111111111111111111"/>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rPr>
              </w:sdtEndPr>
              <w:sdtContent>
                <w:r>
                  <w:rPr>
                    <w:rFonts w:hint="eastAsia"/>
                  </w:rPr>
                  <w:t>万元</w:t>
                </w:r>
              </w:sdtContent>
            </w:sdt>
            <w:r>
              <w:rPr>
                <w:rFonts w:hint="eastAsia"/>
              </w:rPr>
              <w:t>）</w:t>
            </w:r>
          </w:p>
        </w:tc>
        <w:tc>
          <w:tcPr>
            <w:tcW w:w="4524" w:type="dxa"/>
            <w:vAlign w:val="center"/>
          </w:tcPr>
          <w:p>
            <w:pPr>
              <w:widowControl w:val="0"/>
              <w:jc w:val="right"/>
              <w:rPr>
                <w:rFonts w:hint="eastAsia"/>
                <w:szCs w:val="21"/>
              </w:rPr>
            </w:pPr>
            <w:r>
              <w:rPr>
                <w:rFonts w:hint="eastAsia"/>
                <w:color w:val="auto"/>
                <w:szCs w:val="21"/>
              </w:rPr>
              <w:t>1,249.73</w:t>
            </w:r>
          </w:p>
        </w:tc>
      </w:tr>
    </w:tbl>
    <w:p>
      <w:pPr>
        <w:rPr>
          <w:szCs w:val="21"/>
        </w:rPr>
      </w:pPr>
    </w:p>
    <w:bookmarkEnd w:id="96"/>
    <w:sdt>
      <w:sdtPr>
        <w:tag w:val="_PLD_031b2f9722ea40d4bdf50519f56bc6d5"/>
        <w:id w:val="6118"/>
      </w:sdtPr>
      <w:sdtContent>
        <w:p>
          <w:pPr>
            <w:pStyle w:val="3"/>
            <w:numPr>
              <w:ilvl w:val="0"/>
              <w:numId w:val="21"/>
            </w:numPr>
            <w:ind w:left="450" w:hanging="450"/>
          </w:pPr>
          <w:r>
            <w:t>利润分配或资本公积金转增预案</w:t>
          </w:r>
        </w:p>
      </w:sdtContent>
    </w:sdt>
    <w:p>
      <w:pPr>
        <w:pStyle w:val="4"/>
        <w:numPr>
          <w:ilvl w:val="0"/>
          <w:numId w:val="27"/>
        </w:numPr>
      </w:pPr>
      <w:r>
        <w:rPr>
          <w:rFonts w:hint="eastAsia"/>
        </w:rPr>
        <w:t>现金分红政策的制定、执行或调整情况</w:t>
      </w:r>
    </w:p>
    <w:sdt>
      <w:sdtPr>
        <w:rPr>
          <w:rFonts w:hint="eastAsia"/>
        </w:rPr>
        <w:alias w:val="是否适用：现金分红政策的制定、执行或调整情况[双击切换]"/>
        <w:tag w:val="_GBC_44e2e78b73644e40b44c85d34ce008ea"/>
        <w:id w:val="6119"/>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现金分红政策的执行情况"/>
        <w:tag w:val="_GBC_0ba57968760941749cc2f420644f2599"/>
        <w:id w:val="6120"/>
        <w:placeholder>
          <w:docPart w:val="GBC22222222222222222222222222222"/>
        </w:placeholder>
      </w:sdtPr>
      <w:sdtEndPr>
        <w:rPr>
          <w:rFonts w:ascii="Times New Roman" w:hAnsi="Times New Roman"/>
          <w:sz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报告期内，公司的现金分红政策未进行调整。</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1</w:t>
          </w:r>
          <w:r>
            <w:rPr>
              <w:rFonts w:hint="eastAsia"/>
              <w:sz w:val="21"/>
              <w:szCs w:val="21"/>
              <w:lang w:eastAsia="zh-CN"/>
            </w:rPr>
            <w:t>、</w:t>
          </w:r>
          <w:r>
            <w:rPr>
              <w:rFonts w:hint="eastAsia" w:ascii="Times New Roman" w:hAnsi="Times New Roman" w:eastAsia="宋体"/>
              <w:sz w:val="21"/>
              <w:szCs w:val="21"/>
            </w:rPr>
            <w:t>公司利润分配的决策程序和机制</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1）公司每年的利润分配预案由董事会结合公司盈利情况、资金需求情况制订。在制定现金分红具体方案时，董事会应当认真研究和论证公司现金分红的时机、条件和最低比例、调整的条件及其决策程序要求等事宜，充分听取独立董事的意见。独立董事可以征集中小股东的意见，提出分红提案，并直接提交董事会审议。</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公司当年盈利但董事会未制定现金利润分配预案的，公司应当在年度报告中详细披露并说明未进行现金分红的原因及未用于现金分红的资金留存公司的用途。</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2）董事会审议通过的利润分配方案提交公司股东会审议。股东会对现金分红具体方案进行审议时，可通过多种渠道与股东特别是中小股东进行沟通和交流，充分听取中小股东的意见和诉求，并及时答复中小股东关心的问题。</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（3）公司股东会对利润分配方案作出决议后，公司董事会须在股东会召开后2个月内完成股利（或股份）的派发事项。</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4）公司根据有关法律法规和规范性文件的规定或根据生产经营情况、投资规划及长期发展的需要或者因外部经营环境或自身经营状况发生较大变化，需要调整利润分配政策的，应以股东权益保护为出发点，由董事会拟定利润分配调整政策，并在股东会提案中详细论证和说明原因。调整后的利润分配政策不得违反中国证监会和上海证券交易所的规定；利润分配政策调整的议案经监事会、董事会审议后再提交股东会审议批准；对现金分红政策进行调整或者变更的，须以股东会特别决议审议批准。</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2、公司利润分配具体政策</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1）利润分配的形式：公司可采取现金方式、股票方式、现金与股票相结合的方式或法律允许的其他方式分配股利，并优先考虑采用现金分红的利润分配方式。公司可根据盈利状况及资金需求状况进行中期现金分红。</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公司召开年度股东会审议年度利润分配方案时，可审议批准下一年中期现金分红的条件、比例上限、金额上限等。年度股东会审议的下一年中期分红上限不应超过相应期间归属于公司股东的净利润。董事会根据股东会决议在符合利润分配的条件下制定具体的中期分红方案。</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（2）公司现金分红的具体条件：</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公司当年盈利且累计未分配利润为正的情况下，采取现金方式分配股利。</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存在以下情形之一的，公司当年可以不进行现金分红或现金分红比例可以少于公司当年实现的可分配利润的10%。</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审计机构当年出具非标准无保留意见的审计报告，或带与持续经营相关的重大不确定性段落的无保留意见审计报告；</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①经审计当年实现的每股可供分配利润低于0.03元；</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②公司有重大投资计划或重大现金支出等事项发生（募集资金项目除外）。</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③重大投资计划或重大现金支出是指：公司未来十二个月内拟对外投资、收购资产、购买设备或者实施其他已经董事会、股东会批准的项目，累计支出达到或者超过公司最近一期经审计总资产的10％。</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3）公司现金分红的比例：在符合《公司法》和公司章程规定的现金分红条件的情况下，公司每年以现金方式分配的利润不少于公司当年实现的可分配利润的10%。且最近三个会计年度内，公司以现金形式分配的利润不少于最近三年实现的年均可分配利润的30%。</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如果董事会在公司盈利的情况下拟不进行现金分红，董事会应当在议案中说明不进行现金分红的原因。</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公司董事会应当综合考虑所处行业特点、发展阶段、自身经营模式、盈利水平、债务偿还能力、是否有重大资金支出安排和投资者回报等因素，区分下列情形，并按本章程规定的程序，提出差异化的现金分红政策：</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①公司发展阶段属成熟期且无重大资金支出安排的，进行利润分配时，现金分红在本次利润分配中所占比例最低应达到80%；</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②公司发展阶段属成熟期且有重大资金支出安排的，进行利润分配时，现金分红在本次利润分配中所占比例最低应达到40%；</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③公司发展阶段属成长期且有重大资金支出安排的，进行利润分配时，现金分红在本次利润分配中所占比例最低应达到20%；</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公司发展阶段不易区分但有重大资金支出安排的，可以按照前项规定处理。</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（4）公司发放股票股利的条件：公司在满足上述现金分红的条件下，可以提出股票股利分配预案。采用股票股利进行利润分配的，应当具有公司成长性、每股净资产的摊薄等真实合理因素。</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（5）若公司营业收入和净利润增长快速，且董事会认为公司股本规模及股权结构合理的前提下，可以在提出现金股利分配预案的同时，提出并实施股票股利分配预案。</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r>
            <w:rPr>
              <w:rFonts w:hint="eastAsia" w:ascii="Times New Roman" w:hAnsi="Times New Roman" w:eastAsia="宋体"/>
              <w:sz w:val="21"/>
              <w:szCs w:val="21"/>
            </w:rPr>
            <w:t>（6）股东违规占有公司资金的，公司应当扣减该股东所分配的现金红利，以偿还其占用的资金。</w:t>
          </w:r>
        </w:p>
        <w:p>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sz w:val="21"/>
            </w:rPr>
          </w:pPr>
          <w:r>
            <w:rPr>
              <w:rFonts w:hint="eastAsia" w:ascii="Times New Roman" w:hAnsi="Times New Roman" w:eastAsia="宋体"/>
              <w:sz w:val="21"/>
              <w:szCs w:val="21"/>
            </w:rPr>
            <w:t>3.2025年度利润分配预案</w:t>
          </w:r>
        </w:p>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rPr>
          </w:pP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both"/>
            <w:textAlignment w:val="auto"/>
            <w:rPr>
              <w:rFonts w:ascii="Times New Roman" w:hAnsi="Times New Roman"/>
              <w:sz w:val="21"/>
            </w:rPr>
          </w:pPr>
          <w:r>
            <w:rPr>
              <w:rFonts w:hint="eastAsia" w:ascii="Times New Roman" w:hAnsi="Times New Roman" w:eastAsia="宋体"/>
              <w:sz w:val="21"/>
              <w:szCs w:val="21"/>
            </w:rPr>
            <w:t xml:space="preserve"> 2025年度公司拟以2025年12月31日公司总股本550,000,000股为基数，向全体股东每10股派发现金红利0.3</w:t>
          </w:r>
          <w:r>
            <w:rPr>
              <w:rFonts w:hint="eastAsia"/>
              <w:sz w:val="21"/>
              <w:szCs w:val="21"/>
              <w:lang w:val="en-US" w:eastAsia="zh-CN"/>
            </w:rPr>
            <w:t>0</w:t>
          </w:r>
          <w:r>
            <w:rPr>
              <w:rFonts w:hint="eastAsia" w:ascii="Times New Roman" w:hAnsi="Times New Roman" w:eastAsia="宋体"/>
              <w:sz w:val="21"/>
              <w:szCs w:val="21"/>
            </w:rPr>
            <w:t>元（含税），合计拟派发现金红利</w:t>
          </w:r>
          <w:r>
            <w:rPr>
              <w:rFonts w:hint="eastAsia" w:ascii="Times New Roman" w:hAnsi="Times New Roman" w:eastAsia="宋体"/>
              <w:sz w:val="21"/>
              <w:szCs w:val="21"/>
              <w:lang w:val="en-US" w:eastAsia="zh-CN"/>
            </w:rPr>
            <w:t>16,50</w:t>
          </w:r>
          <w:r>
            <w:rPr>
              <w:rFonts w:hint="eastAsia" w:ascii="Times New Roman" w:hAnsi="Times New Roman" w:eastAsia="宋体"/>
              <w:sz w:val="21"/>
              <w:szCs w:val="21"/>
            </w:rPr>
            <w:t>0,000.00元（含税）。公司剩余未分配利润结转以后年度，本年度不送股，也不进行资本公积金转增股本。如在实施权益分派的股权登记日前公司总股本发生变动的，公司拟维持每股分配比例不变，相应调整分配总额。</w:t>
          </w:r>
        </w:p>
      </w:sdtContent>
    </w:sdt>
    <w:p/>
    <w:p>
      <w:pPr>
        <w:pStyle w:val="4"/>
        <w:numPr>
          <w:ilvl w:val="0"/>
          <w:numId w:val="27"/>
        </w:numPr>
        <w:ind w:left="450" w:hanging="450"/>
      </w:pPr>
      <w:bookmarkStart w:id="97" w:name="_Hlk89446160"/>
      <w:r>
        <w:t>现金分红政策的专项说明</w:t>
      </w:r>
    </w:p>
    <w:sdt>
      <w:sdtPr>
        <w:alias w:val="是否适用：现金分红政策的专项说明 [双击切换]"/>
        <w:tag w:val="_GBC_715d8b6c04924cf19dcd2347ae32471f"/>
        <w:id w:val="6121"/>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4"/>
        <w:gridCol w:w="1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54" w:type="dxa"/>
            <w:vAlign w:val="center"/>
          </w:tcPr>
          <w:sdt>
            <w:sdtPr>
              <w:tag w:val="_PLD_be5b642d619e47719375899ad34c31f6"/>
              <w:id w:val="6122"/>
            </w:sdtPr>
            <w:sdtContent>
              <w:p>
                <w:r>
                  <w:rPr>
                    <w:rFonts w:hint="eastAsia"/>
                  </w:rPr>
                  <w:t>是否符合公司章程的规定或股东会决议的要求</w:t>
                </w:r>
              </w:p>
            </w:sdtContent>
          </w:sdt>
        </w:tc>
        <w:tc>
          <w:tcPr>
            <w:tcW w:w="1994" w:type="dxa"/>
            <w:vAlign w:val="center"/>
          </w:tcPr>
          <w:sdt>
            <w:sdtPr>
              <w:rPr>
                <w:rFonts w:asciiTheme="minorEastAsia" w:hAnsiTheme="minorEastAsia" w:eastAsiaTheme="minorEastAsia"/>
              </w:rPr>
              <w:alias w:val="是否符合公司章程的规定或股东大会决议的要求[双击切换]"/>
              <w:tag w:val="_GBC_c4c31977f51f4fa0a4f1f65cff248b5c"/>
              <w:id w:val="6123"/>
            </w:sdtPr>
            <w:sdtEndPr>
              <w:rPr>
                <w:rFonts w:asciiTheme="minorEastAsia" w:hAnsiTheme="minorEastAsia" w:eastAsiaTheme="minorEastAsia"/>
              </w:rPr>
            </w:sdtEndPr>
            <w:sdtContent>
              <w:p>
                <w:pPr>
                  <w:jc w:val="center"/>
                  <w:rPr>
                    <w:rFonts w:hint="eastAsia"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 MACROBUTTON  SnrToggleCheckbox √是 </w:instrText>
                </w:r>
                <w:r>
                  <w:rPr>
                    <w:rFonts w:asciiTheme="minorEastAsia" w:hAnsiTheme="minorEastAsia" w:eastAsiaTheme="minorEastAsia"/>
                  </w:rPr>
                  <w:fldChar w:fldCharType="end"/>
                </w:r>
                <w:r>
                  <w:rPr>
                    <w:rFonts w:asciiTheme="minorEastAsia" w:hAnsiTheme="minorEastAsia" w:eastAsiaTheme="minorEastAsia"/>
                  </w:rPr>
                  <w:fldChar w:fldCharType="begin"/>
                </w:r>
                <w:r>
                  <w:rPr>
                    <w:rFonts w:asciiTheme="minorEastAsia" w:hAnsiTheme="minorEastAsia" w:eastAsiaTheme="minorEastAsia"/>
                  </w:rPr>
                  <w:instrText xml:space="preserve"> MACROBUTTON  SnrToggleCheckbox □否 </w:instrText>
                </w:r>
                <w:r>
                  <w:rPr>
                    <w:rFonts w:asciiTheme="minorEastAsia" w:hAnsiTheme="minorEastAsia" w:eastAsiaTheme="minorEastAsia"/>
                  </w:rPr>
                  <w:fldChar w:fldCharType="end"/>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vAlign w:val="center"/>
          </w:tcPr>
          <w:p>
            <w:r>
              <w:rPr>
                <w:rFonts w:hint="eastAsia"/>
              </w:rPr>
              <w:t>分红标准和比例是否明确和清晰</w:t>
            </w:r>
          </w:p>
        </w:tc>
        <w:tc>
          <w:tcPr>
            <w:tcW w:w="1994" w:type="dxa"/>
            <w:vAlign w:val="center"/>
          </w:tcPr>
          <w:sdt>
            <w:sdtPr>
              <w:rPr>
                <w:rFonts w:asciiTheme="minorEastAsia" w:hAnsiTheme="minorEastAsia" w:eastAsiaTheme="minorEastAsia"/>
              </w:rPr>
              <w:alias w:val="分红标准和比例是否明确和清晰[双击切换]"/>
              <w:tag w:val="_GBC_c8bbad0601c544fca3faeac3b11ee218"/>
              <w:id w:val="6124"/>
            </w:sdtPr>
            <w:sdtEndPr>
              <w:rPr>
                <w:rFonts w:asciiTheme="minorEastAsia" w:hAnsiTheme="minorEastAsia" w:eastAsiaTheme="minorEastAsia"/>
              </w:rPr>
            </w:sdtEndPr>
            <w:sdtContent>
              <w:p>
                <w:pPr>
                  <w:jc w:val="center"/>
                  <w:rPr>
                    <w:rFonts w:hint="eastAsia"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 MACROBUTTON  SnrToggleCheckbox √是 </w:instrText>
                </w:r>
                <w:r>
                  <w:rPr>
                    <w:rFonts w:asciiTheme="minorEastAsia" w:hAnsiTheme="minorEastAsia" w:eastAsiaTheme="minorEastAsia"/>
                  </w:rPr>
                  <w:fldChar w:fldCharType="end"/>
                </w:r>
                <w:r>
                  <w:rPr>
                    <w:rFonts w:asciiTheme="minorEastAsia" w:hAnsiTheme="minorEastAsia" w:eastAsiaTheme="minorEastAsia"/>
                  </w:rPr>
                  <w:fldChar w:fldCharType="begin"/>
                </w:r>
                <w:r>
                  <w:rPr>
                    <w:rFonts w:asciiTheme="minorEastAsia" w:hAnsiTheme="minorEastAsia" w:eastAsiaTheme="minorEastAsia"/>
                  </w:rPr>
                  <w:instrText xml:space="preserve"> MACROBUTTON  SnrToggleCheckbox □否 </w:instrText>
                </w:r>
                <w:r>
                  <w:rPr>
                    <w:rFonts w:asciiTheme="minorEastAsia" w:hAnsiTheme="minorEastAsia" w:eastAsiaTheme="minorEastAsia"/>
                  </w:rPr>
                  <w:fldChar w:fldCharType="end"/>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Borders>
              <w:top w:val="single" w:color="auto" w:sz="4" w:space="0"/>
              <w:left w:val="single" w:color="auto" w:sz="4" w:space="0"/>
              <w:bottom w:val="single" w:color="auto" w:sz="4" w:space="0"/>
              <w:right w:val="single" w:color="auto" w:sz="4" w:space="0"/>
            </w:tcBorders>
            <w:vAlign w:val="center"/>
          </w:tcPr>
          <w:p>
            <w:r>
              <w:rPr>
                <w:rFonts w:hint="eastAsia"/>
              </w:rPr>
              <w:t>相关的决策程序和机制是否完备</w:t>
            </w:r>
          </w:p>
        </w:tc>
        <w:tc>
          <w:tcPr>
            <w:tcW w:w="1994" w:type="dxa"/>
            <w:tcBorders>
              <w:top w:val="single" w:color="auto" w:sz="4" w:space="0"/>
              <w:left w:val="single" w:color="auto" w:sz="4" w:space="0"/>
              <w:bottom w:val="single" w:color="auto" w:sz="4" w:space="0"/>
              <w:right w:val="single" w:color="auto" w:sz="4" w:space="0"/>
            </w:tcBorders>
            <w:vAlign w:val="center"/>
          </w:tcPr>
          <w:sdt>
            <w:sdtPr>
              <w:rPr>
                <w:rFonts w:asciiTheme="minorEastAsia" w:hAnsiTheme="minorEastAsia" w:eastAsiaTheme="minorEastAsia"/>
              </w:rPr>
              <w:alias w:val="相关的决策程序和机制是否完备[双击切换]"/>
              <w:tag w:val="_GBC_b2d0d75abb6f4f14a51595902d0ad7b9"/>
              <w:id w:val="6125"/>
            </w:sdtPr>
            <w:sdtEndPr>
              <w:rPr>
                <w:rFonts w:asciiTheme="minorEastAsia" w:hAnsiTheme="minorEastAsia" w:eastAsiaTheme="minorEastAsia"/>
              </w:rPr>
            </w:sdtEndPr>
            <w:sdtContent>
              <w:p>
                <w:pPr>
                  <w:jc w:val="center"/>
                  <w:rPr>
                    <w:rFonts w:hint="eastAsia"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 MACROBUTTON  SnrToggleCheckbox √是 </w:instrText>
                </w:r>
                <w:r>
                  <w:rPr>
                    <w:rFonts w:asciiTheme="minorEastAsia" w:hAnsiTheme="minorEastAsia" w:eastAsiaTheme="minorEastAsia"/>
                  </w:rPr>
                  <w:fldChar w:fldCharType="end"/>
                </w:r>
                <w:r>
                  <w:rPr>
                    <w:rFonts w:asciiTheme="minorEastAsia" w:hAnsiTheme="minorEastAsia" w:eastAsiaTheme="minorEastAsia"/>
                  </w:rPr>
                  <w:fldChar w:fldCharType="begin"/>
                </w:r>
                <w:r>
                  <w:rPr>
                    <w:rFonts w:asciiTheme="minorEastAsia" w:hAnsiTheme="minorEastAsia" w:eastAsiaTheme="minorEastAsia"/>
                  </w:rPr>
                  <w:instrText xml:space="preserve"> MACROBUTTON  SnrToggleCheckbox □否 </w:instrText>
                </w:r>
                <w:r>
                  <w:rPr>
                    <w:rFonts w:asciiTheme="minorEastAsia" w:hAnsiTheme="minorEastAsia" w:eastAsiaTheme="minorEastAsia"/>
                  </w:rPr>
                  <w:fldChar w:fldCharType="end"/>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Borders>
              <w:top w:val="single" w:color="auto" w:sz="4" w:space="0"/>
              <w:left w:val="single" w:color="auto" w:sz="4" w:space="0"/>
              <w:bottom w:val="single" w:color="auto" w:sz="4" w:space="0"/>
              <w:right w:val="single" w:color="auto" w:sz="4" w:space="0"/>
            </w:tcBorders>
            <w:vAlign w:val="center"/>
          </w:tcPr>
          <w:p>
            <w:r>
              <w:rPr>
                <w:rFonts w:hint="eastAsia"/>
              </w:rPr>
              <w:t>独立董事是否履职尽责并发挥了应有的作用</w:t>
            </w:r>
          </w:p>
        </w:tc>
        <w:tc>
          <w:tcPr>
            <w:tcW w:w="1994" w:type="dxa"/>
            <w:tcBorders>
              <w:top w:val="single" w:color="auto" w:sz="4" w:space="0"/>
              <w:left w:val="single" w:color="auto" w:sz="4" w:space="0"/>
              <w:bottom w:val="single" w:color="auto" w:sz="4" w:space="0"/>
              <w:right w:val="single" w:color="auto" w:sz="4" w:space="0"/>
            </w:tcBorders>
            <w:vAlign w:val="center"/>
          </w:tcPr>
          <w:sdt>
            <w:sdtPr>
              <w:rPr>
                <w:rFonts w:asciiTheme="minorEastAsia" w:hAnsiTheme="minorEastAsia" w:eastAsiaTheme="minorEastAsia"/>
              </w:rPr>
              <w:alias w:val="独立董事是否履职尽责并发挥了应有的作用[双击切换]"/>
              <w:tag w:val="_GBC_0b8d249fbcc74af893077c4c7eee16ef"/>
              <w:id w:val="6126"/>
            </w:sdtPr>
            <w:sdtEndPr>
              <w:rPr>
                <w:rFonts w:asciiTheme="minorEastAsia" w:hAnsiTheme="minorEastAsia" w:eastAsiaTheme="minorEastAsia"/>
              </w:rPr>
            </w:sdtEndPr>
            <w:sdtContent>
              <w:p>
                <w:pPr>
                  <w:jc w:val="center"/>
                  <w:rPr>
                    <w:rFonts w:hint="eastAsia"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 MACROBUTTON  SnrToggleCheckbox √是 </w:instrText>
                </w:r>
                <w:r>
                  <w:rPr>
                    <w:rFonts w:asciiTheme="minorEastAsia" w:hAnsiTheme="minorEastAsia" w:eastAsiaTheme="minorEastAsia"/>
                  </w:rPr>
                  <w:fldChar w:fldCharType="end"/>
                </w:r>
                <w:r>
                  <w:rPr>
                    <w:rFonts w:asciiTheme="minorEastAsia" w:hAnsiTheme="minorEastAsia" w:eastAsiaTheme="minorEastAsia"/>
                  </w:rPr>
                  <w:fldChar w:fldCharType="begin"/>
                </w:r>
                <w:r>
                  <w:rPr>
                    <w:rFonts w:asciiTheme="minorEastAsia" w:hAnsiTheme="minorEastAsia" w:eastAsiaTheme="minorEastAsia"/>
                  </w:rPr>
                  <w:instrText xml:space="preserve"> MACROBUTTON  SnrToggleCheckbox □否 </w:instrText>
                </w:r>
                <w:r>
                  <w:rPr>
                    <w:rFonts w:asciiTheme="minorEastAsia" w:hAnsiTheme="minorEastAsia" w:eastAsiaTheme="minorEastAsia"/>
                  </w:rPr>
                  <w:fldChar w:fldCharType="end"/>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Borders>
              <w:top w:val="single" w:color="auto" w:sz="4" w:space="0"/>
              <w:left w:val="single" w:color="auto" w:sz="4" w:space="0"/>
              <w:bottom w:val="single" w:color="auto" w:sz="4" w:space="0"/>
              <w:right w:val="single" w:color="auto" w:sz="4" w:space="0"/>
            </w:tcBorders>
            <w:vAlign w:val="center"/>
          </w:tcPr>
          <w:p>
            <w:r>
              <w:rPr>
                <w:rFonts w:hint="eastAsia"/>
              </w:rPr>
              <w:t>中小股东是否有充分表达意见和诉求的机会，其合法权益是否得到了充分保护</w:t>
            </w:r>
          </w:p>
        </w:tc>
        <w:tc>
          <w:tcPr>
            <w:tcW w:w="1994" w:type="dxa"/>
            <w:tcBorders>
              <w:top w:val="single" w:color="auto" w:sz="4" w:space="0"/>
              <w:left w:val="single" w:color="auto" w:sz="4" w:space="0"/>
              <w:bottom w:val="single" w:color="auto" w:sz="4" w:space="0"/>
              <w:right w:val="single" w:color="auto" w:sz="4" w:space="0"/>
            </w:tcBorders>
            <w:vAlign w:val="center"/>
          </w:tcPr>
          <w:sdt>
            <w:sdtPr>
              <w:rPr>
                <w:rFonts w:asciiTheme="minorEastAsia" w:hAnsiTheme="minorEastAsia" w:eastAsiaTheme="minorEastAsia"/>
              </w:rPr>
              <w:alias w:val="中小股东是否有充分表达意见和诉求的机会，其合法权益是否得到了充分保护[双击切换]"/>
              <w:tag w:val="_GBC_827122507d054bfd80b4c5e8d243a91b"/>
              <w:id w:val="6127"/>
            </w:sdtPr>
            <w:sdtEndPr>
              <w:rPr>
                <w:rFonts w:asciiTheme="minorEastAsia" w:hAnsiTheme="minorEastAsia" w:eastAsiaTheme="minorEastAsia"/>
              </w:rPr>
            </w:sdtEndPr>
            <w:sdtContent>
              <w:p>
                <w:pPr>
                  <w:jc w:val="center"/>
                  <w:rPr>
                    <w:rFonts w:hint="eastAsia"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 MACROBUTTON  SnrToggleCheckbox √是 </w:instrText>
                </w:r>
                <w:r>
                  <w:rPr>
                    <w:rFonts w:asciiTheme="minorEastAsia" w:hAnsiTheme="minorEastAsia" w:eastAsiaTheme="minorEastAsia"/>
                  </w:rPr>
                  <w:fldChar w:fldCharType="end"/>
                </w:r>
                <w:r>
                  <w:rPr>
                    <w:rFonts w:asciiTheme="minorEastAsia" w:hAnsiTheme="minorEastAsia" w:eastAsiaTheme="minorEastAsia"/>
                  </w:rPr>
                  <w:fldChar w:fldCharType="begin"/>
                </w:r>
                <w:r>
                  <w:rPr>
                    <w:rFonts w:asciiTheme="minorEastAsia" w:hAnsiTheme="minorEastAsia" w:eastAsiaTheme="minorEastAsia"/>
                  </w:rPr>
                  <w:instrText xml:space="preserve"> MACROBUTTON  SnrToggleCheckbox □否 </w:instrText>
                </w:r>
                <w:r>
                  <w:rPr>
                    <w:rFonts w:asciiTheme="minorEastAsia" w:hAnsiTheme="minorEastAsia" w:eastAsiaTheme="minorEastAsia"/>
                  </w:rPr>
                  <w:fldChar w:fldCharType="end"/>
                </w:r>
              </w:p>
            </w:sdtContent>
          </w:sdt>
        </w:tc>
      </w:tr>
    </w:tbl>
    <w:p/>
    <w:bookmarkEnd w:id="97"/>
    <w:p>
      <w:pPr>
        <w:pStyle w:val="4"/>
        <w:numPr>
          <w:ilvl w:val="0"/>
          <w:numId w:val="27"/>
        </w:numPr>
        <w:ind w:left="0" w:firstLine="0"/>
      </w:pPr>
      <w:r>
        <w:rPr>
          <w:rFonts w:hint="eastAsia"/>
        </w:rPr>
        <w:t>报告期内盈利且母公司可供股东分配利润为正，但未提出现金利润分配方案预案的，公司应当详细披露原因以及未分配利润的用途和使用计划</w:t>
      </w:r>
    </w:p>
    <w:sdt>
      <w:sdtPr>
        <w:alias w:val="是否适用：公司本报告期内盈利但未提出现金利润分配预案[双击切换]"/>
        <w:tag w:val="_GBC_5eea41352c0e4778a6748c9a20117653"/>
        <w:id w:val="6128"/>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4"/>
        <w:numPr>
          <w:ilvl w:val="0"/>
          <w:numId w:val="27"/>
        </w:numPr>
        <w:ind w:left="450" w:hanging="450"/>
      </w:pPr>
      <w:r>
        <w:rPr>
          <w:rFonts w:hint="eastAsia"/>
        </w:rPr>
        <w:t>本报告期利润分配及资本公积金转增股本预案</w:t>
      </w:r>
    </w:p>
    <w:sdt>
      <w:sdtPr>
        <w:alias w:val="是否适用：利润分配及资本公积金转增股本情况[双击切换]"/>
        <w:tag w:val="_GBC_495a4ba42a0f42f09a8ad4b2fade6559"/>
        <w:id w:val="6129"/>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利润分配及资本公积金转增股本情况"/>
          <w:tag w:val="_GBC_13401d941a944aa6845e12add2d0dd0e"/>
          <w:id w:val="613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利润分配及资本公积金转增股本情况"/>
          <w:tag w:val="_GBC_7b66af31a51f46208037a812a69070e9"/>
          <w:id w:val="6131"/>
          <w:placeholder>
            <w:docPart w:val="GBC22222222222222222222222222222"/>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5175"/>
        <w:gridCol w:w="3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380" w:hRule="atLeast"/>
        </w:trPr>
        <w:tc>
          <w:tcPr>
            <w:tcW w:w="5175" w:type="dxa"/>
            <w:vAlign w:val="center"/>
          </w:tcPr>
          <w:sdt>
            <w:sdtPr>
              <w:tag w:val="_PLD_28cd685f5155420cab6b327b3f81025e"/>
              <w:id w:val="6132"/>
            </w:sdtPr>
            <w:sdtContent>
              <w:p>
                <w:r>
                  <w:t>每10股送红股数（股）</w:t>
                </w:r>
              </w:p>
            </w:sdtContent>
          </w:sdt>
        </w:tc>
        <w:tc>
          <w:tcPr>
            <w:tcW w:w="3883" w:type="dxa"/>
            <w:vAlign w:val="center"/>
          </w:tcPr>
          <w:sdt>
            <w:sdtPr>
              <w:alias w:val="每10股送红股数"/>
              <w:tag w:val="_GBC_58f0c45405b7481688ebf758a6c2771d"/>
              <w:id w:val="6133"/>
            </w:sdtPr>
            <w:sdtContent>
              <w:p>
                <w:pPr>
                  <w:jc w:val="right"/>
                </w:pPr>
                <w:r>
                  <w:t>0</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340" w:hRule="atLeast"/>
        </w:trPr>
        <w:tc>
          <w:tcPr>
            <w:tcW w:w="5175" w:type="dxa"/>
            <w:vAlign w:val="center"/>
          </w:tcPr>
          <w:p>
            <w:r>
              <w:rPr>
                <w:rFonts w:hint="eastAsia"/>
              </w:rPr>
              <w:t>每</w:t>
            </w:r>
            <w:r>
              <w:t>10</w:t>
            </w:r>
            <w:r>
              <w:rPr>
                <w:rFonts w:hint="eastAsia"/>
              </w:rPr>
              <w:t>股派息数（元）（含税）</w:t>
            </w:r>
          </w:p>
        </w:tc>
        <w:tc>
          <w:tcPr>
            <w:tcW w:w="3883" w:type="dxa"/>
            <w:vAlign w:val="center"/>
          </w:tcPr>
          <w:p>
            <w:pPr>
              <w:jc w:val="right"/>
              <w:rPr>
                <w:rFonts w:hint="eastAsia" w:eastAsia="宋体"/>
                <w:lang w:eastAsia="zh-CN"/>
              </w:rPr>
            </w:pPr>
            <w:r>
              <w:rPr>
                <w:rFonts w:hint="eastAsia"/>
                <w:color w:val="auto"/>
              </w:rPr>
              <w:t>0.3</w:t>
            </w:r>
            <w:r>
              <w:rPr>
                <w:rFonts w:hint="eastAsia"/>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340" w:hRule="atLeast"/>
        </w:trPr>
        <w:tc>
          <w:tcPr>
            <w:tcW w:w="5175" w:type="dxa"/>
            <w:vAlign w:val="center"/>
          </w:tcPr>
          <w:p>
            <w:r>
              <w:rPr>
                <w:rFonts w:hint="eastAsia"/>
              </w:rPr>
              <w:t>每</w:t>
            </w:r>
            <w:r>
              <w:t>10</w:t>
            </w:r>
            <w:r>
              <w:rPr>
                <w:rFonts w:hint="eastAsia"/>
              </w:rPr>
              <w:t>股转增数（股）</w:t>
            </w:r>
          </w:p>
        </w:tc>
        <w:tc>
          <w:tcPr>
            <w:tcW w:w="3883" w:type="dxa"/>
            <w:vAlign w:val="center"/>
          </w:tcPr>
          <w:p>
            <w:pPr>
              <w:jc w:val="right"/>
            </w:pPr>
            <w:r>
              <w:rPr>
                <w:rFonts w:hint="eastAsia"/>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340" w:hRule="atLeast"/>
        </w:trPr>
        <w:tc>
          <w:tcPr>
            <w:tcW w:w="5175" w:type="dxa"/>
            <w:vAlign w:val="center"/>
          </w:tcPr>
          <w:p>
            <w:r>
              <w:rPr>
                <w:rFonts w:hint="eastAsia"/>
              </w:rPr>
              <w:t>现金分红金额（含税）</w:t>
            </w:r>
          </w:p>
        </w:tc>
        <w:tc>
          <w:tcPr>
            <w:tcW w:w="3883" w:type="dxa"/>
            <w:vAlign w:val="center"/>
          </w:tcPr>
          <w:p>
            <w:pPr>
              <w:jc w:val="right"/>
            </w:pPr>
            <w:r>
              <w:rPr>
                <w:rFonts w:hint="eastAsia"/>
              </w:rPr>
              <w:t>16,500,000.00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340" w:hRule="atLeast"/>
        </w:trPr>
        <w:tc>
          <w:tcPr>
            <w:tcW w:w="5175" w:type="dxa"/>
            <w:tcBorders>
              <w:top w:val="single" w:color="auto" w:sz="4" w:space="0"/>
              <w:left w:val="single" w:color="auto" w:sz="4" w:space="0"/>
              <w:bottom w:val="single" w:color="auto" w:sz="4" w:space="0"/>
              <w:right w:val="single" w:color="auto" w:sz="4" w:space="0"/>
            </w:tcBorders>
            <w:vAlign w:val="center"/>
          </w:tcPr>
          <w:p>
            <w:r>
              <w:t>合并报表中归属于上市公司</w:t>
            </w:r>
            <w:r>
              <w:rPr>
                <w:rFonts w:hint="eastAsia"/>
              </w:rPr>
              <w:t>普通股</w:t>
            </w:r>
            <w:r>
              <w:t>股东的净利润</w:t>
            </w:r>
          </w:p>
        </w:tc>
        <w:tc>
          <w:tcPr>
            <w:tcW w:w="3883"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9,846,147.90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340" w:hRule="atLeast"/>
        </w:trPr>
        <w:tc>
          <w:tcPr>
            <w:tcW w:w="5175" w:type="dxa"/>
            <w:tcBorders>
              <w:top w:val="single" w:color="auto" w:sz="4" w:space="0"/>
              <w:left w:val="single" w:color="auto" w:sz="4" w:space="0"/>
              <w:bottom w:val="single" w:color="auto" w:sz="4" w:space="0"/>
              <w:right w:val="single" w:color="auto" w:sz="4" w:space="0"/>
            </w:tcBorders>
            <w:vAlign w:val="center"/>
          </w:tcPr>
          <w:p>
            <w:r>
              <w:rPr>
                <w:rFonts w:hint="eastAsia"/>
              </w:rPr>
              <w:t>现金分红金额</w:t>
            </w:r>
            <w:r>
              <w:t>占合并报表中归属于上市公司</w:t>
            </w:r>
            <w:r>
              <w:rPr>
                <w:rFonts w:hint="eastAsia"/>
              </w:rPr>
              <w:t>普通股</w:t>
            </w:r>
            <w:r>
              <w:t>股东的净利润的比率</w:t>
            </w:r>
            <w:bookmarkStart w:id="98" w:name="OLE_LINK4"/>
            <w:r>
              <w:rPr>
                <w:rFonts w:hint="eastAsia"/>
              </w:rPr>
              <w:t>（%）</w:t>
            </w:r>
          </w:p>
          <w:bookmarkEnd w:id="98"/>
        </w:tc>
        <w:tc>
          <w:tcPr>
            <w:tcW w:w="3883"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rPr>
              <w:t>167.58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340" w:hRule="atLeast"/>
        </w:trPr>
        <w:tc>
          <w:tcPr>
            <w:tcW w:w="5175" w:type="dxa"/>
            <w:vAlign w:val="center"/>
          </w:tcPr>
          <w:p>
            <w:r>
              <w:rPr>
                <w:rFonts w:hint="eastAsia"/>
              </w:rPr>
              <w:t>以</w:t>
            </w:r>
            <w:r>
              <w:t>现金方式回购股份计入现金分红的</w:t>
            </w:r>
            <w:r>
              <w:rPr>
                <w:rFonts w:hint="eastAsia"/>
              </w:rPr>
              <w:t>金额</w:t>
            </w:r>
          </w:p>
        </w:tc>
        <w:tc>
          <w:tcPr>
            <w:tcW w:w="3883" w:type="dxa"/>
            <w:vAlign w:val="center"/>
          </w:tcPr>
          <w:p>
            <w:pPr>
              <w:jc w:val="right"/>
            </w:pPr>
            <w:r>
              <w:rPr>
                <w:rFonts w:hint="eastAsia"/>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340" w:hRule="atLeast"/>
        </w:trPr>
        <w:tc>
          <w:tcPr>
            <w:tcW w:w="5175" w:type="dxa"/>
            <w:vAlign w:val="center"/>
          </w:tcPr>
          <w:p>
            <w:r>
              <w:rPr>
                <w:rFonts w:hint="eastAsia"/>
              </w:rPr>
              <w:t>合计分红金额（含税）</w:t>
            </w:r>
          </w:p>
        </w:tc>
        <w:tc>
          <w:tcPr>
            <w:tcW w:w="3883" w:type="dxa"/>
            <w:vAlign w:val="center"/>
          </w:tcPr>
          <w:p>
            <w:pPr>
              <w:jc w:val="right"/>
            </w:pPr>
            <w:r>
              <w:rPr>
                <w:rFonts w:hint="eastAsia"/>
              </w:rPr>
              <w:t>16,500,000.00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340" w:hRule="atLeast"/>
        </w:trPr>
        <w:tc>
          <w:tcPr>
            <w:tcW w:w="5175" w:type="dxa"/>
            <w:vAlign w:val="center"/>
          </w:tcPr>
          <w:p>
            <w:r>
              <w:rPr>
                <w:rFonts w:hint="eastAsia"/>
              </w:rPr>
              <w:t>合计分红金额</w:t>
            </w:r>
            <w:r>
              <w:t>占合并报表中归属于上市公司</w:t>
            </w:r>
            <w:r>
              <w:rPr>
                <w:rFonts w:hint="eastAsia"/>
              </w:rPr>
              <w:t>普通股</w:t>
            </w:r>
            <w:r>
              <w:t>股东的净利润的比率</w:t>
            </w:r>
            <w:r>
              <w:rPr>
                <w:rFonts w:hint="eastAsia"/>
              </w:rPr>
              <w:t>（%）</w:t>
            </w:r>
          </w:p>
        </w:tc>
        <w:tc>
          <w:tcPr>
            <w:tcW w:w="3883" w:type="dxa"/>
            <w:vAlign w:val="center"/>
          </w:tcPr>
          <w:p>
            <w:pPr>
              <w:jc w:val="right"/>
            </w:pPr>
            <w:r>
              <w:rPr>
                <w:rFonts w:hint="eastAsia"/>
              </w:rPr>
              <w:t>167.58</w:t>
            </w:r>
          </w:p>
        </w:tc>
      </w:tr>
    </w:tbl>
    <w:p/>
    <w:p>
      <w:pPr>
        <w:pStyle w:val="4"/>
        <w:numPr>
          <w:ilvl w:val="0"/>
          <w:numId w:val="27"/>
        </w:numPr>
        <w:ind w:left="450" w:hanging="450"/>
      </w:pPr>
      <w:bookmarkStart w:id="99" w:name="_Hlk183089680"/>
      <w:r>
        <w:rPr>
          <w:rFonts w:hint="eastAsia"/>
        </w:rPr>
        <w:t>最近三个会计年度现金分红情况</w:t>
      </w:r>
    </w:p>
    <w:sdt>
      <w:sdtPr>
        <w:rPr>
          <w:rFonts w:hint="eastAsia"/>
        </w:rPr>
        <w:alias w:val="是否适用：最近三个会计年度现金分红情况[双击切换]"/>
        <w:tag w:val="_GBC_28e549783f2141f4b4d8c360788bf33d"/>
        <w:id w:val="6134"/>
        <w:placeholder>
          <w:docPart w:val="GBC22222222222222222222222222222"/>
        </w:placeholder>
      </w:sdtPr>
      <w:sdtEndPr>
        <w:rPr>
          <w:rFonts w:hint="eastAsia"/>
        </w:rPr>
      </w:sdtEndPr>
      <w:sdtContent>
        <w:p>
          <w:r>
            <w:rPr>
              <w:rFonts w:hint="eastAsia" w:ascii="宋体" w:hAnsi="宋体"/>
            </w:rPr>
            <w:fldChar w:fldCharType="begin"/>
          </w:r>
          <w:r>
            <w:rPr>
              <w:rFonts w:hint="eastAsia" w:ascii="宋体" w:hAnsi="宋体"/>
            </w:rPr>
            <w:instrText xml:space="preserve"> MACROBUTTON  SnrToggleCheckbox √适用 </w:instrText>
          </w:r>
          <w:r>
            <w:rPr>
              <w:rFonts w:hint="eastAsia" w:ascii="宋体" w:hAnsi="宋体"/>
            </w:rPr>
            <w:fldChar w:fldCharType="end"/>
          </w:r>
          <w:r>
            <w:rPr>
              <w:rFonts w:hint="eastAsia" w:ascii="宋体" w:hAnsi="宋体"/>
            </w:rPr>
            <w:fldChar w:fldCharType="begin"/>
          </w:r>
          <w:r>
            <w:rPr>
              <w:rFonts w:hint="eastAsia" w:ascii="宋体" w:hAnsi="宋体"/>
            </w:rPr>
            <w:instrText xml:space="preserve"> MACROBUTTON  SnrToggleCheckbox □不适用 </w:instrText>
          </w:r>
          <w:r>
            <w:rPr>
              <w:rFonts w:hint="eastAsia" w:ascii="宋体" w:hAnsi="宋体"/>
            </w:rPr>
            <w:fldChar w:fldCharType="end"/>
          </w:r>
        </w:p>
      </w:sdtContent>
    </w:sdt>
    <w:p>
      <w:pPr>
        <w:jc w:val="right"/>
      </w:pPr>
      <w:r>
        <w:rPr>
          <w:rFonts w:hint="eastAsia"/>
          <w:szCs w:val="21"/>
        </w:rPr>
        <w:t>单位：</w:t>
      </w:r>
      <w:sdt>
        <w:sdtPr>
          <w:rPr>
            <w:rFonts w:hint="eastAsia"/>
            <w:szCs w:val="21"/>
          </w:rPr>
          <w:alias w:val="单位：最近三个会计年度现金分红情况"/>
          <w:tag w:val="_GBC_b8634c7351cc405bb925f28f0a63105b"/>
          <w:id w:val="613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最近三个会计年度现金分红情况"/>
          <w:tag w:val="_GBC_f92d810bf34147c190eacf6f794855d7"/>
          <w:id w:val="6136"/>
          <w:placeholder>
            <w:docPart w:val="GBC22222222222222222222222222222"/>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rPr>
            <w:rFonts w:hint="eastAsia"/>
            <w:szCs w:val="21"/>
          </w:rPr>
        </w:sdtEndPr>
        <w:sdtContent>
          <w:r>
            <w:rPr>
              <w:rFonts w:hint="eastAsia"/>
              <w:szCs w:val="21"/>
            </w:rPr>
            <w:t>人民币</w:t>
          </w:r>
        </w:sdtContent>
      </w:sdt>
      <w:r>
        <w:rPr>
          <w:rFonts w:hint="eastAsia"/>
        </w:rPr>
        <w:t xml:space="preserve"> </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5218"/>
        <w:gridCol w:w="3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340" w:hRule="atLeast"/>
        </w:trPr>
        <w:tc>
          <w:tcPr>
            <w:tcW w:w="5218" w:type="dxa"/>
            <w:vAlign w:val="center"/>
          </w:tcPr>
          <w:sdt>
            <w:sdtPr>
              <w:tag w:val="_PLD_f2d866feb6ed4bba8cf4399521757247"/>
              <w:id w:val="6137"/>
            </w:sdtPr>
            <w:sdtContent>
              <w:p>
                <w:r>
                  <w:rPr>
                    <w:rFonts w:hint="eastAsia"/>
                  </w:rPr>
                  <w:t>最近三个会计年度累计现金分红金额（含税）(1)</w:t>
                </w:r>
              </w:p>
            </w:sdtContent>
          </w:sdt>
        </w:tc>
        <w:tc>
          <w:tcPr>
            <w:tcW w:w="3835" w:type="dxa"/>
            <w:vAlign w:val="center"/>
          </w:tcPr>
          <w:sdt>
            <w:sdtPr>
              <w:rPr>
                <w:rFonts w:hint="eastAsia"/>
              </w:rPr>
              <w:alias w:val="最近三个会计年度累计现金分红金额"/>
              <w:tag w:val="_GBC_7995ca7746b5435e81fa91542e8c70a3"/>
              <w:id w:val="6138"/>
            </w:sdtPr>
            <w:sdtEndPr>
              <w:rPr>
                <w:rFonts w:hint="eastAsia"/>
              </w:rPr>
            </w:sdtEndPr>
            <w:sdtContent>
              <w:p>
                <w:pPr>
                  <w:jc w:val="right"/>
                </w:pPr>
                <w:r>
                  <w:rPr>
                    <w:rFonts w:hint="eastAsia" w:ascii="Times New Roman" w:hAnsi="Times New Roman" w:eastAsia="宋体" w:cs="Times New Roman"/>
                    <w:i w:val="0"/>
                    <w:iCs w:val="0"/>
                    <w:color w:val="000000"/>
                    <w:kern w:val="0"/>
                    <w:sz w:val="21"/>
                    <w:szCs w:val="21"/>
                    <w:u w:val="none"/>
                    <w:lang w:val="en-US" w:eastAsia="zh-CN" w:bidi="ar"/>
                  </w:rPr>
                  <w:t>49,500,000.00</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340" w:hRule="atLeast"/>
        </w:trPr>
        <w:tc>
          <w:tcPr>
            <w:tcW w:w="5218" w:type="dxa"/>
            <w:vAlign w:val="center"/>
          </w:tcPr>
          <w:p>
            <w:r>
              <w:rPr>
                <w:rFonts w:hint="eastAsia"/>
              </w:rPr>
              <w:t>最近三个会计年度累计回购并注销金额</w:t>
            </w:r>
            <w:r>
              <w:t>(</w:t>
            </w:r>
            <w:r>
              <w:rPr>
                <w:rFonts w:hint="eastAsia"/>
              </w:rPr>
              <w:t>2</w:t>
            </w:r>
            <w:r>
              <w:t>)</w:t>
            </w:r>
          </w:p>
        </w:tc>
        <w:tc>
          <w:tcPr>
            <w:tcW w:w="3835" w:type="dxa"/>
            <w:vAlign w:val="center"/>
          </w:tcPr>
          <w:p>
            <w:pPr>
              <w:jc w:val="right"/>
            </w:pPr>
            <w:r>
              <w:rPr>
                <w:rStyle w:val="71"/>
                <w:rFonts w:hint="eastAsia"/>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340" w:hRule="atLeast"/>
        </w:trPr>
        <w:tc>
          <w:tcPr>
            <w:tcW w:w="5218" w:type="dxa"/>
            <w:vAlign w:val="center"/>
          </w:tcPr>
          <w:p>
            <w:r>
              <w:rPr>
                <w:rFonts w:hint="eastAsia"/>
              </w:rPr>
              <w:t>最近三个会计年度现金分红和回购并注销累计金额</w:t>
            </w:r>
            <w:r>
              <w:t>(</w:t>
            </w:r>
            <w:r>
              <w:rPr>
                <w:rFonts w:hint="eastAsia"/>
              </w:rPr>
              <w:t>3</w:t>
            </w:r>
            <w:r>
              <w:t>)=(1)+(</w:t>
            </w:r>
            <w:r>
              <w:rPr>
                <w:rFonts w:hint="eastAsia"/>
              </w:rPr>
              <w:t>2</w:t>
            </w:r>
            <w:r>
              <w:t>)</w:t>
            </w:r>
          </w:p>
        </w:tc>
        <w:tc>
          <w:tcPr>
            <w:tcW w:w="3835" w:type="dxa"/>
            <w:vAlign w:val="center"/>
          </w:tcPr>
          <w:p>
            <w:pPr>
              <w:jc w:val="right"/>
            </w:pPr>
            <w:r>
              <w:rPr>
                <w:rFonts w:hint="eastAsia" w:ascii="Times New Roman" w:hAnsi="Times New Roman" w:eastAsia="宋体" w:cs="Times New Roman"/>
                <w:i w:val="0"/>
                <w:iCs w:val="0"/>
                <w:color w:val="000000"/>
                <w:kern w:val="0"/>
                <w:sz w:val="21"/>
                <w:szCs w:val="21"/>
                <w:u w:val="none"/>
                <w:lang w:val="en-US" w:eastAsia="zh-CN" w:bidi="ar"/>
              </w:rPr>
              <w:t>49,500,000.00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340" w:hRule="atLeast"/>
        </w:trPr>
        <w:tc>
          <w:tcPr>
            <w:tcW w:w="5218" w:type="dxa"/>
            <w:vAlign w:val="center"/>
          </w:tcPr>
          <w:p>
            <w:r>
              <w:rPr>
                <w:rFonts w:hint="eastAsia"/>
              </w:rPr>
              <w:t>最近三个会计年度年均净利润金额</w:t>
            </w:r>
            <w:r>
              <w:t>(</w:t>
            </w:r>
            <w:r>
              <w:rPr>
                <w:rFonts w:hint="eastAsia"/>
              </w:rPr>
              <w:t>4</w:t>
            </w:r>
            <w:r>
              <w:t>)</w:t>
            </w:r>
          </w:p>
        </w:tc>
        <w:tc>
          <w:tcPr>
            <w:tcW w:w="3835" w:type="dxa"/>
            <w:vAlign w:val="center"/>
          </w:tcPr>
          <w:p>
            <w:pPr>
              <w:jc w:val="right"/>
            </w:pPr>
            <w:r>
              <w:rPr>
                <w:rStyle w:val="71"/>
                <w:rFonts w:hint="eastAsia"/>
                <w:color w:val="auto"/>
              </w:rPr>
              <w:t>37,917,207.54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340" w:hRule="atLeast"/>
        </w:trPr>
        <w:tc>
          <w:tcPr>
            <w:tcW w:w="5218" w:type="dxa"/>
            <w:vAlign w:val="center"/>
          </w:tcPr>
          <w:p>
            <w:r>
              <w:rPr>
                <w:rFonts w:hint="eastAsia"/>
              </w:rPr>
              <w:t>最近三个会计年度现金分红比例（%）</w:t>
            </w:r>
            <w:r>
              <w:t>(5)=(3)/(4)</w:t>
            </w:r>
          </w:p>
        </w:tc>
        <w:tc>
          <w:tcPr>
            <w:tcW w:w="3835" w:type="dxa"/>
            <w:vAlign w:val="center"/>
          </w:tcPr>
          <w:p>
            <w:pPr>
              <w:jc w:val="right"/>
            </w:pPr>
            <w:r>
              <w:rPr>
                <w:rFonts w:hint="eastAsia" w:ascii="Times New Roman" w:hAnsi="Times New Roman" w:eastAsia="宋体" w:cs="Times New Roman"/>
                <w:i w:val="0"/>
                <w:iCs w:val="0"/>
                <w:color w:val="000000"/>
                <w:kern w:val="0"/>
                <w:sz w:val="21"/>
                <w:szCs w:val="21"/>
                <w:u w:val="none"/>
                <w:lang w:val="en-US" w:eastAsia="zh-CN" w:bidi="ar"/>
              </w:rPr>
              <w:t>130.55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340" w:hRule="atLeast"/>
        </w:trPr>
        <w:tc>
          <w:tcPr>
            <w:tcW w:w="5218" w:type="dxa"/>
            <w:vAlign w:val="center"/>
          </w:tcPr>
          <w:p>
            <w:r>
              <w:rPr>
                <w:rFonts w:hint="eastAsia"/>
              </w:rPr>
              <w:t>最近一个会计年度</w:t>
            </w:r>
            <w:r>
              <w:t>合并报表</w:t>
            </w:r>
            <w:r>
              <w:rPr>
                <w:rFonts w:hint="eastAsia"/>
              </w:rPr>
              <w:t>中</w:t>
            </w:r>
            <w:r>
              <w:t>归属于上市公司</w:t>
            </w:r>
            <w:r>
              <w:rPr>
                <w:rFonts w:hint="eastAsia"/>
              </w:rPr>
              <w:t>普通股</w:t>
            </w:r>
            <w:r>
              <w:t>股东的净利润</w:t>
            </w:r>
          </w:p>
        </w:tc>
        <w:tc>
          <w:tcPr>
            <w:tcW w:w="3835" w:type="dxa"/>
            <w:vAlign w:val="center"/>
          </w:tcPr>
          <w:p>
            <w:pPr>
              <w:jc w:val="right"/>
              <w:rPr>
                <w:highlight w:val="none"/>
              </w:rPr>
            </w:pPr>
            <w:r>
              <w:rPr>
                <w:rStyle w:val="71"/>
                <w:rFonts w:hint="eastAsia"/>
                <w:color w:val="auto"/>
                <w:highlight w:val="none"/>
              </w:rPr>
              <w:t>9,846,147.90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340" w:hRule="atLeast"/>
        </w:trPr>
        <w:tc>
          <w:tcPr>
            <w:tcW w:w="5218" w:type="dxa"/>
            <w:vAlign w:val="center"/>
          </w:tcPr>
          <w:p>
            <w:r>
              <w:rPr>
                <w:rFonts w:hint="eastAsia"/>
              </w:rPr>
              <w:t>最近一个会计年度母公司报表年度末未分配利润</w:t>
            </w:r>
          </w:p>
        </w:tc>
        <w:tc>
          <w:tcPr>
            <w:tcW w:w="3835" w:type="dxa"/>
            <w:vAlign w:val="center"/>
          </w:tcPr>
          <w:p>
            <w:pPr>
              <w:jc w:val="right"/>
              <w:rPr>
                <w:highlight w:val="none"/>
              </w:rPr>
            </w:pPr>
            <w:r>
              <w:rPr>
                <w:rStyle w:val="71"/>
                <w:rFonts w:hint="eastAsia"/>
                <w:color w:val="auto"/>
                <w:highlight w:val="none"/>
              </w:rPr>
              <w:t>677,158,662.16</w:t>
            </w:r>
          </w:p>
        </w:tc>
      </w:tr>
    </w:tbl>
    <w:p/>
    <w:bookmarkEnd w:id="99"/>
    <w:p>
      <w:pPr>
        <w:pStyle w:val="3"/>
        <w:numPr>
          <w:ilvl w:val="0"/>
          <w:numId w:val="21"/>
        </w:numPr>
        <w:ind w:left="450" w:hanging="450"/>
      </w:pPr>
      <w:bookmarkStart w:id="100" w:name="_Toc342491956"/>
      <w:bookmarkStart w:id="101" w:name="_Toc342565948"/>
      <w:r>
        <w:rPr>
          <w:rFonts w:hint="eastAsia"/>
        </w:rPr>
        <w:t>公司股权激励计划、员工持股计划或其他员工激励措施的情况及其影响</w:t>
      </w:r>
      <w:bookmarkEnd w:id="100"/>
      <w:bookmarkEnd w:id="101"/>
    </w:p>
    <w:p>
      <w:pPr>
        <w:pStyle w:val="4"/>
        <w:numPr>
          <w:ilvl w:val="1"/>
          <w:numId w:val="28"/>
        </w:numPr>
        <w:rPr>
          <w:kern w:val="44"/>
          <w:szCs w:val="21"/>
        </w:rPr>
      </w:pPr>
      <w:bookmarkStart w:id="102" w:name="_Toc342565949"/>
      <w:bookmarkStart w:id="103" w:name="_Toc342491957"/>
      <w:r>
        <w:rPr>
          <w:rFonts w:hint="eastAsia"/>
          <w:kern w:val="44"/>
          <w:szCs w:val="21"/>
        </w:rPr>
        <w:t>相关激励事项已在临时公告披露且后续实施无进展或变化的</w:t>
      </w:r>
      <w:bookmarkEnd w:id="102"/>
      <w:bookmarkEnd w:id="103"/>
    </w:p>
    <w:sdt>
      <w:sdtPr>
        <w:alias w:val="是否适用：相关激励事项已在临时公告披露且后续实施无进展或变化的[双击切换]"/>
        <w:tag w:val="_GBC_0af9dca2858d42619c57d7878f3a7792"/>
        <w:id w:val="6139"/>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4"/>
        <w:numPr>
          <w:ilvl w:val="1"/>
          <w:numId w:val="28"/>
        </w:numPr>
        <w:rPr>
          <w:kern w:val="44"/>
          <w:szCs w:val="21"/>
        </w:rPr>
      </w:pPr>
      <w:r>
        <w:rPr>
          <w:rFonts w:hint="eastAsia"/>
          <w:kern w:val="44"/>
          <w:szCs w:val="21"/>
        </w:rPr>
        <w:t>临时公告未披露或有后续进展的激励情况</w:t>
      </w:r>
    </w:p>
    <w:p>
      <w:r>
        <w:rPr>
          <w:rFonts w:hint="eastAsia"/>
        </w:rPr>
        <w:t>股权激励情况</w:t>
      </w:r>
    </w:p>
    <w:p>
      <w:sdt>
        <w:sdtPr>
          <w:alias w:val="是否适用：股权激励情况[双击切换]"/>
          <w:tag w:val="_GBC_002ad948ce1449c2a805bfbb132b2202"/>
          <w:id w:val="6140"/>
          <w:placeholder>
            <w:docPart w:val="GBC22222222222222222222222222222"/>
          </w:placeholder>
        </w:sdtPr>
        <w:sdtContent>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pPr>
        <w:rPr>
          <w:szCs w:val="21"/>
        </w:rPr>
      </w:pPr>
      <w:r>
        <w:rPr>
          <w:rFonts w:hint="eastAsia"/>
          <w:szCs w:val="21"/>
        </w:rPr>
        <w:t>其他说明：</w:t>
      </w:r>
    </w:p>
    <w:sdt>
      <w:sdtPr>
        <w:rPr>
          <w:rFonts w:hint="eastAsia"/>
          <w:szCs w:val="21"/>
        </w:rPr>
        <w:alias w:val="是否适用：股权激励情况的说明[双击切换]"/>
        <w:tag w:val="_GBC_67421581adf34d0f9f06e3042b8d7199"/>
        <w:id w:val="6141"/>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rPr>
          <w:bCs/>
          <w:szCs w:val="21"/>
        </w:rPr>
      </w:pPr>
      <w:r>
        <w:rPr>
          <w:rFonts w:hint="eastAsia"/>
          <w:bCs/>
          <w:szCs w:val="21"/>
        </w:rPr>
        <w:t>员工持股计划情况</w:t>
      </w:r>
    </w:p>
    <w:sdt>
      <w:sdtPr>
        <w:rPr>
          <w:rFonts w:hint="eastAsia"/>
          <w:bCs/>
          <w:szCs w:val="21"/>
        </w:rPr>
        <w:alias w:val="是否适用：员工持股计划情况[双击切换]"/>
        <w:tag w:val="_GBC_58bc54aaaba24427a2a569de76f7f83e"/>
        <w:id w:val="6142"/>
        <w:placeholder>
          <w:docPart w:val="GBC22222222222222222222222222222"/>
        </w:placeholder>
      </w:sdtPr>
      <w:sdtEndPr>
        <w:rPr>
          <w:rFonts w:hint="eastAsia"/>
          <w:bCs/>
          <w:szCs w:val="21"/>
        </w:rPr>
      </w:sdtEndPr>
      <w:sdtContent>
        <w:p>
          <w:pPr>
            <w:rPr>
              <w:bCs/>
              <w:szCs w:val="21"/>
            </w:rPr>
          </w:pPr>
          <w:r>
            <w:rPr>
              <w:rFonts w:ascii="宋体" w:hAnsi="宋体"/>
              <w:bCs/>
              <w:szCs w:val="21"/>
            </w:rPr>
            <w:fldChar w:fldCharType="begin"/>
          </w:r>
          <w:r>
            <w:rPr>
              <w:rFonts w:ascii="宋体" w:hAnsi="宋体"/>
              <w:bCs/>
              <w:szCs w:val="21"/>
            </w:rPr>
            <w:instrText xml:space="preserve"> </w:instrText>
          </w:r>
          <w:r>
            <w:rPr>
              <w:rFonts w:hint="eastAsia" w:ascii="宋体" w:hAnsi="宋体"/>
              <w:bCs/>
              <w:szCs w:val="21"/>
            </w:rPr>
            <w:instrText xml:space="preserve">MACROBUTTON  SnrToggleCheckbox □适用 </w:instrText>
          </w:r>
          <w:r>
            <w:rPr>
              <w:rFonts w:ascii="宋体" w:hAnsi="宋体"/>
              <w:bCs/>
              <w:szCs w:val="21"/>
            </w:rPr>
            <w:fldChar w:fldCharType="end"/>
          </w:r>
          <w:r>
            <w:rPr>
              <w:rFonts w:ascii="宋体" w:hAnsi="宋体"/>
              <w:bCs/>
              <w:szCs w:val="21"/>
            </w:rPr>
            <w:fldChar w:fldCharType="begin"/>
          </w:r>
          <w:r>
            <w:rPr>
              <w:rFonts w:ascii="宋体" w:hAnsi="宋体"/>
              <w:bCs/>
              <w:szCs w:val="21"/>
            </w:rPr>
            <w:instrText xml:space="preserve"> MACROBUTTON  SnrToggleCheckbox √不适用 </w:instrText>
          </w:r>
          <w:r>
            <w:rPr>
              <w:rFonts w:ascii="宋体" w:hAnsi="宋体"/>
              <w:bCs/>
              <w:szCs w:val="21"/>
            </w:rPr>
            <w:fldChar w:fldCharType="end"/>
          </w:r>
        </w:p>
      </w:sdtContent>
    </w:sdt>
    <w:p>
      <w:pPr>
        <w:rPr>
          <w:bCs/>
          <w:szCs w:val="21"/>
        </w:rPr>
      </w:pPr>
    </w:p>
    <w:p>
      <w:pPr>
        <w:rPr>
          <w:bCs/>
          <w:szCs w:val="21"/>
        </w:rPr>
      </w:pPr>
      <w:r>
        <w:rPr>
          <w:rFonts w:hint="eastAsia"/>
          <w:bCs/>
          <w:szCs w:val="21"/>
        </w:rPr>
        <w:t>其他激励措施</w:t>
      </w:r>
    </w:p>
    <w:sdt>
      <w:sdtPr>
        <w:rPr>
          <w:szCs w:val="21"/>
        </w:rPr>
        <w:alias w:val="是否适用：其他激励措施[双击切换]"/>
        <w:tag w:val="_GBC_1273f753309d4658962c7982b10fa010"/>
        <w:id w:val="6143"/>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bCs/>
          <w:szCs w:val="21"/>
        </w:rPr>
      </w:pPr>
    </w:p>
    <w:p>
      <w:pPr>
        <w:pStyle w:val="4"/>
        <w:numPr>
          <w:ilvl w:val="1"/>
          <w:numId w:val="28"/>
        </w:numPr>
        <w:rPr>
          <w:szCs w:val="21"/>
        </w:rPr>
      </w:pPr>
      <w:bookmarkStart w:id="104" w:name="_Toc342057945"/>
      <w:bookmarkStart w:id="105" w:name="_Toc342566005"/>
      <w:r>
        <w:rPr>
          <w:rFonts w:hint="eastAsia"/>
          <w:szCs w:val="21"/>
        </w:rPr>
        <w:t>董事、高级管理人员报告期内被授予的</w:t>
      </w:r>
      <w:r>
        <w:rPr>
          <w:rFonts w:hint="eastAsia"/>
          <w:kern w:val="44"/>
          <w:szCs w:val="21"/>
        </w:rPr>
        <w:t>股权</w:t>
      </w:r>
      <w:r>
        <w:rPr>
          <w:rFonts w:hint="eastAsia"/>
          <w:szCs w:val="21"/>
        </w:rPr>
        <w:t>激励情况</w:t>
      </w:r>
      <w:bookmarkEnd w:id="104"/>
      <w:bookmarkEnd w:id="105"/>
    </w:p>
    <w:p>
      <w:pPr>
        <w:kinsoku w:val="0"/>
        <w:overflowPunct w:val="0"/>
        <w:autoSpaceDE w:val="0"/>
        <w:autoSpaceDN w:val="0"/>
        <w:adjustRightInd w:val="0"/>
        <w:snapToGrid w:val="0"/>
        <w:rPr>
          <w:szCs w:val="21"/>
        </w:rPr>
      </w:pPr>
      <w:sdt>
        <w:sdtPr>
          <w:rPr>
            <w:rFonts w:hint="eastAsia"/>
            <w:szCs w:val="21"/>
          </w:rPr>
          <w:alias w:val="是否适用：董事、监事、高级管理人员报告期内被授予的股权激励情况[双击切换]"/>
          <w:tag w:val="_GBC_c2d0a53ac8044ce0b5022c6f5ccdc0a9"/>
          <w:id w:val="6144"/>
          <w:placeholder>
            <w:docPart w:val="GBC22222222222222222222222222222"/>
          </w:placeholder>
        </w:sdtPr>
        <w:sdtEndPr>
          <w:rPr>
            <w:rFonts w:hint="eastAsia"/>
            <w:szCs w:val="21"/>
          </w:rPr>
        </w:sdtEndPr>
        <w:sdtContent>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sdtContent>
      </w:sdt>
    </w:p>
    <w:p>
      <w:pPr>
        <w:pStyle w:val="4"/>
        <w:numPr>
          <w:ilvl w:val="1"/>
          <w:numId w:val="28"/>
        </w:numPr>
      </w:pPr>
      <w:bookmarkStart w:id="106" w:name="_Hlk56780992"/>
      <w:bookmarkEnd w:id="106"/>
      <w:r>
        <w:t>报告期内对高级管理人员的考评机制，以及激励机制的建立、实施情况</w:t>
      </w:r>
    </w:p>
    <w:sdt>
      <w:sdtPr>
        <w:rPr>
          <w:rFonts w:hint="eastAsia"/>
          <w:szCs w:val="21"/>
        </w:rPr>
        <w:alias w:val="是否适用：报告期内对高级管理人员的考评机制，以及激励机制的建立、实施情况[双击切换]"/>
        <w:tag w:val="_GBC_f7215667d17c45e88748740889bab9b8"/>
        <w:id w:val="6145"/>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sdt>
      <w:sdtPr>
        <w:tag w:val="_PLD_6520f692713e4c77b5e46c2540ced29c"/>
        <w:id w:val="6146"/>
      </w:sdtPr>
      <w:sdtEndPr>
        <w:rPr>
          <w:rFonts w:ascii="Arial" w:hAnsi="Arial" w:cs="Times New Roman"/>
          <w:b/>
          <w:bCs/>
          <w:kern w:val="2"/>
          <w:szCs w:val="21"/>
        </w:rPr>
      </w:sdtEndPr>
      <w:sdtContent>
        <w:p>
          <w:pPr>
            <w:pStyle w:val="3"/>
            <w:numPr>
              <w:ilvl w:val="0"/>
              <w:numId w:val="21"/>
            </w:numPr>
          </w:pPr>
          <w:r>
            <w:rPr>
              <w:rFonts w:hint="eastAsia"/>
            </w:rPr>
            <w:t>报告期内的内部控制制度建设及实施情况</w:t>
          </w:r>
        </w:p>
      </w:sdtContent>
    </w:sdt>
    <w:sdt>
      <w:sdtPr>
        <w:rPr>
          <w:szCs w:val="21"/>
        </w:rPr>
        <w:alias w:val="是否适用：报告期内的内部控制制度建设及实施情况[双击切换]"/>
        <w:tag w:val="_GBC_f76747fb26ee47cfb00fc8ad5592b038"/>
        <w:id w:val="6147"/>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szCs w:val="21"/>
        </w:rPr>
        <w:alias w:val="内部控制自我评价报告"/>
        <w:tag w:val="_GBC_7ec2120247b647e18f5670c0a1211280"/>
        <w:id w:val="6148"/>
        <w:placeholder>
          <w:docPart w:val="GBC22222222222222222222222222222"/>
        </w:placeholder>
      </w:sdtPr>
      <w:sdtEndPr>
        <w:rPr>
          <w:rFonts w:hint="eastAsia"/>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szCs w:val="21"/>
            </w:rPr>
          </w:pPr>
          <w:r>
            <w:rPr>
              <w:rFonts w:hint="eastAsia" w:ascii="宋体" w:eastAsia="宋体"/>
              <w:sz w:val="21"/>
              <w:szCs w:val="21"/>
            </w:rPr>
            <w:t>公司根据法律、法规的要求和自身所处行业及生产经营特点，建立了较为完善的内部控制体系并得到有效实施；在对有关制度的落实情况进行定期和不定期的检查中，未发现存在内部控制重大缺陷。公司的内部控制能够合理保证经营管理合法合规、资产安全、财务报告及相关信息真实完整，提高经营效率和效果，促进实现公司发展战略。</w:t>
          </w:r>
        </w:p>
      </w:sdtContent>
    </w:sdt>
    <w:p>
      <w:pPr>
        <w:rPr>
          <w:szCs w:val="21"/>
        </w:rPr>
      </w:pPr>
    </w:p>
    <w:p>
      <w:pPr>
        <w:tabs>
          <w:tab w:val="left" w:pos="2760"/>
        </w:tabs>
        <w:rPr>
          <w:szCs w:val="21"/>
        </w:rPr>
      </w:pPr>
      <w:r>
        <w:rPr>
          <w:rFonts w:hint="eastAsia"/>
          <w:szCs w:val="21"/>
        </w:rPr>
        <w:t>报告期内部控制存在重大缺陷情况的说明</w:t>
      </w:r>
    </w:p>
    <w:sdt>
      <w:sdtPr>
        <w:rPr>
          <w:szCs w:val="21"/>
        </w:rPr>
        <w:alias w:val="是否适用：报告期内部控制存在重大缺陷情况的说明[双击切换]"/>
        <w:tag w:val="_GBC_cad036bd9fe3409f906985f824010f6a"/>
        <w:id w:val="6149"/>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3"/>
        <w:numPr>
          <w:ilvl w:val="0"/>
          <w:numId w:val="21"/>
        </w:numPr>
      </w:pPr>
      <w:r>
        <w:rPr>
          <w:rFonts w:hint="eastAsia"/>
        </w:rPr>
        <w:t>报告期内对子公司的管理控制情况</w:t>
      </w:r>
    </w:p>
    <w:sdt>
      <w:sdtPr>
        <w:rPr>
          <w:rFonts w:hint="eastAsia"/>
          <w:szCs w:val="21"/>
        </w:rPr>
        <w:alias w:val="是否适用：报告期内对子公司的管理控制情况[双击切换]"/>
        <w:tag w:val="_GBC_3c41db66329f4aabb0fd91423cfeac3f"/>
        <w:id w:val="6150"/>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szCs w:val="21"/>
        </w:rPr>
        <w:alias w:val="报告期内对子公司的管理控制情况"/>
        <w:tag w:val="_GBC_c42acb3ad0ff45a1891fd8fa03ee78a2"/>
        <w:id w:val="6151"/>
        <w:placeholder>
          <w:docPart w:val="GBC22222222222222222222222222222"/>
        </w:placeholder>
      </w:sdtPr>
      <w:sdtEndPr>
        <w:rPr>
          <w:rFonts w:hint="eastAsia"/>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szCs w:val="21"/>
            </w:rPr>
          </w:pPr>
          <w:r>
            <w:rPr>
              <w:rFonts w:hint="eastAsia"/>
              <w:szCs w:val="21"/>
              <w:lang w:val="en-US" w:eastAsia="zh-CN"/>
            </w:rPr>
            <w:t xml:space="preserve"> </w:t>
          </w:r>
          <w:r>
            <w:rPr>
              <w:rFonts w:hint="eastAsia" w:ascii="宋体" w:eastAsia="宋体"/>
              <w:sz w:val="21"/>
              <w:szCs w:val="21"/>
            </w:rPr>
            <w:t>公司依据《公司法》《公司章程》和《控股子公司管理办法》等有关法律、</w:t>
          </w:r>
          <w:r>
            <w:rPr>
              <w:rFonts w:hint="eastAsia" w:ascii="宋体"/>
              <w:sz w:val="21"/>
              <w:szCs w:val="21"/>
              <w:lang w:val="en-US" w:eastAsia="zh-CN"/>
            </w:rPr>
            <w:t>法规</w:t>
          </w:r>
          <w:r>
            <w:rPr>
              <w:rFonts w:hint="eastAsia" w:ascii="宋体" w:eastAsia="宋体"/>
              <w:sz w:val="21"/>
              <w:szCs w:val="21"/>
            </w:rPr>
            <w:t>，对子公司进行管理控制，实行放管结合、充分授权、严格考核的管理办法。公司对子公司均为绝对控股，通过其股东会、董事会及监事会行使管理、协调、监督、考核等职权。</w:t>
          </w:r>
        </w:p>
        <w:p>
          <w:pPr>
            <w:keepNext w:val="0"/>
            <w:keepLines w:val="0"/>
            <w:pageBreakBefore w:val="0"/>
            <w:widowControl/>
            <w:kinsoku/>
            <w:wordWrap/>
            <w:overflowPunct/>
            <w:topLinePunct w:val="0"/>
            <w:autoSpaceDE/>
            <w:autoSpaceDN/>
            <w:bidi w:val="0"/>
            <w:adjustRightInd/>
            <w:snapToGrid/>
            <w:spacing w:line="400" w:lineRule="exact"/>
            <w:ind w:firstLine="525" w:firstLineChars="250"/>
            <w:textAlignment w:val="auto"/>
            <w:rPr>
              <w:szCs w:val="21"/>
            </w:rPr>
          </w:pPr>
          <w:r>
            <w:rPr>
              <w:rFonts w:hint="eastAsia" w:ascii="宋体" w:eastAsia="宋体"/>
              <w:sz w:val="21"/>
              <w:szCs w:val="21"/>
            </w:rPr>
            <w:t>子公司在公司的指导下健全法人治理结构；经理层依据董事会授权，执行经公司审批的预算方案，组织生产、销售和经营管理工作；定期向公司汇报生产经营和财务状况，接受公司派出的审计机构对其进行年度审计等；公司对子公司进行经营业绩目标考核，以此确定经理层薪酬。</w:t>
          </w:r>
        </w:p>
        <w:p>
          <w:pPr>
            <w:keepNext w:val="0"/>
            <w:keepLines w:val="0"/>
            <w:pageBreakBefore w:val="0"/>
            <w:widowControl/>
            <w:kinsoku/>
            <w:wordWrap/>
            <w:overflowPunct/>
            <w:topLinePunct w:val="0"/>
            <w:autoSpaceDE/>
            <w:autoSpaceDN/>
            <w:bidi w:val="0"/>
            <w:adjustRightInd/>
            <w:snapToGrid/>
            <w:spacing w:line="400" w:lineRule="exact"/>
            <w:textAlignment w:val="auto"/>
            <w:rPr>
              <w:szCs w:val="21"/>
            </w:rPr>
          </w:pPr>
          <w:r>
            <w:rPr>
              <w:rFonts w:hint="eastAsia" w:ascii="宋体" w:eastAsia="宋体"/>
              <w:sz w:val="21"/>
              <w:szCs w:val="21"/>
            </w:rPr>
            <w:t>报告期内，不存在子公司失去控制的现象。</w:t>
          </w:r>
        </w:p>
      </w:sdtContent>
    </w:sdt>
    <w:p/>
    <w:p>
      <w:pPr>
        <w:tabs>
          <w:tab w:val="left" w:pos="2760"/>
        </w:tabs>
        <w:rPr>
          <w:szCs w:val="21"/>
        </w:rPr>
      </w:pPr>
      <w:bookmarkStart w:id="107" w:name="_Hlk190432193"/>
      <w:r>
        <w:rPr>
          <w:rFonts w:hint="eastAsia"/>
          <w:szCs w:val="21"/>
        </w:rPr>
        <w:t>对子公司的管理控制存在异常的风险提示</w:t>
      </w:r>
    </w:p>
    <w:sdt>
      <w:sdtPr>
        <w:rPr>
          <w:rFonts w:hint="eastAsia"/>
        </w:rPr>
        <w:alias w:val="是否适用：对子公司的管理控制存在异常的风险提示[双击切换]"/>
        <w:tag w:val="_GBC_edc1e7805eef4d0d8cc96ae5ea6f3fa6"/>
        <w:id w:val="6152"/>
        <w:placeholder>
          <w:docPart w:val="GBC22222222222222222222222222222"/>
        </w:placeholder>
      </w:sdtPr>
      <w:sdtEndPr>
        <w:rPr>
          <w:rFonts w:hint="eastAsia"/>
        </w:rPr>
      </w:sdtEndPr>
      <w:sdtContent>
        <w:p>
          <w:r>
            <w:rPr>
              <w:rFonts w:hint="eastAsia" w:ascii="宋体" w:hAnsi="宋体"/>
            </w:rPr>
            <w:fldChar w:fldCharType="begin"/>
          </w:r>
          <w:r>
            <w:rPr>
              <w:rFonts w:hint="eastAsia" w:ascii="宋体" w:hAnsi="宋体"/>
            </w:rPr>
            <w:instrText xml:space="preserve"> MACROBUTTON  SnrToggleCheckbox □适用 </w:instrText>
          </w:r>
          <w:r>
            <w:rPr>
              <w:rFonts w:hint="eastAsia" w:ascii="宋体" w:hAnsi="宋体"/>
            </w:rPr>
            <w:fldChar w:fldCharType="end"/>
          </w:r>
          <w:r>
            <w:rPr>
              <w:rFonts w:hint="eastAsia" w:ascii="宋体" w:hAnsi="宋体"/>
            </w:rPr>
            <w:fldChar w:fldCharType="begin"/>
          </w:r>
          <w:r>
            <w:rPr>
              <w:rFonts w:hint="eastAsia" w:ascii="宋体" w:hAnsi="宋体"/>
            </w:rPr>
            <w:instrText xml:space="preserve"> MACROBUTTON  SnrToggleCheckbox √不适用 </w:instrText>
          </w:r>
          <w:r>
            <w:rPr>
              <w:rFonts w:hint="eastAsia" w:ascii="宋体" w:hAnsi="宋体"/>
            </w:rPr>
            <w:fldChar w:fldCharType="end"/>
          </w:r>
        </w:p>
      </w:sdtContent>
    </w:sdt>
    <w:p>
      <w:pPr>
        <w:rPr>
          <w:szCs w:val="21"/>
        </w:rPr>
      </w:pPr>
    </w:p>
    <w:bookmarkEnd w:id="107"/>
    <w:p>
      <w:pPr>
        <w:pStyle w:val="3"/>
        <w:numPr>
          <w:ilvl w:val="0"/>
          <w:numId w:val="21"/>
        </w:numPr>
      </w:pPr>
      <w:r>
        <w:rPr>
          <w:rFonts w:hint="eastAsia"/>
        </w:rPr>
        <w:t>内部控制审计报告的相关情况说明</w:t>
      </w:r>
    </w:p>
    <w:sdt>
      <w:sdtPr>
        <w:rPr>
          <w:rFonts w:hint="eastAsia"/>
          <w:szCs w:val="21"/>
        </w:rPr>
        <w:alias w:val="是否适用：内部控制审计报告的相关情况说明[双击切换]"/>
        <w:tag w:val="_GBC_f9211f94ca4347ababf36cfb6829169a"/>
        <w:id w:val="6153"/>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szCs w:val="21"/>
        </w:rPr>
        <w:alias w:val="审计报告与公司自我评价意见不一致情况"/>
        <w:tag w:val="_GBC_1abfe1ce3c2044e1a311865463691e52"/>
        <w:id w:val="6154"/>
        <w:placeholder>
          <w:docPart w:val="GBC22222222222222222222222222222"/>
        </w:placeholder>
      </w:sdtPr>
      <w:sdtEndPr>
        <w:rPr>
          <w:rFonts w:hint="eastAsia" w:ascii="Times New Roman" w:hAnsi="Times New Roman"/>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sz w:val="21"/>
              <w:szCs w:val="21"/>
            </w:rPr>
          </w:pPr>
          <w:r>
            <w:rPr>
              <w:rFonts w:hint="eastAsia" w:ascii="宋体" w:eastAsia="宋体"/>
              <w:sz w:val="21"/>
              <w:szCs w:val="21"/>
            </w:rPr>
            <w:t xml:space="preserve"> </w:t>
          </w:r>
          <w:r>
            <w:rPr>
              <w:rFonts w:hint="eastAsia" w:ascii="Times New Roman" w:hAnsi="Times New Roman" w:eastAsia="宋体"/>
              <w:sz w:val="21"/>
              <w:szCs w:val="21"/>
            </w:rPr>
            <w:t xml:space="preserve"> </w:t>
          </w:r>
          <w:r>
            <w:rPr>
              <w:rFonts w:hint="eastAsia"/>
              <w:sz w:val="21"/>
              <w:szCs w:val="21"/>
              <w:lang w:val="en-US" w:eastAsia="zh-CN"/>
            </w:rPr>
            <w:t xml:space="preserve">  </w:t>
          </w:r>
          <w:r>
            <w:rPr>
              <w:rFonts w:hint="eastAsia" w:ascii="Times New Roman" w:hAnsi="Times New Roman" w:eastAsia="宋体"/>
              <w:sz w:val="21"/>
              <w:szCs w:val="21"/>
            </w:rPr>
            <w:t>公司聘请中喜会计师事务所（特殊普通合伙）对公司2025年财务报告内部控制情况进行审计，并出具了标准无保留意见的《2025年度内部控制审计报告》，全文详见2026年3月27日在上交所网站（www.sse.com.cn）披露的《2025年度内部控制审计报告》。</w:t>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sz w:val="21"/>
          <w:szCs w:val="21"/>
        </w:rPr>
      </w:pPr>
      <w:r>
        <w:rPr>
          <w:rFonts w:ascii="Times New Roman" w:hAnsi="Times New Roman"/>
          <w:sz w:val="21"/>
          <w:szCs w:val="21"/>
        </w:rPr>
        <w:t>是否披露内部控制审计报告：</w:t>
      </w:r>
      <w:sdt>
        <w:sdtPr>
          <w:rPr>
            <w:rFonts w:ascii="Times New Roman" w:hAnsi="Times New Roman"/>
            <w:sz w:val="21"/>
            <w:szCs w:val="21"/>
          </w:rPr>
          <w:alias w:val="审计机构是否对公司内部控制出具核实评价意见"/>
          <w:tag w:val="_GBC_c9f332f7c06944ebbd339ca86944d1e2"/>
          <w:id w:val="6155"/>
          <w:placeholder>
            <w:docPart w:val="GBC22222222222222222222222222222"/>
          </w:placeholder>
          <w:comboBox>
            <w:listItem w:displayText="是" w:value="true"/>
            <w:listItem w:displayText="否" w:value="false"/>
          </w:comboBox>
        </w:sdtPr>
        <w:sdtEndPr>
          <w:rPr>
            <w:rFonts w:ascii="Times New Roman" w:hAnsi="Times New Roman"/>
            <w:sz w:val="21"/>
            <w:szCs w:val="21"/>
          </w:rPr>
        </w:sdtEndPr>
        <w:sdtContent>
          <w:r>
            <w:rPr>
              <w:rFonts w:hint="eastAsia" w:ascii="Times New Roman" w:hAnsi="Times New Roman"/>
              <w:sz w:val="21"/>
              <w:szCs w:val="21"/>
            </w:rPr>
            <w:t>是</w:t>
          </w:r>
        </w:sdtContent>
      </w:sdt>
    </w:p>
    <w:p>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sz w:val="21"/>
          <w:lang w:val="zh-CN"/>
        </w:rPr>
      </w:pPr>
      <w:r>
        <w:rPr>
          <w:rFonts w:hint="eastAsia" w:ascii="Times New Roman" w:hAnsi="Times New Roman"/>
          <w:sz w:val="21"/>
          <w:lang w:val="zh-CN"/>
        </w:rPr>
        <w:t>内部控制审计报告意见类型：</w:t>
      </w:r>
      <w:sdt>
        <w:sdtPr>
          <w:rPr>
            <w:rFonts w:hint="eastAsia" w:ascii="Times New Roman" w:hAnsi="Times New Roman"/>
            <w:sz w:val="21"/>
            <w:lang w:val="zh-CN"/>
          </w:rPr>
          <w:alias w:val="内部控制审计意见类型"/>
          <w:tag w:val="_GBC_70262b41c723466c879c062e5326eee3"/>
          <w:id w:val="6156"/>
          <w:placeholder>
            <w:docPart w:val="GBC22222222222222222222222222222"/>
          </w:placeholder>
          <w:comboBox>
            <w:listItem w:displayText="标准的无保留意见" w:value="标准的无保留意见"/>
            <w:listItem w:displayText="带强调事项段的无保留意见" w:value="带强调事项段的无保留意见"/>
            <w:listItem w:displayText="否定意见" w:value="否定意见"/>
            <w:listItem w:displayText="无法表示意见" w:value="无法表示意见"/>
          </w:comboBox>
        </w:sdtPr>
        <w:sdtEndPr>
          <w:rPr>
            <w:rFonts w:hint="eastAsia" w:ascii="Times New Roman" w:hAnsi="Times New Roman"/>
            <w:sz w:val="21"/>
            <w:lang w:val="zh-CN"/>
          </w:rPr>
        </w:sdtEndPr>
        <w:sdtContent>
          <w:r>
            <w:rPr>
              <w:rFonts w:hint="eastAsia" w:ascii="Times New Roman" w:hAnsi="Times New Roman"/>
              <w:sz w:val="21"/>
              <w:lang w:val="zh-CN"/>
            </w:rPr>
            <w:t>标准的无保留意见</w:t>
          </w:r>
        </w:sdtContent>
      </w:sdt>
    </w:p>
    <w:p/>
    <w:p>
      <w:bookmarkStart w:id="108" w:name="_Hlk219122302"/>
      <w:r>
        <w:rPr>
          <w:rFonts w:hint="eastAsia"/>
        </w:rPr>
        <w:t>报告期或上年度是否被出具内部控制非标准审计意见</w:t>
      </w:r>
    </w:p>
    <w:p>
      <w:sdt>
        <w:sdtPr>
          <w:rPr>
            <w:rFonts w:hint="eastAsia"/>
          </w:rPr>
          <w:alias w:val="报告期或上年度是否被出具内部控制非标准审计意见[双击切换]"/>
          <w:tag w:val="_GBC_36a55dc92df44223953ae0ab74b84a2c"/>
          <w:id w:val="6157"/>
          <w:placeholder>
            <w:docPart w:val="GBC22222222222222222222222222222"/>
          </w:placeholder>
        </w:sdtPr>
        <w:sdtEndPr>
          <w:rPr>
            <w:rFonts w:hint="eastAsia"/>
          </w:rPr>
        </w:sdtEndPr>
        <w:sdtContent>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□是</w:instrText>
          </w:r>
          <w:r>
            <w:rPr>
              <w:rFonts w:ascii="宋体" w:hAnsi="宋体"/>
            </w:rPr>
            <w:fldChar w:fldCharType="end"/>
          </w:r>
          <w:r>
            <w:rPr>
              <w:rFonts w:ascii="宋体" w:hAnsi="宋体"/>
            </w:rPr>
            <w:fldChar w:fldCharType="begin"/>
          </w:r>
          <w:r>
            <w:rPr>
              <w:rFonts w:ascii="宋体" w:hAnsi="宋体"/>
            </w:rPr>
            <w:instrText xml:space="preserve"> MACROBUTTON  SnrToggleCheckbox √否 </w:instrText>
          </w:r>
          <w:r>
            <w:rPr>
              <w:rFonts w:ascii="宋体" w:hAnsi="宋体"/>
            </w:rPr>
            <w:fldChar w:fldCharType="end"/>
          </w:r>
        </w:sdtContent>
      </w:sdt>
    </w:p>
    <w:p/>
    <w:bookmarkEnd w:id="108"/>
    <w:p>
      <w:pPr>
        <w:rPr>
          <w:szCs w:val="21"/>
        </w:rPr>
      </w:pPr>
    </w:p>
    <w:p>
      <w:pPr>
        <w:pStyle w:val="3"/>
        <w:numPr>
          <w:ilvl w:val="0"/>
          <w:numId w:val="21"/>
        </w:numPr>
        <w:ind w:left="420" w:hanging="420"/>
        <w:rPr>
          <w:rFonts w:hint="eastAsia" w:ascii="宋体" w:hAnsi="宋体" w:cs="宋体"/>
          <w:kern w:val="0"/>
          <w:szCs w:val="24"/>
        </w:rPr>
      </w:pPr>
      <w:bookmarkStart w:id="109" w:name="_Hlk40625163"/>
      <w:bookmarkStart w:id="110" w:name="_Hlk40625199"/>
      <w:r>
        <w:rPr>
          <w:rFonts w:ascii="宋体" w:hAnsi="宋体" w:cs="宋体"/>
          <w:kern w:val="0"/>
          <w:szCs w:val="24"/>
        </w:rPr>
        <w:t>上市公司治理专项行动自查问题整改情况</w:t>
      </w:r>
    </w:p>
    <w:sdt>
      <w:sdtPr>
        <w:rPr>
          <w:szCs w:val="21"/>
        </w:rPr>
        <w:alias w:val="上市公司治理专项行动自查问题整改情况"/>
        <w:tag w:val="_GBC_05eb1501ffbf4b83acf20965ad06a2e0"/>
        <w:id w:val="6158"/>
        <w:placeholder>
          <w:docPart w:val="GBC22222222222222222222222222222"/>
        </w:placeholder>
      </w:sdtPr>
      <w:sdtEndPr>
        <w:rPr>
          <w:szCs w:val="21"/>
        </w:rPr>
      </w:sdtEndPr>
      <w:sdtContent>
        <w:p>
          <w:pPr>
            <w:rPr>
              <w:szCs w:val="21"/>
            </w:rPr>
          </w:pPr>
          <w:r>
            <w:rPr>
              <w:rFonts w:hint="eastAsia"/>
              <w:szCs w:val="21"/>
            </w:rPr>
            <w:t>无</w:t>
          </w:r>
        </w:p>
      </w:sdtContent>
    </w:sdt>
    <w:p>
      <w:pPr>
        <w:rPr>
          <w:szCs w:val="21"/>
        </w:rPr>
      </w:pPr>
    </w:p>
    <w:bookmarkEnd w:id="109"/>
    <w:bookmarkEnd w:id="110"/>
    <w:p>
      <w:pPr>
        <w:pStyle w:val="3"/>
        <w:numPr>
          <w:ilvl w:val="0"/>
          <w:numId w:val="21"/>
        </w:numPr>
        <w:ind w:left="420" w:hanging="420"/>
        <w:rPr>
          <w:rFonts w:hint="eastAsia" w:ascii="宋体" w:hAnsi="宋体" w:cs="宋体"/>
          <w:kern w:val="0"/>
          <w:szCs w:val="24"/>
        </w:rPr>
      </w:pPr>
      <w:bookmarkStart w:id="111" w:name="_Hlk217315508"/>
      <w:bookmarkStart w:id="112" w:name="_Hlk200011887"/>
      <w:bookmarkStart w:id="113" w:name="_Hlk89187063"/>
      <w:bookmarkStart w:id="114" w:name="_Hlk89187025"/>
      <w:r>
        <w:rPr>
          <w:rFonts w:ascii="宋体" w:hAnsi="宋体" w:cs="宋体"/>
          <w:kern w:val="0"/>
          <w:szCs w:val="24"/>
        </w:rPr>
        <w:t>纳入环境信息依法披露企业名单的上市公司及其</w:t>
      </w:r>
      <w:r>
        <w:rPr>
          <w:rFonts w:hint="eastAsia" w:ascii="宋体" w:hAnsi="宋体" w:cs="宋体"/>
          <w:kern w:val="0"/>
          <w:szCs w:val="24"/>
        </w:rPr>
        <w:t>主要</w:t>
      </w:r>
      <w:r>
        <w:rPr>
          <w:rFonts w:ascii="宋体" w:hAnsi="宋体" w:cs="宋体"/>
          <w:kern w:val="0"/>
          <w:szCs w:val="24"/>
        </w:rPr>
        <w:t>子公司的环</w:t>
      </w:r>
      <w:r>
        <w:rPr>
          <w:rFonts w:hint="eastAsia" w:ascii="宋体" w:hAnsi="宋体" w:cs="宋体"/>
          <w:kern w:val="0"/>
          <w:szCs w:val="24"/>
        </w:rPr>
        <w:t>境</w:t>
      </w:r>
      <w:r>
        <w:rPr>
          <w:rFonts w:ascii="宋体" w:hAnsi="宋体" w:cs="宋体"/>
          <w:kern w:val="0"/>
          <w:szCs w:val="24"/>
        </w:rPr>
        <w:t>信息情况</w:t>
      </w:r>
    </w:p>
    <w:sdt>
      <w:sdtPr>
        <w:rPr>
          <w:rFonts w:hint="eastAsia"/>
          <w:color w:val="000000"/>
        </w:rPr>
        <w:alias w:val="是否适用：纳入环境信息依法披露企业名单的上市公司及其主要子公司的环境信息情况[双击切换]"/>
        <w:tag w:val="_GBC_6553e3da66c54f77a89d044d325fe993"/>
        <w:id w:val="6159"/>
        <w:placeholder>
          <w:docPart w:val="GBC22222222222222222222222222222"/>
        </w:placeholder>
      </w:sdtPr>
      <w:sdtEndPr>
        <w:rPr>
          <w:rFonts w:hint="eastAsia"/>
          <w:color w:val="000000"/>
        </w:rPr>
      </w:sdtEndPr>
      <w:sdtContent>
        <w:p>
          <w:pPr>
            <w:rPr>
              <w:color w:val="000000"/>
            </w:rPr>
          </w:pPr>
          <w:r>
            <w:rPr>
              <w:rFonts w:hint="eastAsia" w:ascii="宋体" w:hAnsi="宋体"/>
              <w:color w:val="000000"/>
            </w:rPr>
            <w:fldChar w:fldCharType="begin"/>
          </w:r>
          <w:r>
            <w:rPr>
              <w:rFonts w:hint="eastAsia" w:ascii="宋体" w:hAnsi="宋体"/>
              <w:color w:val="000000"/>
            </w:rPr>
            <w:instrText xml:space="preserve"> MACROBUTTON  SnrToggleCheckbox √适用 </w:instrText>
          </w:r>
          <w:r>
            <w:rPr>
              <w:rFonts w:hint="eastAsia" w:ascii="宋体" w:hAnsi="宋体"/>
              <w:color w:val="000000"/>
            </w:rPr>
            <w:fldChar w:fldCharType="end"/>
          </w:r>
          <w:r>
            <w:rPr>
              <w:rFonts w:hint="eastAsia" w:ascii="宋体" w:hAnsi="宋体"/>
              <w:color w:val="000000"/>
            </w:rPr>
            <w:fldChar w:fldCharType="begin"/>
          </w:r>
          <w:r>
            <w:rPr>
              <w:rFonts w:hint="eastAsia" w:ascii="宋体" w:hAnsi="宋体"/>
              <w:color w:val="000000"/>
            </w:rPr>
            <w:instrText xml:space="preserve"> MACROBUTTON  SnrToggleCheckbox □不适用 </w:instrText>
          </w:r>
          <w:r>
            <w:rPr>
              <w:rFonts w:hint="eastAsia" w:ascii="宋体" w:hAnsi="宋体"/>
              <w:color w:val="000000"/>
            </w:rPr>
            <w:fldChar w:fldCharType="end"/>
          </w:r>
        </w:p>
      </w:sdtContent>
    </w:sdt>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4625"/>
        <w:gridCol w:w="3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878" w:type="pct"/>
            <w:gridSpan w:val="2"/>
            <w:vAlign w:val="center"/>
          </w:tcPr>
          <w:sdt>
            <w:sdtPr>
              <w:tag w:val="_PLD_e65592890892416c8d7c50ff79b106ab"/>
              <w:id w:val="6160"/>
            </w:sdtPr>
            <w:sdtEndPr>
              <w:rPr>
                <w:rFonts w:hint="eastAsia"/>
              </w:rPr>
            </w:sdtEndPr>
            <w:sdtContent>
              <w:p>
                <w:pPr>
                  <w:rPr>
                    <w:color w:val="000000"/>
                  </w:rPr>
                </w:pPr>
                <w:r>
                  <w:rPr>
                    <w:color w:val="000000"/>
                  </w:rPr>
                  <w:t>纳入环境信息依法披露企业名单中的企业数量</w:t>
                </w:r>
                <w:r>
                  <w:rPr>
                    <w:rFonts w:hint="eastAsia"/>
                    <w:color w:val="000000"/>
                  </w:rPr>
                  <w:t>（个）</w:t>
                </w:r>
              </w:p>
            </w:sdtContent>
          </w:sdt>
        </w:tc>
        <w:tc>
          <w:tcPr>
            <w:tcW w:w="2121" w:type="pct"/>
            <w:vAlign w:val="center"/>
          </w:tcPr>
          <w:sdt>
            <w:sdtPr>
              <w:rPr>
                <w:rFonts w:hint="eastAsia"/>
                <w:color w:val="000000"/>
              </w:rPr>
              <w:alias w:val="纳入环境信息依法披露企业名单中的企业数量"/>
              <w:tag w:val="_GBC_7baa182ec31f4a64ab363ea9eeb644b7"/>
              <w:id w:val="6161"/>
            </w:sdtPr>
            <w:sdtEndPr>
              <w:rPr>
                <w:rFonts w:hint="eastAsia"/>
                <w:color w:val="000000"/>
              </w:rPr>
            </w:sdtEndPr>
            <w:sdtContent>
              <w:p>
                <w:pPr>
                  <w:jc w:val="center"/>
                  <w:rPr>
                    <w:color w:val="000000"/>
                  </w:rPr>
                </w:pPr>
                <w:r>
                  <w:rPr>
                    <w:rFonts w:hint="eastAsia"/>
                    <w:color w:val="000000"/>
                  </w:rPr>
                  <w:t>1</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2" w:type="pct"/>
          </w:tcPr>
          <w:sdt>
            <w:sdtPr>
              <w:tag w:val="_PLD_aa5264c7cdd741a288e8817aeed291ec"/>
              <w:id w:val="6162"/>
            </w:sdtPr>
            <w:sdtContent>
              <w:p>
                <w:pPr>
                  <w:jc w:val="center"/>
                  <w:rPr>
                    <w:color w:val="000000"/>
                  </w:rPr>
                </w:pPr>
                <w:r>
                  <w:rPr>
                    <w:rFonts w:hint="eastAsia"/>
                    <w:color w:val="000000"/>
                  </w:rPr>
                  <w:t>序号</w:t>
                </w:r>
              </w:p>
            </w:sdtContent>
          </w:sdt>
        </w:tc>
        <w:tc>
          <w:tcPr>
            <w:tcW w:w="2555" w:type="pct"/>
            <w:vAlign w:val="center"/>
          </w:tcPr>
          <w:sdt>
            <w:sdtPr>
              <w:tag w:val="_PLD_ea61f68d8edd490bba2d24075e39baf4"/>
              <w:id w:val="6163"/>
            </w:sdtPr>
            <w:sdtContent>
              <w:p>
                <w:pPr>
                  <w:jc w:val="center"/>
                  <w:rPr>
                    <w:color w:val="000000"/>
                  </w:rPr>
                </w:pPr>
                <w:r>
                  <w:rPr>
                    <w:rFonts w:hint="eastAsia"/>
                    <w:color w:val="000000"/>
                  </w:rPr>
                  <w:t>企业名称</w:t>
                </w:r>
              </w:p>
            </w:sdtContent>
          </w:sdt>
        </w:tc>
        <w:tc>
          <w:tcPr>
            <w:tcW w:w="2121" w:type="pct"/>
            <w:vAlign w:val="center"/>
          </w:tcPr>
          <w:sdt>
            <w:sdtPr>
              <w:tag w:val="_PLD_ea32e24ff0034b8f8356ec47b456df6a"/>
              <w:id w:val="6164"/>
            </w:sdtPr>
            <w:sdtContent>
              <w:p>
                <w:pPr>
                  <w:jc w:val="center"/>
                  <w:rPr>
                    <w:iCs/>
                    <w:color w:val="000000"/>
                  </w:rPr>
                </w:pPr>
                <w:r>
                  <w:rPr>
                    <w:rFonts w:hint="eastAsia"/>
                    <w:iCs/>
                    <w:color w:val="000000"/>
                  </w:rPr>
                  <w:t>环境信息依法披露报告的查询索引</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22" w:type="pct"/>
            <w:vAlign w:val="center"/>
          </w:tcPr>
          <w:p>
            <w:pPr>
              <w:jc w:val="center"/>
            </w:pPr>
            <w:r>
              <w:rPr>
                <w:rFonts w:hint="eastAsia"/>
                <w:color w:val="auto"/>
              </w:rPr>
              <w:t>1</w:t>
            </w:r>
          </w:p>
        </w:tc>
        <w:tc>
          <w:tcPr>
            <w:tcW w:w="2555" w:type="pct"/>
            <w:vAlign w:val="center"/>
          </w:tcPr>
          <w:p>
            <w:pPr>
              <w:jc w:val="center"/>
            </w:pPr>
            <w:r>
              <w:rPr>
                <w:rFonts w:hint="eastAsia"/>
                <w:color w:val="auto"/>
              </w:rPr>
              <w:t>广西两面针亿康药业股份有限公司</w:t>
            </w:r>
          </w:p>
        </w:tc>
        <w:tc>
          <w:tcPr>
            <w:tcW w:w="2121" w:type="pct"/>
            <w:vAlign w:val="center"/>
          </w:tcPr>
          <w:p>
            <w:pPr>
              <w:jc w:val="center"/>
            </w:pPr>
            <w:r>
              <w:rPr>
                <w:rFonts w:hint="eastAsia"/>
                <w:color w:val="auto"/>
              </w:rPr>
              <w:t>https://bqfq.sthjt.gxzf.gov.cn/GXHJXXPLQYD/frontal/index.html#/home/index</w:t>
            </w:r>
          </w:p>
        </w:tc>
      </w:tr>
    </w:tbl>
    <w:p/>
    <w:p>
      <w:pPr>
        <w:rPr>
          <w:color w:val="000000"/>
        </w:rPr>
      </w:pPr>
      <w:r>
        <w:rPr>
          <w:rFonts w:hint="eastAsia"/>
          <w:color w:val="000000"/>
        </w:rPr>
        <w:t>其他说明</w:t>
      </w:r>
    </w:p>
    <w:sdt>
      <w:sdtPr>
        <w:rPr>
          <w:rFonts w:hint="eastAsia"/>
          <w:color w:val="000000"/>
        </w:rPr>
        <w:alias w:val="是否适用：纳入环境信息依法披露企业名单的上市公司及其主要子公司的环境信息情况其他说明[双击切换]"/>
        <w:tag w:val="_GBC_abd5627e0eb0427eb278825f1b086dc3"/>
        <w:id w:val="6165"/>
        <w:placeholder>
          <w:docPart w:val="GBC22222222222222222222222222222"/>
        </w:placeholder>
      </w:sdtPr>
      <w:sdtEndPr>
        <w:rPr>
          <w:rFonts w:hint="eastAsia"/>
          <w:color w:val="000000"/>
        </w:rPr>
      </w:sdtEndPr>
      <w:sdtContent>
        <w:p>
          <w:pPr>
            <w:rPr>
              <w:color w:val="000000"/>
            </w:rPr>
          </w:pPr>
          <w:r>
            <w:rPr>
              <w:rFonts w:hint="eastAsia" w:ascii="宋体" w:hAnsi="宋体"/>
              <w:color w:val="000000"/>
            </w:rPr>
            <w:fldChar w:fldCharType="begin"/>
          </w:r>
          <w:r>
            <w:rPr>
              <w:rFonts w:hint="eastAsia" w:ascii="宋体" w:hAnsi="宋体"/>
              <w:color w:val="000000"/>
            </w:rPr>
            <w:instrText xml:space="preserve"> MACROBUTTON  SnrToggleCheckbox □适用 </w:instrText>
          </w:r>
          <w:r>
            <w:rPr>
              <w:rFonts w:hint="eastAsia" w:ascii="宋体" w:hAnsi="宋体"/>
              <w:color w:val="000000"/>
            </w:rPr>
            <w:fldChar w:fldCharType="end"/>
          </w:r>
          <w:r>
            <w:rPr>
              <w:rFonts w:hint="eastAsia" w:ascii="宋体" w:hAnsi="宋体"/>
              <w:color w:val="000000"/>
            </w:rPr>
            <w:fldChar w:fldCharType="begin"/>
          </w:r>
          <w:r>
            <w:rPr>
              <w:rFonts w:hint="eastAsia" w:ascii="宋体" w:hAnsi="宋体"/>
              <w:color w:val="000000"/>
            </w:rPr>
            <w:instrText xml:space="preserve"> MACROBUTTON  SnrToggleCheckbox √不适用 </w:instrText>
          </w:r>
          <w:r>
            <w:rPr>
              <w:rFonts w:hint="eastAsia" w:ascii="宋体" w:hAnsi="宋体"/>
              <w:color w:val="000000"/>
            </w:rPr>
            <w:fldChar w:fldCharType="end"/>
          </w:r>
        </w:p>
      </w:sdtContent>
    </w:sdt>
    <w:p>
      <w:pPr>
        <w:rPr>
          <w:color w:val="000000" w:themeColor="text1"/>
          <w14:textFill>
            <w14:solidFill>
              <w14:schemeClr w14:val="tx1"/>
            </w14:solidFill>
          </w14:textFill>
        </w:rPr>
      </w:pPr>
    </w:p>
    <w:bookmarkEnd w:id="111"/>
    <w:bookmarkEnd w:id="112"/>
    <w:p>
      <w:pPr>
        <w:pStyle w:val="3"/>
        <w:numPr>
          <w:ilvl w:val="0"/>
          <w:numId w:val="21"/>
        </w:numPr>
        <w:ind w:left="420" w:hanging="420"/>
        <w:rPr>
          <w:rFonts w:hint="eastAsia" w:ascii="宋体" w:hAnsi="宋体" w:cs="宋体"/>
          <w:kern w:val="0"/>
          <w:szCs w:val="24"/>
        </w:rPr>
      </w:pPr>
      <w:r>
        <w:rPr>
          <w:rFonts w:ascii="宋体" w:hAnsi="宋体" w:cs="宋体"/>
          <w:kern w:val="0"/>
          <w:szCs w:val="24"/>
        </w:rPr>
        <w:t>社会责任工作情况</w:t>
      </w:r>
    </w:p>
    <w:p>
      <w:pPr>
        <w:pStyle w:val="4"/>
        <w:numPr>
          <w:ilvl w:val="0"/>
          <w:numId w:val="29"/>
        </w:numPr>
        <w:rPr>
          <w:rFonts w:hint="eastAsia" w:ascii="宋体" w:hAnsi="宋体"/>
        </w:rPr>
      </w:pPr>
      <w:r>
        <w:rPr>
          <w:rFonts w:hint="eastAsia" w:ascii="宋体" w:hAnsi="宋体"/>
        </w:rPr>
        <w:t>是否单独披露社会责任报告、可持续发展报告或ESG报告</w:t>
      </w:r>
    </w:p>
    <w:sdt>
      <w:sdtPr>
        <w:alias w:val="是否适用：是否单独披露社会责任报告、可持续发展报告或ESG报告[双击切换]"/>
        <w:tag w:val="_GBC_9e7dd53d4e6f44ea9f272442eb9babac"/>
        <w:id w:val="6166"/>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是否单独披露社会责任报告、可持续发展报告或ESG报告"/>
        <w:tag w:val="_GBC_e26ad08dba0e483a908a6ff4e6e74e3f"/>
        <w:id w:val="6167"/>
        <w:placeholder>
          <w:docPart w:val="GBC22222222222222222222222222222"/>
        </w:placeholder>
      </w:sdtPr>
      <w:sdtEndPr>
        <w:rPr>
          <w:rFonts w:ascii="Times New Roman" w:hAnsi="Times New Roman"/>
          <w:sz w:val="21"/>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sz w:val="21"/>
            </w:rPr>
          </w:pPr>
          <w:r>
            <w:rPr>
              <w:rFonts w:hint="eastAsia" w:ascii="宋体" w:eastAsia="宋体"/>
              <w:sz w:val="21"/>
              <w:szCs w:val="21"/>
            </w:rPr>
            <w:t xml:space="preserve">  </w:t>
          </w:r>
          <w:r>
            <w:rPr>
              <w:rFonts w:hint="eastAsia" w:ascii="宋体"/>
              <w:sz w:val="21"/>
              <w:szCs w:val="21"/>
              <w:lang w:val="en-US" w:eastAsia="zh-CN"/>
            </w:rPr>
            <w:t xml:space="preserve">  </w:t>
          </w:r>
          <w:r>
            <w:rPr>
              <w:rFonts w:hint="eastAsia" w:ascii="Times New Roman" w:hAnsi="Times New Roman" w:eastAsia="宋体"/>
              <w:sz w:val="21"/>
              <w:szCs w:val="21"/>
            </w:rPr>
            <w:t>公司积极履行社会责任，并根据实际情况单独披露2025年度社会责任报告，全文详见2026年3月27日在上交所网站（www.sse.com.cn）披露的《2025年度社会责任报告》。</w:t>
          </w:r>
        </w:p>
      </w:sdtContent>
    </w:sdt>
    <w:p/>
    <w:p>
      <w:pPr>
        <w:pStyle w:val="4"/>
        <w:numPr>
          <w:ilvl w:val="0"/>
          <w:numId w:val="29"/>
        </w:numPr>
        <w:rPr>
          <w:rFonts w:hint="eastAsia" w:ascii="宋体" w:hAnsi="宋体"/>
        </w:rPr>
      </w:pPr>
      <w:r>
        <w:rPr>
          <w:rFonts w:hint="eastAsia" w:ascii="宋体" w:hAnsi="宋体"/>
        </w:rPr>
        <w:t>社会责任工作具体情况</w:t>
      </w:r>
    </w:p>
    <w:sdt>
      <w:sdtPr>
        <w:alias w:val="是否适用：社会责任工作具体情况[双击切换]"/>
        <w:tag w:val="_GBC_2bbbff88e2744d6dbb21a0a502bf51cf"/>
        <w:id w:val="6168"/>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6"/>
        <w:gridCol w:w="2005"/>
        <w:gridCol w:w="4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6" w:type="dxa"/>
            <w:vAlign w:val="center"/>
          </w:tcPr>
          <w:sdt>
            <w:sdtPr>
              <w:tag w:val="_PLD_8ccd1f20d787452283cca30b8be75dc8"/>
              <w:id w:val="6169"/>
            </w:sdtPr>
            <w:sdtContent>
              <w:p>
                <w:pPr>
                  <w:widowControl w:val="0"/>
                  <w:jc w:val="center"/>
                </w:pPr>
                <w:r>
                  <w:rPr>
                    <w:rFonts w:hint="eastAsia"/>
                  </w:rPr>
                  <w:t>对外捐赠、公益项目</w:t>
                </w:r>
              </w:p>
            </w:sdtContent>
          </w:sdt>
        </w:tc>
        <w:tc>
          <w:tcPr>
            <w:tcW w:w="2005" w:type="dxa"/>
            <w:vAlign w:val="center"/>
          </w:tcPr>
          <w:sdt>
            <w:sdtPr>
              <w:tag w:val="_PLD_8451b9cc95c641c39056391d3348179e"/>
              <w:id w:val="6170"/>
            </w:sdtPr>
            <w:sdtContent>
              <w:p>
                <w:pPr>
                  <w:widowControl w:val="0"/>
                  <w:jc w:val="center"/>
                </w:pPr>
                <w:r>
                  <w:rPr>
                    <w:rFonts w:hint="eastAsia"/>
                  </w:rPr>
                  <w:t>数量/内容</w:t>
                </w:r>
              </w:p>
            </w:sdtContent>
          </w:sdt>
        </w:tc>
        <w:tc>
          <w:tcPr>
            <w:tcW w:w="4028" w:type="dxa"/>
            <w:vAlign w:val="center"/>
          </w:tcPr>
          <w:sdt>
            <w:sdtPr>
              <w:tag w:val="_PLD_681dc2272e304ef499f420c283e82d02"/>
              <w:id w:val="6171"/>
            </w:sdtPr>
            <w:sdtContent>
              <w:p>
                <w:pPr>
                  <w:widowControl w:val="0"/>
                  <w:jc w:val="center"/>
                </w:pPr>
                <w:r>
                  <w:rPr>
                    <w:rFonts w:hint="eastAsia"/>
                  </w:rPr>
                  <w:t>情况说明</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6" w:type="dxa"/>
            <w:vAlign w:val="center"/>
          </w:tcPr>
          <w:p>
            <w:pPr>
              <w:widowControl w:val="0"/>
              <w:jc w:val="both"/>
            </w:pPr>
            <w:sdt>
              <w:sdtPr>
                <w:tag w:val="_PLD_0d7064bea05840f68cf6fa5a0fdfd98b"/>
                <w:id w:val="6172"/>
              </w:sdtPr>
              <w:sdtContent>
                <w:r>
                  <w:rPr>
                    <w:rFonts w:hint="eastAsia"/>
                  </w:rPr>
                  <w:t>总投入</w:t>
                </w:r>
              </w:sdtContent>
            </w:sdt>
            <w:r>
              <w:rPr>
                <w:rFonts w:hint="eastAsia"/>
              </w:rPr>
              <w:t>（</w:t>
            </w:r>
            <w:sdt>
              <w:sdtPr>
                <w:rPr>
                  <w:rFonts w:hint="eastAsia"/>
                </w:rPr>
                <w:alias w:val="单位：对外捐赠、公益项目总投入"/>
                <w:tag w:val="_GBC_aab341873e5d4b8da4321e41124d111c"/>
                <w:id w:val="6173"/>
                <w:placeholder>
                  <w:docPart w:val="GBC11111111111111111111111111111"/>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shd w:val="solid" w:color="FFFFFF" w:fill="auto"/>
                </w:rPr>
              </w:sdtEndPr>
              <w:sdtContent>
                <w:r>
                  <w:rPr>
                    <w:rFonts w:hint="eastAsia"/>
                  </w:rPr>
                  <w:t>万元</w:t>
                </w:r>
              </w:sdtContent>
            </w:sdt>
            <w:r>
              <w:rPr>
                <w:rFonts w:hint="eastAsia"/>
              </w:rPr>
              <w:t>）</w:t>
            </w:r>
          </w:p>
        </w:tc>
        <w:tc>
          <w:tcPr>
            <w:tcW w:w="2005" w:type="dxa"/>
            <w:vAlign w:val="center"/>
          </w:tcPr>
          <w:p>
            <w:pPr>
              <w:widowControl w:val="0"/>
              <w:jc w:val="right"/>
            </w:pPr>
            <w:r>
              <w:rPr>
                <w:rFonts w:hint="eastAsia"/>
                <w:color w:val="auto"/>
              </w:rPr>
              <w:t>31.91</w:t>
            </w:r>
          </w:p>
        </w:tc>
        <w:tc>
          <w:tcPr>
            <w:tcW w:w="4028" w:type="dxa"/>
            <w:vAlign w:val="center"/>
          </w:tcPr>
          <w:p>
            <w:pPr>
              <w:widowControl w:val="0"/>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6" w:type="dxa"/>
            <w:vAlign w:val="center"/>
          </w:tcPr>
          <w:p>
            <w:pPr>
              <w:widowControl w:val="0"/>
              <w:jc w:val="both"/>
            </w:pPr>
            <w:sdt>
              <w:sdtPr>
                <w:tag w:val="_PLD_74e68264673c4597881c5410d63b6c6f"/>
                <w:id w:val="6174"/>
              </w:sdtPr>
              <w:sdtContent>
                <w:r>
                  <w:rPr>
                    <w:rFonts w:hint="eastAsia"/>
                  </w:rPr>
                  <w:t>其中：资金</w:t>
                </w:r>
              </w:sdtContent>
            </w:sdt>
            <w:r>
              <w:rPr>
                <w:rFonts w:hint="eastAsia"/>
              </w:rPr>
              <w:t>（</w:t>
            </w:r>
            <w:sdt>
              <w:sdtPr>
                <w:rPr>
                  <w:rFonts w:hint="eastAsia"/>
                </w:rPr>
                <w:alias w:val="单位：对外捐赠、公益项目资金"/>
                <w:tag w:val="_GBC_cdf539ba1e6842ba87837cc093e99d8c"/>
                <w:id w:val="6175"/>
                <w:placeholder>
                  <w:docPart w:val="GBC11111111111111111111111111111"/>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rPr>
              </w:sdtEndPr>
              <w:sdtContent>
                <w:r>
                  <w:rPr>
                    <w:rFonts w:hint="eastAsia"/>
                  </w:rPr>
                  <w:t>万元</w:t>
                </w:r>
              </w:sdtContent>
            </w:sdt>
            <w:r>
              <w:rPr>
                <w:rFonts w:hint="eastAsia"/>
              </w:rPr>
              <w:t>）</w:t>
            </w:r>
          </w:p>
        </w:tc>
        <w:tc>
          <w:tcPr>
            <w:tcW w:w="2005" w:type="dxa"/>
            <w:vAlign w:val="center"/>
          </w:tcPr>
          <w:p>
            <w:pPr>
              <w:widowControl w:val="0"/>
              <w:jc w:val="right"/>
            </w:pPr>
            <w:r>
              <w:rPr>
                <w:rFonts w:hint="eastAsia"/>
                <w:color w:val="auto"/>
              </w:rPr>
              <w:t>2.0</w:t>
            </w:r>
          </w:p>
        </w:tc>
        <w:tc>
          <w:tcPr>
            <w:tcW w:w="4028" w:type="dxa"/>
            <w:vAlign w:val="center"/>
          </w:tcPr>
          <w:p>
            <w:pPr>
              <w:widowControl w:val="0"/>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6" w:type="dxa"/>
            <w:vAlign w:val="center"/>
          </w:tcPr>
          <w:p>
            <w:pPr>
              <w:widowControl w:val="0"/>
              <w:ind w:firstLine="630" w:firstLineChars="300"/>
              <w:jc w:val="both"/>
            </w:pPr>
            <w:sdt>
              <w:sdtPr>
                <w:tag w:val="_PLD_0011a929cca44c63ae225eb40c179693"/>
                <w:id w:val="6176"/>
              </w:sdtPr>
              <w:sdtContent>
                <w:r>
                  <w:rPr>
                    <w:rFonts w:hint="eastAsia"/>
                  </w:rPr>
                  <w:t>物资折款</w:t>
                </w:r>
              </w:sdtContent>
            </w:sdt>
            <w:r>
              <w:rPr>
                <w:rFonts w:hint="eastAsia"/>
              </w:rPr>
              <w:t>（</w:t>
            </w:r>
            <w:sdt>
              <w:sdtPr>
                <w:rPr>
                  <w:rFonts w:hint="eastAsia"/>
                </w:rPr>
                <w:alias w:val="单位：对外捐赠、公益项目物资折款"/>
                <w:tag w:val="_GBC_f0b7b13642c94169a98099a684129ab4"/>
                <w:id w:val="6177"/>
                <w:placeholder>
                  <w:docPart w:val="GBC11111111111111111111111111111"/>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rPr>
              </w:sdtEndPr>
              <w:sdtContent>
                <w:r>
                  <w:rPr>
                    <w:rFonts w:hint="eastAsia"/>
                  </w:rPr>
                  <w:t>万元</w:t>
                </w:r>
              </w:sdtContent>
            </w:sdt>
            <w:r>
              <w:rPr>
                <w:rFonts w:hint="eastAsia"/>
              </w:rPr>
              <w:t>）</w:t>
            </w:r>
          </w:p>
        </w:tc>
        <w:tc>
          <w:tcPr>
            <w:tcW w:w="2005" w:type="dxa"/>
            <w:vAlign w:val="center"/>
          </w:tcPr>
          <w:p>
            <w:pPr>
              <w:widowControl w:val="0"/>
              <w:jc w:val="right"/>
            </w:pPr>
            <w:r>
              <w:rPr>
                <w:rFonts w:hint="eastAsia"/>
                <w:color w:val="auto"/>
              </w:rPr>
              <w:t>29.91</w:t>
            </w:r>
          </w:p>
        </w:tc>
        <w:tc>
          <w:tcPr>
            <w:tcW w:w="4028" w:type="dxa"/>
            <w:vAlign w:val="center"/>
          </w:tcPr>
          <w:p>
            <w:pPr>
              <w:widowControl w:val="0"/>
              <w:jc w:val="both"/>
            </w:pPr>
            <w:r>
              <w:rPr>
                <w:rFonts w:hint="eastAsia"/>
                <w:color w:val="auto"/>
              </w:rPr>
              <w:t>支持洋溪乡开展医保政策宣传活动，提供产品；慰问信洞村小学、幼儿园师生；支持信洞村产业发展，采取“包销”方式购买信洞村种植的小土豆、高山红薯。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6" w:type="dxa"/>
            <w:vAlign w:val="center"/>
          </w:tcPr>
          <w:p>
            <w:pPr>
              <w:widowControl w:val="0"/>
              <w:jc w:val="both"/>
            </w:pPr>
            <w:r>
              <w:rPr>
                <w:rFonts w:hint="eastAsia"/>
              </w:rPr>
              <w:t>惠及人数（人）</w:t>
            </w:r>
          </w:p>
        </w:tc>
        <w:tc>
          <w:tcPr>
            <w:tcW w:w="2005" w:type="dxa"/>
            <w:vAlign w:val="center"/>
          </w:tcPr>
          <w:p>
            <w:pPr>
              <w:widowControl w:val="0"/>
              <w:jc w:val="right"/>
            </w:pPr>
            <w:r>
              <w:rPr>
                <w:rFonts w:hint="eastAsia"/>
                <w:color w:val="auto"/>
              </w:rPr>
              <w:t>7,476</w:t>
            </w:r>
          </w:p>
        </w:tc>
        <w:tc>
          <w:tcPr>
            <w:tcW w:w="4028" w:type="dxa"/>
            <w:vAlign w:val="center"/>
          </w:tcPr>
          <w:p>
            <w:pPr>
              <w:widowControl w:val="0"/>
              <w:jc w:val="both"/>
            </w:pPr>
            <w:r>
              <w:rPr>
                <w:rFonts w:hint="eastAsia"/>
                <w:color w:val="auto"/>
              </w:rPr>
              <w:t>全乡共行政村9个，一般脱贫户为1584户7476人。</w:t>
            </w:r>
          </w:p>
        </w:tc>
      </w:tr>
    </w:tbl>
    <w:p/>
    <w:p>
      <w:r>
        <w:rPr>
          <w:rFonts w:hint="eastAsia"/>
        </w:rPr>
        <w:t>具体说明</w:t>
      </w:r>
    </w:p>
    <w:sdt>
      <w:sdtPr>
        <w:rPr>
          <w:rFonts w:hint="eastAsia"/>
        </w:rPr>
        <w:alias w:val="是否适用：社会责任工作情况[双击切换]"/>
        <w:tag w:val="_GBC_193e5fab56724eddabaa8d0d74a4b129"/>
        <w:id w:val="6178"/>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社会责任工作情况"/>
        <w:tag w:val="_GBC_a9b541509de44900b46d09bc29c43131"/>
        <w:id w:val="6179"/>
        <w:placeholder>
          <w:docPart w:val="GBC22222222222222222222222222222"/>
        </w:placeholder>
      </w:sdtPr>
      <w:sdtEndPr>
        <w:rPr>
          <w:rFonts w:hint="eastAsia" w:ascii="宋体" w:hAnsi="宋体" w:eastAsia="宋体" w:cs="宋体"/>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宋体"/>
              <w:sz w:val="21"/>
            </w:rPr>
          </w:pPr>
          <w:r>
            <w:rPr>
              <w:rFonts w:hint="eastAsia" w:ascii="Times New Roman" w:hAnsi="Times New Roman"/>
              <w:sz w:val="21"/>
              <w:lang w:val="en-US" w:eastAsia="zh-CN"/>
            </w:rPr>
            <w:t xml:space="preserve"> </w:t>
          </w:r>
          <w:r>
            <w:rPr>
              <w:rFonts w:hint="eastAsia" w:ascii="Times New Roman" w:hAnsi="Times New Roman" w:eastAsia="宋体" w:cs="宋体"/>
              <w:sz w:val="21"/>
              <w:szCs w:val="21"/>
            </w:rPr>
            <w:t>公司以产业赋能社会，责任护航发展，将履行社会责任深度融入企业经营脉络，立足中药产业优势，不断传承创新，深耕国民健康福祉领域，以优质产品与专业服务回馈社会信赖，同时在公益帮扶、健康科普、民生助力等方面持续发力，推动企业发展与社会进步同频共振、共生共荣，用实际行动践行国企担当。</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rPr>
          </w:pPr>
          <w:r>
            <w:rPr>
              <w:rFonts w:hint="eastAsia" w:ascii="Times New Roman" w:hAnsi="Times New Roman" w:eastAsia="宋体" w:cs="宋体"/>
              <w:sz w:val="21"/>
              <w:szCs w:val="21"/>
            </w:rPr>
            <w:t>公司积极弘扬“奉献、友爱、互助、进步”的志愿服务精神，组织参与美化环境、植绿护绿、保护母亲河、无偿献血、抗洪清淤等志愿服务；积极开展希望工程捐赠，为乡村留守儿童捐赠财物、书籍，入村、入社区开展免费维修小家电、义务理发等帮扶活动，切实成为民生福祉的坚定守护者。报告期内，公司获中国口腔清洁护理用品工业协会授予“2025年度公益战略合作伙伴”称号。</w:t>
          </w:r>
        </w:p>
      </w:sdtContent>
    </w:sdt>
    <w:p/>
    <w:p>
      <w:pPr>
        <w:pStyle w:val="3"/>
        <w:numPr>
          <w:ilvl w:val="0"/>
          <w:numId w:val="21"/>
        </w:numPr>
        <w:ind w:left="420" w:hanging="420"/>
        <w:rPr>
          <w:rFonts w:hint="eastAsia" w:ascii="宋体" w:hAnsi="宋体" w:cs="宋体"/>
          <w:kern w:val="0"/>
          <w:szCs w:val="24"/>
        </w:rPr>
      </w:pPr>
      <w:r>
        <w:rPr>
          <w:rFonts w:hint="eastAsia" w:ascii="宋体" w:hAnsi="宋体" w:cs="宋体"/>
          <w:kern w:val="0"/>
          <w:szCs w:val="24"/>
        </w:rPr>
        <w:t>巩固拓展脱贫攻坚成果、乡村振兴等工作具体情况</w:t>
      </w:r>
    </w:p>
    <w:sdt>
      <w:sdtPr>
        <w:alias w:val="是否适用：巩固拓展脱贫攻坚成果、乡村振兴工作具体情况[双击切换]"/>
        <w:tag w:val="_GBC_94f5c59c87964f1f83743f3f44109e91"/>
        <w:id w:val="6180"/>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2267"/>
        <w:gridCol w:w="3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vAlign w:val="center"/>
          </w:tcPr>
          <w:sdt>
            <w:sdtPr>
              <w:tag w:val="_PLD_d29d252d89d54e55bc5bc96bc0b5b469"/>
              <w:id w:val="6181"/>
            </w:sdtPr>
            <w:sdtContent>
              <w:p>
                <w:pPr>
                  <w:widowControl w:val="0"/>
                  <w:jc w:val="center"/>
                </w:pPr>
                <w:r>
                  <w:rPr>
                    <w:rFonts w:hint="eastAsia"/>
                  </w:rPr>
                  <w:t>扶贫及乡村振兴项目</w:t>
                </w:r>
              </w:p>
            </w:sdtContent>
          </w:sdt>
        </w:tc>
        <w:tc>
          <w:tcPr>
            <w:tcW w:w="2267" w:type="dxa"/>
            <w:vAlign w:val="center"/>
          </w:tcPr>
          <w:sdt>
            <w:sdtPr>
              <w:tag w:val="_PLD_a6391e1627b241d296ea0039eb1df6ec"/>
              <w:id w:val="6182"/>
            </w:sdtPr>
            <w:sdtContent>
              <w:p>
                <w:pPr>
                  <w:widowControl w:val="0"/>
                  <w:jc w:val="center"/>
                </w:pPr>
                <w:r>
                  <w:rPr>
                    <w:rFonts w:hint="eastAsia"/>
                  </w:rPr>
                  <w:t>数量/内容</w:t>
                </w:r>
              </w:p>
            </w:sdtContent>
          </w:sdt>
        </w:tc>
        <w:tc>
          <w:tcPr>
            <w:tcW w:w="3695" w:type="dxa"/>
            <w:vAlign w:val="center"/>
          </w:tcPr>
          <w:sdt>
            <w:sdtPr>
              <w:tag w:val="_PLD_a8d1c4a093dd414b9639e1cb3e55c142"/>
              <w:id w:val="6183"/>
            </w:sdtPr>
            <w:sdtContent>
              <w:p>
                <w:pPr>
                  <w:widowControl w:val="0"/>
                  <w:jc w:val="center"/>
                </w:pPr>
                <w:r>
                  <w:rPr>
                    <w:rFonts w:hint="eastAsia"/>
                  </w:rPr>
                  <w:t>情况说明</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vAlign w:val="center"/>
          </w:tcPr>
          <w:p>
            <w:pPr>
              <w:widowControl w:val="0"/>
            </w:pPr>
            <w:sdt>
              <w:sdtPr>
                <w:tag w:val="_PLD_dae771cda9a1484bba73d2b716e9e1d0"/>
                <w:id w:val="6184"/>
              </w:sdtPr>
              <w:sdtContent>
                <w:r>
                  <w:rPr>
                    <w:rFonts w:hint="eastAsia"/>
                  </w:rPr>
                  <w:t>总投入</w:t>
                </w:r>
              </w:sdtContent>
            </w:sdt>
            <w:r>
              <w:rPr>
                <w:rFonts w:hint="eastAsia"/>
              </w:rPr>
              <w:t>（</w:t>
            </w:r>
            <w:sdt>
              <w:sdtPr>
                <w:rPr>
                  <w:rFonts w:hint="eastAsia"/>
                </w:rPr>
                <w:alias w:val="单位：扶贫总体投入"/>
                <w:tag w:val="_GBC_5f0221b7e67c41f098047fc332d7fdb0"/>
                <w:id w:val="6185"/>
                <w:placeholder>
                  <w:docPart w:val="GBC11111111111111111111111111111"/>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rPr>
              </w:sdtEndPr>
              <w:sdtContent>
                <w:r>
                  <w:rPr>
                    <w:rFonts w:hint="eastAsia"/>
                  </w:rPr>
                  <w:t>万元</w:t>
                </w:r>
              </w:sdtContent>
            </w:sdt>
            <w:r>
              <w:rPr>
                <w:rFonts w:hint="eastAsia"/>
              </w:rPr>
              <w:t>）</w:t>
            </w:r>
          </w:p>
        </w:tc>
        <w:tc>
          <w:tcPr>
            <w:tcW w:w="2267" w:type="dxa"/>
            <w:vAlign w:val="center"/>
          </w:tcPr>
          <w:p>
            <w:pPr>
              <w:widowControl w:val="0"/>
              <w:jc w:val="right"/>
            </w:pPr>
            <w:r>
              <w:rPr>
                <w:rFonts w:hint="eastAsia"/>
                <w:color w:val="auto"/>
              </w:rPr>
              <w:t>51.39</w:t>
            </w:r>
          </w:p>
        </w:tc>
        <w:tc>
          <w:tcPr>
            <w:tcW w:w="3695" w:type="dxa"/>
            <w:vAlign w:val="center"/>
          </w:tcPr>
          <w:p>
            <w:pPr>
              <w:widowControl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vAlign w:val="center"/>
          </w:tcPr>
          <w:p>
            <w:pPr>
              <w:widowControl w:val="0"/>
            </w:pPr>
            <w:sdt>
              <w:sdtPr>
                <w:tag w:val="_PLD_69ea38aa090e4fbbb17554804e8f1815"/>
                <w:id w:val="6186"/>
              </w:sdtPr>
              <w:sdtContent>
                <w:r>
                  <w:rPr>
                    <w:rFonts w:hint="eastAsia"/>
                  </w:rPr>
                  <w:t>其中：资金</w:t>
                </w:r>
              </w:sdtContent>
            </w:sdt>
            <w:r>
              <w:rPr>
                <w:rFonts w:hint="eastAsia"/>
              </w:rPr>
              <w:t>（</w:t>
            </w:r>
            <w:sdt>
              <w:sdtPr>
                <w:rPr>
                  <w:rFonts w:hint="eastAsia"/>
                </w:rPr>
                <w:alias w:val="单位：扶贫总体资金"/>
                <w:tag w:val="_GBC_ee2e74bc2b774ca490d2bc701194ed12"/>
                <w:id w:val="6187"/>
                <w:placeholder>
                  <w:docPart w:val="GBC11111111111111111111111111111"/>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rPr>
              </w:sdtEndPr>
              <w:sdtContent>
                <w:r>
                  <w:rPr>
                    <w:rFonts w:hint="eastAsia"/>
                  </w:rPr>
                  <w:t>万元</w:t>
                </w:r>
              </w:sdtContent>
            </w:sdt>
            <w:r>
              <w:rPr>
                <w:rFonts w:hint="eastAsia"/>
              </w:rPr>
              <w:t>）</w:t>
            </w:r>
          </w:p>
        </w:tc>
        <w:tc>
          <w:tcPr>
            <w:tcW w:w="2267" w:type="dxa"/>
            <w:vAlign w:val="center"/>
          </w:tcPr>
          <w:p>
            <w:pPr>
              <w:widowControl w:val="0"/>
              <w:jc w:val="right"/>
            </w:pPr>
            <w:r>
              <w:rPr>
                <w:rFonts w:hint="eastAsia"/>
                <w:color w:val="auto"/>
              </w:rPr>
              <w:t>47.26</w:t>
            </w:r>
          </w:p>
        </w:tc>
        <w:tc>
          <w:tcPr>
            <w:tcW w:w="3695" w:type="dxa"/>
            <w:vAlign w:val="center"/>
          </w:tcPr>
          <w:p>
            <w:pPr>
              <w:widowControl w:val="0"/>
            </w:pPr>
            <w:r>
              <w:rPr>
                <w:rFonts w:hint="eastAsia"/>
                <w:color w:val="auto"/>
              </w:rPr>
              <w:t>包括：工作队员（补贴、购买保险、</w:t>
            </w:r>
            <w:r>
              <w:rPr>
                <w:rFonts w:hint="eastAsia"/>
                <w:color w:val="auto"/>
                <w:lang w:val="en-US" w:eastAsia="zh-CN"/>
              </w:rPr>
              <w:t>体检</w:t>
            </w:r>
            <w:r>
              <w:rPr>
                <w:rFonts w:hint="eastAsia"/>
                <w:color w:val="auto"/>
              </w:rPr>
              <w:t>）、第一书记年度专项资金、慰问金、购买帮扶村农产品费用、调研费用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vAlign w:val="center"/>
          </w:tcPr>
          <w:p>
            <w:pPr>
              <w:widowControl w:val="0"/>
              <w:ind w:firstLine="630" w:firstLineChars="300"/>
              <w:jc w:val="both"/>
            </w:pPr>
            <w:sdt>
              <w:sdtPr>
                <w:tag w:val="_PLD_0ceb41eb583e412ea04995521d22af44"/>
                <w:id w:val="6188"/>
              </w:sdtPr>
              <w:sdtContent>
                <w:r>
                  <w:rPr>
                    <w:rFonts w:hint="eastAsia"/>
                  </w:rPr>
                  <w:t>物资折款</w:t>
                </w:r>
              </w:sdtContent>
            </w:sdt>
            <w:r>
              <w:rPr>
                <w:rFonts w:hint="eastAsia"/>
              </w:rPr>
              <w:t>（</w:t>
            </w:r>
            <w:sdt>
              <w:sdtPr>
                <w:rPr>
                  <w:rFonts w:hint="eastAsia"/>
                </w:rPr>
                <w:alias w:val="单位：扶贫物资折款"/>
                <w:tag w:val="_GBC_e913f66999ce4abcba46d8007b91edcb"/>
                <w:id w:val="6189"/>
                <w:placeholder>
                  <w:docPart w:val="GBC11111111111111111111111111111"/>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rPr>
              </w:sdtEndPr>
              <w:sdtContent>
                <w:r>
                  <w:rPr>
                    <w:rFonts w:hint="eastAsia"/>
                  </w:rPr>
                  <w:t>万元</w:t>
                </w:r>
              </w:sdtContent>
            </w:sdt>
            <w:r>
              <w:rPr>
                <w:rFonts w:hint="eastAsia"/>
              </w:rPr>
              <w:t>）</w:t>
            </w:r>
          </w:p>
        </w:tc>
        <w:tc>
          <w:tcPr>
            <w:tcW w:w="2267" w:type="dxa"/>
            <w:vAlign w:val="center"/>
          </w:tcPr>
          <w:p>
            <w:pPr>
              <w:widowControl w:val="0"/>
              <w:jc w:val="right"/>
            </w:pPr>
            <w:r>
              <w:rPr>
                <w:rFonts w:hint="eastAsia"/>
                <w:color w:val="auto"/>
              </w:rPr>
              <w:t>4.13</w:t>
            </w:r>
          </w:p>
        </w:tc>
        <w:tc>
          <w:tcPr>
            <w:tcW w:w="3695" w:type="dxa"/>
            <w:vAlign w:val="center"/>
          </w:tcPr>
          <w:p>
            <w:pPr>
              <w:widowControl w:val="0"/>
            </w:pPr>
            <w:r>
              <w:rPr>
                <w:rFonts w:hint="eastAsia"/>
                <w:color w:val="auto"/>
              </w:rPr>
              <w:t>慰问品物资折款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vAlign w:val="center"/>
          </w:tcPr>
          <w:p>
            <w:pPr>
              <w:widowControl w:val="0"/>
            </w:pPr>
            <w:r>
              <w:rPr>
                <w:rFonts w:hint="eastAsia"/>
              </w:rPr>
              <w:t>惠及人数（人）</w:t>
            </w:r>
          </w:p>
        </w:tc>
        <w:tc>
          <w:tcPr>
            <w:tcW w:w="2267" w:type="dxa"/>
            <w:vAlign w:val="center"/>
          </w:tcPr>
          <w:p>
            <w:pPr>
              <w:widowControl w:val="0"/>
              <w:jc w:val="right"/>
            </w:pPr>
            <w:r>
              <w:rPr>
                <w:rFonts w:hint="eastAsia"/>
                <w:color w:val="auto"/>
              </w:rPr>
              <w:t>253</w:t>
            </w:r>
          </w:p>
        </w:tc>
        <w:tc>
          <w:tcPr>
            <w:tcW w:w="3695" w:type="dxa"/>
            <w:vAlign w:val="center"/>
          </w:tcPr>
          <w:p>
            <w:pPr>
              <w:widowControl w:val="0"/>
            </w:pPr>
            <w:r>
              <w:rPr>
                <w:rFonts w:hint="eastAsia"/>
                <w:color w:val="auto"/>
              </w:rPr>
              <w:t>志愿服务、党建联建、入户慰问等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vAlign w:val="center"/>
          </w:tcPr>
          <w:p>
            <w:pPr>
              <w:widowControl w:val="0"/>
            </w:pPr>
            <w:r>
              <w:rPr>
                <w:rFonts w:hint="eastAsia"/>
              </w:rPr>
              <w:t>帮扶形式（如产业扶贫、就业扶贫、教育扶贫等）</w:t>
            </w:r>
          </w:p>
        </w:tc>
        <w:tc>
          <w:tcPr>
            <w:tcW w:w="2267" w:type="dxa"/>
            <w:vAlign w:val="center"/>
          </w:tcPr>
          <w:p>
            <w:pPr>
              <w:widowControl w:val="0"/>
              <w:jc w:val="right"/>
            </w:pPr>
            <w:r>
              <w:rPr>
                <w:rFonts w:hint="eastAsia"/>
                <w:color w:val="auto"/>
              </w:rPr>
              <w:t>产业扶贫、教育扶贫</w:t>
            </w:r>
          </w:p>
        </w:tc>
        <w:tc>
          <w:tcPr>
            <w:tcW w:w="3695" w:type="dxa"/>
            <w:vAlign w:val="center"/>
          </w:tcPr>
          <w:p>
            <w:pPr>
              <w:widowControl w:val="0"/>
            </w:pPr>
          </w:p>
        </w:tc>
      </w:tr>
    </w:tbl>
    <w:p/>
    <w:p>
      <w:r>
        <w:t>具体说明</w:t>
      </w:r>
    </w:p>
    <w:sdt>
      <w:sdtPr>
        <w:alias w:val="是否适用：巩固拓展脱贫攻坚成果、乡村振兴等工作具体情况其他说明[双击切换]"/>
        <w:tag w:val="_GBC_da0a87234d174e509f00e24b4a8320dc"/>
        <w:id w:val="6190"/>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巩固拓展脱贫攻坚成果、乡村振兴工作具体情况"/>
        <w:tag w:val="_GBC_6af1d9c635ca457eaede5db7b23daa68"/>
        <w:id w:val="6191"/>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宋体"/>
              <w:sz w:val="21"/>
            </w:rPr>
          </w:pPr>
          <w:r>
            <w:rPr>
              <w:rFonts w:hint="eastAsia" w:ascii="Times New Roman" w:hAnsi="Times New Roman" w:eastAsia="宋体" w:cs="宋体"/>
              <w:sz w:val="21"/>
              <w:szCs w:val="21"/>
            </w:rPr>
            <w:t>公司积极响应国家乡村振兴战略号召，自2021年4月定点帮扶三江县洋溪乡信洞村以来，持续派驻专人驻村推进帮扶工作。公司领导多次带队深入信洞村实地调研，与村委干部、驻村工作队员共同探索发展集体产业路径，着力壮大村集体经济、带动村民增收。</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pPr>
          <w:r>
            <w:rPr>
              <w:rFonts w:hint="eastAsia" w:ascii="Times New Roman" w:hAnsi="Times New Roman" w:eastAsia="宋体" w:cs="宋体"/>
              <w:sz w:val="21"/>
              <w:szCs w:val="21"/>
            </w:rPr>
            <w:t>2025年，公司持续加大帮扶投入，通过多种方式助力信洞村发展。组织开展“送温暖”“三下乡”等慰问活动，通过口腔科普、便民理发、家电维修、捐赠物资等志愿服务，传递企业关怀与温暖。同时，</w:t>
          </w:r>
          <w:r>
            <w:rPr>
              <w:rFonts w:hint="eastAsia" w:ascii="Times New Roman" w:hAnsi="Times New Roman" w:eastAsia="宋体" w:cs="宋体"/>
              <w:sz w:val="21"/>
            </w:rPr>
            <w:t>投入资金支持小土豆、高山红薯示范种植，积极助力信洞村特色农产品产销，</w:t>
          </w:r>
          <w:r>
            <w:rPr>
              <w:rFonts w:hint="eastAsia" w:ascii="Times New Roman" w:hAnsi="Times New Roman" w:eastAsia="宋体" w:cs="宋体"/>
              <w:sz w:val="21"/>
              <w:szCs w:val="21"/>
            </w:rPr>
            <w:t>切实以产业帮扶推动村集体与农户共同增收。</w:t>
          </w:r>
        </w:p>
      </w:sdtContent>
    </w:sdt>
    <w:p/>
    <w:p>
      <w:pPr>
        <w:pStyle w:val="3"/>
        <w:numPr>
          <w:ilvl w:val="0"/>
          <w:numId w:val="21"/>
        </w:numPr>
      </w:pPr>
      <w:r>
        <w:t>其他</w:t>
      </w:r>
    </w:p>
    <w:sdt>
      <w:sdtPr>
        <w:rPr>
          <w:rFonts w:hint="eastAsia"/>
          <w:szCs w:val="21"/>
        </w:rPr>
        <w:alias w:val="是否适用：其他公司治理情况说明[双击切换]"/>
        <w:tag w:val="_GBC_dc91085943bb4d4ab22a79a9ba7014df"/>
        <w:id w:val="6192"/>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Pr>
        <w:sectPr>
          <w:pgSz w:w="11906" w:h="16838"/>
          <w:pgMar w:top="1525" w:right="1276" w:bottom="1440" w:left="1797" w:header="851" w:footer="992" w:gutter="0"/>
          <w:cols w:space="425" w:num="1"/>
          <w:docGrid w:linePitch="312" w:charSpace="0"/>
        </w:sectPr>
      </w:pPr>
    </w:p>
    <w:bookmarkEnd w:id="113"/>
    <w:bookmarkEnd w:id="114"/>
    <w:sdt>
      <w:sdtPr>
        <w:tag w:val="_PLD_033b88fe763e40ef8137266903b1a33e"/>
        <w:id w:val="6193"/>
      </w:sdtPr>
      <w:sdtContent>
        <w:p>
          <w:pPr>
            <w:pStyle w:val="2"/>
            <w:numPr>
              <w:ilvl w:val="0"/>
              <w:numId w:val="2"/>
            </w:numPr>
          </w:pPr>
          <w:bookmarkStart w:id="115" w:name="_Toc191024260"/>
          <w:bookmarkStart w:id="116" w:name="_Hlk90554245"/>
          <w:r>
            <w:rPr>
              <w:rFonts w:hint="eastAsia"/>
            </w:rPr>
            <w:t>重要事项</w:t>
          </w:r>
        </w:p>
      </w:sdtContent>
    </w:sdt>
    <w:bookmarkEnd w:id="115"/>
    <w:p>
      <w:pPr>
        <w:pStyle w:val="3"/>
        <w:numPr>
          <w:ilvl w:val="0"/>
          <w:numId w:val="30"/>
        </w:numPr>
      </w:pPr>
      <w:r>
        <w:rPr>
          <w:rFonts w:hint="eastAsia"/>
        </w:rPr>
        <w:t>承诺事项履行情况</w:t>
      </w:r>
    </w:p>
    <w:p>
      <w:pPr>
        <w:pStyle w:val="4"/>
        <w:numPr>
          <w:ilvl w:val="1"/>
          <w:numId w:val="31"/>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7f8023d2dd4a4d4098835890009f7c40"/>
        <w:id w:val="619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981"/>
        <w:gridCol w:w="1523"/>
        <w:gridCol w:w="4293"/>
        <w:gridCol w:w="1429"/>
        <w:gridCol w:w="556"/>
        <w:gridCol w:w="600"/>
        <w:gridCol w:w="731"/>
        <w:gridCol w:w="993"/>
        <w:gridCol w:w="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vAlign w:val="center"/>
          </w:tcPr>
          <w:sdt>
            <w:sdtPr>
              <w:tag w:val="_PLD_415cfb23b46b41fba9f0b895a1088fd6"/>
              <w:id w:val="6195"/>
            </w:sdtPr>
            <w:sdtContent>
              <w:p>
                <w:pPr>
                  <w:jc w:val="center"/>
                  <w:rPr>
                    <w:szCs w:val="21"/>
                  </w:rPr>
                </w:pPr>
                <w:r>
                  <w:rPr>
                    <w:rFonts w:hint="eastAsia"/>
                    <w:szCs w:val="21"/>
                  </w:rPr>
                  <w:t>承诺背景</w:t>
                </w:r>
              </w:p>
            </w:sdtContent>
          </w:sdt>
        </w:tc>
        <w:tc>
          <w:tcPr>
            <w:tcW w:w="981" w:type="dxa"/>
            <w:vAlign w:val="center"/>
          </w:tcPr>
          <w:sdt>
            <w:sdtPr>
              <w:tag w:val="_PLD_6d89eb5533974f2f9b788e2563589a7c"/>
              <w:id w:val="6196"/>
            </w:sdtPr>
            <w:sdtContent>
              <w:p>
                <w:pPr>
                  <w:jc w:val="center"/>
                  <w:rPr>
                    <w:szCs w:val="21"/>
                  </w:rPr>
                </w:pPr>
                <w:r>
                  <w:rPr>
                    <w:rFonts w:hint="eastAsia"/>
                    <w:szCs w:val="21"/>
                  </w:rPr>
                  <w:t>承诺</w:t>
                </w:r>
              </w:p>
              <w:p>
                <w:pPr>
                  <w:jc w:val="center"/>
                  <w:rPr>
                    <w:szCs w:val="21"/>
                  </w:rPr>
                </w:pPr>
                <w:r>
                  <w:rPr>
                    <w:rFonts w:hint="eastAsia"/>
                    <w:szCs w:val="21"/>
                  </w:rPr>
                  <w:t>类型</w:t>
                </w:r>
              </w:p>
            </w:sdtContent>
          </w:sdt>
        </w:tc>
        <w:tc>
          <w:tcPr>
            <w:tcW w:w="1523" w:type="dxa"/>
            <w:vAlign w:val="center"/>
          </w:tcPr>
          <w:sdt>
            <w:sdtPr>
              <w:tag w:val="_PLD_4e3459cf954648c5ade489d7f239c9b2"/>
              <w:id w:val="6197"/>
            </w:sdtPr>
            <w:sdtContent>
              <w:p>
                <w:pPr>
                  <w:jc w:val="center"/>
                  <w:rPr>
                    <w:szCs w:val="21"/>
                  </w:rPr>
                </w:pPr>
                <w:r>
                  <w:rPr>
                    <w:rFonts w:hint="eastAsia"/>
                    <w:szCs w:val="21"/>
                  </w:rPr>
                  <w:t>承诺方</w:t>
                </w:r>
              </w:p>
            </w:sdtContent>
          </w:sdt>
        </w:tc>
        <w:tc>
          <w:tcPr>
            <w:tcW w:w="4293" w:type="dxa"/>
            <w:vAlign w:val="center"/>
          </w:tcPr>
          <w:sdt>
            <w:sdtPr>
              <w:tag w:val="_PLD_b7ba969a5a9f484b969e33829f8fee27"/>
              <w:id w:val="6198"/>
            </w:sdtPr>
            <w:sdtContent>
              <w:p>
                <w:pPr>
                  <w:jc w:val="center"/>
                  <w:rPr>
                    <w:szCs w:val="21"/>
                  </w:rPr>
                </w:pPr>
                <w:r>
                  <w:rPr>
                    <w:rFonts w:hint="eastAsia"/>
                    <w:szCs w:val="21"/>
                  </w:rPr>
                  <w:t>承诺</w:t>
                </w:r>
              </w:p>
              <w:p>
                <w:pPr>
                  <w:jc w:val="center"/>
                  <w:rPr>
                    <w:szCs w:val="21"/>
                  </w:rPr>
                </w:pPr>
                <w:r>
                  <w:rPr>
                    <w:rFonts w:hint="eastAsia"/>
                    <w:szCs w:val="21"/>
                  </w:rPr>
                  <w:t>内容</w:t>
                </w:r>
              </w:p>
            </w:sdtContent>
          </w:sdt>
        </w:tc>
        <w:tc>
          <w:tcPr>
            <w:tcW w:w="1429" w:type="dxa"/>
            <w:vAlign w:val="center"/>
          </w:tcPr>
          <w:sdt>
            <w:sdtPr>
              <w:tag w:val="_PLD_080af5a89fc040bc90935cec09ab2cd1"/>
              <w:id w:val="6199"/>
            </w:sdtPr>
            <w:sdtContent>
              <w:p>
                <w:pPr>
                  <w:jc w:val="center"/>
                </w:pPr>
                <w:r>
                  <w:rPr>
                    <w:rFonts w:hint="eastAsia"/>
                  </w:rPr>
                  <w:t>承诺时间</w:t>
                </w:r>
              </w:p>
            </w:sdtContent>
          </w:sdt>
        </w:tc>
        <w:tc>
          <w:tcPr>
            <w:tcW w:w="556" w:type="dxa"/>
            <w:vAlign w:val="center"/>
          </w:tcPr>
          <w:sdt>
            <w:sdtPr>
              <w:tag w:val="_PLD_81953845df7c406091c017485ffe89d0"/>
              <w:id w:val="6200"/>
            </w:sdtPr>
            <w:sdtContent>
              <w:p>
                <w:pPr>
                  <w:jc w:val="center"/>
                  <w:rPr>
                    <w:szCs w:val="21"/>
                  </w:rPr>
                </w:pPr>
                <w:r>
                  <w:rPr>
                    <w:rFonts w:hint="eastAsia"/>
                    <w:szCs w:val="21"/>
                  </w:rPr>
                  <w:t>是否有履行期限</w:t>
                </w:r>
              </w:p>
            </w:sdtContent>
          </w:sdt>
        </w:tc>
        <w:tc>
          <w:tcPr>
            <w:tcW w:w="600" w:type="dxa"/>
            <w:vAlign w:val="center"/>
          </w:tcPr>
          <w:sdt>
            <w:sdtPr>
              <w:tag w:val="_PLD_95bd18790c864943ab7728a2218411a4"/>
              <w:id w:val="6201"/>
            </w:sdtPr>
            <w:sdtContent>
              <w:p>
                <w:pPr>
                  <w:jc w:val="center"/>
                </w:pPr>
                <w:r>
                  <w:rPr>
                    <w:rFonts w:hint="eastAsia"/>
                  </w:rPr>
                  <w:t>承诺期限</w:t>
                </w:r>
              </w:p>
            </w:sdtContent>
          </w:sdt>
        </w:tc>
        <w:tc>
          <w:tcPr>
            <w:tcW w:w="731" w:type="dxa"/>
            <w:vAlign w:val="center"/>
          </w:tcPr>
          <w:sdt>
            <w:sdtPr>
              <w:tag w:val="_PLD_f70c8d8e3e374db7a8e212809462bcc0"/>
              <w:id w:val="6202"/>
            </w:sdtPr>
            <w:sdtContent>
              <w:p>
                <w:pPr>
                  <w:jc w:val="center"/>
                  <w:rPr>
                    <w:szCs w:val="21"/>
                  </w:rPr>
                </w:pPr>
                <w:r>
                  <w:rPr>
                    <w:rFonts w:hint="eastAsia"/>
                    <w:szCs w:val="21"/>
                  </w:rPr>
                  <w:t>是否及时严格履行</w:t>
                </w:r>
              </w:p>
            </w:sdtContent>
          </w:sdt>
        </w:tc>
        <w:tc>
          <w:tcPr>
            <w:tcW w:w="993" w:type="dxa"/>
            <w:vAlign w:val="center"/>
          </w:tcPr>
          <w:sdt>
            <w:sdtPr>
              <w:tag w:val="_PLD_30da9c1a74564266bdab010410b3cfc4"/>
              <w:id w:val="6203"/>
            </w:sdtPr>
            <w:sdtContent>
              <w:p>
                <w:pPr>
                  <w:jc w:val="center"/>
                  <w:rPr>
                    <w:szCs w:val="21"/>
                  </w:rPr>
                </w:pPr>
                <w:r>
                  <w:rPr>
                    <w:rFonts w:hint="eastAsia"/>
                    <w:szCs w:val="21"/>
                  </w:rPr>
                  <w:t>如未能及时履行应说明未完成履行的具体原因</w:t>
                </w:r>
              </w:p>
            </w:sdtContent>
          </w:sdt>
        </w:tc>
        <w:tc>
          <w:tcPr>
            <w:tcW w:w="883" w:type="dxa"/>
            <w:vAlign w:val="center"/>
          </w:tcPr>
          <w:sdt>
            <w:sdtPr>
              <w:tag w:val="_PLD_885166d72adc442aaa68aa0f496582ae"/>
              <w:id w:val="6204"/>
            </w:sdtPr>
            <w:sdtContent>
              <w:p>
                <w:pPr>
                  <w:jc w:val="center"/>
                  <w:rPr>
                    <w:szCs w:val="21"/>
                  </w:rPr>
                </w:pPr>
                <w:r>
                  <w:rPr>
                    <w:rFonts w:hint="eastAsia"/>
                    <w:szCs w:val="21"/>
                  </w:rPr>
                  <w:t>如未能及时履行应说明下一步计划</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076" w:type="dxa"/>
            <w:vMerge w:val="restart"/>
            <w:vAlign w:val="center"/>
          </w:tcPr>
          <w:p>
            <w:pPr>
              <w:jc w:val="both"/>
              <w:rPr>
                <w:szCs w:val="21"/>
              </w:rPr>
            </w:pPr>
            <w:r>
              <w:rPr>
                <w:rFonts w:hint="eastAsia"/>
                <w:szCs w:val="21"/>
              </w:rPr>
              <w:t>收购报告书或权益变动报告书中所作承诺</w:t>
            </w:r>
          </w:p>
        </w:tc>
        <w:tc>
          <w:tcPr>
            <w:tcW w:w="981" w:type="dxa"/>
            <w:vAlign w:val="center"/>
          </w:tcPr>
          <w:sdt>
            <w:sdtPr>
              <w:rPr>
                <w:szCs w:val="21"/>
              </w:rPr>
              <w:alias w:val="与收购报告书或权益变动报告书相关承诺-承诺类型"/>
              <w:tag w:val="_GBC_7e8c7b9404c242d88bc81acdfb745cf2"/>
              <w:id w:val="6205"/>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p>
                <w:pPr>
                  <w:rPr>
                    <w:color w:val="FFC000"/>
                    <w:szCs w:val="21"/>
                  </w:rPr>
                </w:pPr>
                <w:r>
                  <w:rPr>
                    <w:rFonts w:hint="eastAsia"/>
                    <w:szCs w:val="21"/>
                  </w:rPr>
                  <w:t>解决同业竞争</w:t>
                </w:r>
              </w:p>
            </w:sdtContent>
          </w:sdt>
        </w:tc>
        <w:tc>
          <w:tcPr>
            <w:tcW w:w="1523" w:type="dxa"/>
            <w:vAlign w:val="center"/>
          </w:tcPr>
          <w:p>
            <w:pPr>
              <w:rPr>
                <w:szCs w:val="21"/>
              </w:rPr>
            </w:pPr>
            <w:r>
              <w:rPr>
                <w:rFonts w:hint="eastAsia"/>
                <w:color w:val="auto"/>
              </w:rPr>
              <w:t>广西柳州市产业投资发展集团有限公司</w:t>
            </w:r>
          </w:p>
        </w:tc>
        <w:tc>
          <w:tcPr>
            <w:tcW w:w="4293" w:type="dxa"/>
            <w:vAlign w:val="center"/>
          </w:tcPr>
          <w:p>
            <w:pPr>
              <w:rPr>
                <w:szCs w:val="21"/>
              </w:rPr>
            </w:pPr>
            <w:r>
              <w:rPr>
                <w:rFonts w:hint="eastAsia"/>
                <w:color w:val="auto"/>
              </w:rPr>
              <w:t>保证现在和将来不经营与本公司相同的业务；亦不间接经营、参与投资与本公司业务有竞争或可能有竞争的企业；同时保证不利用其控制地位损害本公司及其他股东的合法权益。</w:t>
            </w:r>
          </w:p>
        </w:tc>
        <w:tc>
          <w:tcPr>
            <w:tcW w:w="1429" w:type="dxa"/>
            <w:vAlign w:val="center"/>
          </w:tcPr>
          <w:p>
            <w:pPr>
              <w:jc w:val="center"/>
              <w:rPr>
                <w:szCs w:val="21"/>
              </w:rPr>
            </w:pPr>
            <w:r>
              <w:rPr>
                <w:rFonts w:hint="eastAsia"/>
                <w:color w:val="auto"/>
              </w:rPr>
              <w:t>2011年1月</w:t>
            </w:r>
          </w:p>
        </w:tc>
        <w:tc>
          <w:tcPr>
            <w:tcW w:w="556" w:type="dxa"/>
            <w:vAlign w:val="center"/>
          </w:tcPr>
          <w:sdt>
            <w:sdtPr>
              <w:rPr>
                <w:szCs w:val="21"/>
              </w:rPr>
              <w:alias w:val="与收购报告书或权益变动报告书相关承诺-是否有履行期限"/>
              <w:tag w:val="_GBC_3738be69c5c34784a9199ff6b9605c3b"/>
              <w:id w:val="6206"/>
              <w:comboBox>
                <w:listItem w:displayText="是" w:value="true"/>
                <w:listItem w:displayText="否" w:value="false"/>
              </w:comboBox>
            </w:sdtPr>
            <w:sdtEndPr>
              <w:rPr>
                <w:szCs w:val="21"/>
              </w:rPr>
            </w:sdtEndPr>
            <w:sdtContent>
              <w:p>
                <w:pPr>
                  <w:jc w:val="center"/>
                  <w:rPr>
                    <w:color w:val="FFC000"/>
                    <w:szCs w:val="21"/>
                  </w:rPr>
                </w:pPr>
                <w:r>
                  <w:rPr>
                    <w:rFonts w:hint="eastAsia"/>
                    <w:szCs w:val="21"/>
                  </w:rPr>
                  <w:t>否</w:t>
                </w:r>
              </w:p>
            </w:sdtContent>
          </w:sdt>
        </w:tc>
        <w:tc>
          <w:tcPr>
            <w:tcW w:w="600" w:type="dxa"/>
            <w:vAlign w:val="center"/>
          </w:tcPr>
          <w:p>
            <w:pPr>
              <w:jc w:val="center"/>
              <w:rPr>
                <w:szCs w:val="21"/>
              </w:rPr>
            </w:pPr>
            <w:r>
              <w:rPr>
                <w:rFonts w:hint="eastAsia"/>
                <w:color w:val="auto"/>
              </w:rPr>
              <w:t>长期有效</w:t>
            </w:r>
          </w:p>
        </w:tc>
        <w:tc>
          <w:tcPr>
            <w:tcW w:w="731" w:type="dxa"/>
            <w:vAlign w:val="center"/>
          </w:tcPr>
          <w:sdt>
            <w:sdtPr>
              <w:rPr>
                <w:szCs w:val="21"/>
              </w:rPr>
              <w:alias w:val="与收购报告书或权益变动报告书相关承诺-是否及时严格履行"/>
              <w:tag w:val="_GBC_a8c36729ed1a46eb8af473efbe8b609b"/>
              <w:id w:val="6207"/>
              <w:comboBox>
                <w:listItem w:displayText="是" w:value="true"/>
                <w:listItem w:displayText="否" w:value="false"/>
              </w:comboBox>
            </w:sdtPr>
            <w:sdtEndPr>
              <w:rPr>
                <w:szCs w:val="21"/>
              </w:rPr>
            </w:sdtEndPr>
            <w:sdtContent>
              <w:p>
                <w:pPr>
                  <w:jc w:val="center"/>
                  <w:rPr>
                    <w:color w:val="FFC000"/>
                    <w:szCs w:val="21"/>
                  </w:rPr>
                </w:pPr>
                <w:r>
                  <w:rPr>
                    <w:rFonts w:hint="eastAsia"/>
                    <w:szCs w:val="21"/>
                  </w:rPr>
                  <w:t>是</w:t>
                </w:r>
              </w:p>
            </w:sdtContent>
          </w:sdt>
        </w:tc>
        <w:tc>
          <w:tcPr>
            <w:tcW w:w="993" w:type="dxa"/>
            <w:vAlign w:val="center"/>
          </w:tcPr>
          <w:p>
            <w:pPr>
              <w:rPr>
                <w:szCs w:val="21"/>
              </w:rPr>
            </w:pPr>
            <w:r>
              <w:rPr>
                <w:rFonts w:hint="eastAsia"/>
                <w:color w:val="auto"/>
              </w:rPr>
              <w:t> </w:t>
            </w:r>
          </w:p>
        </w:tc>
        <w:tc>
          <w:tcPr>
            <w:tcW w:w="883" w:type="dxa"/>
            <w:vAlign w:val="center"/>
          </w:tcPr>
          <w:p>
            <w:pPr>
              <w:rPr>
                <w:szCs w:val="21"/>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vMerge w:val="continue"/>
            <w:vAlign w:val="center"/>
          </w:tcPr>
          <w:p>
            <w:pPr>
              <w:jc w:val="both"/>
              <w:rPr>
                <w:szCs w:val="21"/>
              </w:rPr>
            </w:pPr>
          </w:p>
        </w:tc>
        <w:tc>
          <w:tcPr>
            <w:tcW w:w="981" w:type="dxa"/>
            <w:vAlign w:val="center"/>
          </w:tcPr>
          <w:p>
            <w:pPr>
              <w:rPr>
                <w:color w:val="FFC000"/>
                <w:szCs w:val="21"/>
              </w:rPr>
            </w:pPr>
            <w:r>
              <w:rPr>
                <w:rFonts w:hint="eastAsia"/>
                <w:szCs w:val="21"/>
              </w:rPr>
              <w:t>解决关联交易</w:t>
            </w:r>
          </w:p>
        </w:tc>
        <w:tc>
          <w:tcPr>
            <w:tcW w:w="1523" w:type="dxa"/>
            <w:vAlign w:val="center"/>
          </w:tcPr>
          <w:p>
            <w:pPr>
              <w:rPr>
                <w:szCs w:val="21"/>
              </w:rPr>
            </w:pPr>
            <w:r>
              <w:rPr>
                <w:rFonts w:hint="eastAsia"/>
                <w:color w:val="auto"/>
              </w:rPr>
              <w:t>广西柳州市产业投资发展集团有限公司</w:t>
            </w:r>
          </w:p>
        </w:tc>
        <w:tc>
          <w:tcPr>
            <w:tcW w:w="4293" w:type="dxa"/>
            <w:vAlign w:val="center"/>
          </w:tcPr>
          <w:p>
            <w:pPr>
              <w:rPr>
                <w:szCs w:val="21"/>
              </w:rPr>
            </w:pPr>
            <w:r>
              <w:rPr>
                <w:rFonts w:hint="eastAsia"/>
                <w:color w:val="auto"/>
              </w:rPr>
              <w:t>对于广西柳州市产业投资发展集团有限公司及所属企业将来与本公司发生的关联交易，广西柳州市产业投资发展集团有限公司将严格履行上市公司关联交易的决策程序，遵循市场定价原则，确保公平、公正、公允，不损害本公司及其他股东的合法权益。</w:t>
            </w:r>
          </w:p>
        </w:tc>
        <w:tc>
          <w:tcPr>
            <w:tcW w:w="1429" w:type="dxa"/>
            <w:vAlign w:val="center"/>
          </w:tcPr>
          <w:p>
            <w:pPr>
              <w:jc w:val="center"/>
              <w:rPr>
                <w:szCs w:val="21"/>
              </w:rPr>
            </w:pPr>
            <w:r>
              <w:rPr>
                <w:rFonts w:hint="eastAsia"/>
                <w:color w:val="auto"/>
              </w:rPr>
              <w:t>2011年1月</w:t>
            </w:r>
          </w:p>
        </w:tc>
        <w:tc>
          <w:tcPr>
            <w:tcW w:w="556" w:type="dxa"/>
            <w:vAlign w:val="center"/>
          </w:tcPr>
          <w:p>
            <w:pPr>
              <w:jc w:val="center"/>
              <w:rPr>
                <w:color w:val="FFC000"/>
                <w:szCs w:val="21"/>
              </w:rPr>
            </w:pPr>
            <w:r>
              <w:rPr>
                <w:rFonts w:hint="eastAsia"/>
                <w:szCs w:val="21"/>
              </w:rPr>
              <w:t>否</w:t>
            </w:r>
          </w:p>
        </w:tc>
        <w:tc>
          <w:tcPr>
            <w:tcW w:w="600" w:type="dxa"/>
            <w:vAlign w:val="center"/>
          </w:tcPr>
          <w:p>
            <w:pPr>
              <w:jc w:val="center"/>
              <w:rPr>
                <w:szCs w:val="21"/>
              </w:rPr>
            </w:pPr>
            <w:r>
              <w:rPr>
                <w:rFonts w:hint="eastAsia"/>
                <w:color w:val="auto"/>
              </w:rPr>
              <w:t>长期有效</w:t>
            </w:r>
          </w:p>
        </w:tc>
        <w:tc>
          <w:tcPr>
            <w:tcW w:w="731" w:type="dxa"/>
            <w:vAlign w:val="center"/>
          </w:tcPr>
          <w:p>
            <w:pPr>
              <w:jc w:val="center"/>
              <w:rPr>
                <w:color w:val="FFC000"/>
                <w:szCs w:val="21"/>
              </w:rPr>
            </w:pPr>
            <w:r>
              <w:rPr>
                <w:rFonts w:hint="eastAsia"/>
                <w:szCs w:val="21"/>
              </w:rPr>
              <w:t>是</w:t>
            </w:r>
          </w:p>
        </w:tc>
        <w:tc>
          <w:tcPr>
            <w:tcW w:w="993" w:type="dxa"/>
            <w:vAlign w:val="center"/>
          </w:tcPr>
          <w:p>
            <w:pPr>
              <w:rPr>
                <w:szCs w:val="21"/>
              </w:rPr>
            </w:pPr>
            <w:r>
              <w:rPr>
                <w:rFonts w:hint="eastAsia"/>
                <w:color w:val="auto"/>
              </w:rPr>
              <w:t> </w:t>
            </w:r>
          </w:p>
        </w:tc>
        <w:tc>
          <w:tcPr>
            <w:tcW w:w="883" w:type="dxa"/>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vMerge w:val="restart"/>
            <w:vAlign w:val="center"/>
          </w:tcPr>
          <w:p>
            <w:pPr>
              <w:jc w:val="both"/>
              <w:rPr>
                <w:szCs w:val="21"/>
              </w:rPr>
            </w:pPr>
            <w:r>
              <w:rPr>
                <w:rFonts w:hint="eastAsia"/>
                <w:szCs w:val="21"/>
              </w:rPr>
              <w:t>与重大资产重组相关的承诺</w:t>
            </w:r>
          </w:p>
        </w:tc>
        <w:tc>
          <w:tcPr>
            <w:tcW w:w="981" w:type="dxa"/>
            <w:vAlign w:val="center"/>
          </w:tcPr>
          <w:sdt>
            <w:sdtPr>
              <w:rPr>
                <w:szCs w:val="21"/>
              </w:rPr>
              <w:alias w:val="与重大资产重组相关的承诺-承诺类型"/>
              <w:tag w:val="_GBC_aa9c1c9305e348ad982dd128c1675ee8"/>
              <w:id w:val="6208"/>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p>
                <w:pPr>
                  <w:rPr>
                    <w:color w:val="FFC000"/>
                    <w:szCs w:val="21"/>
                  </w:rPr>
                </w:pPr>
                <w:r>
                  <w:rPr>
                    <w:rFonts w:hint="eastAsia"/>
                    <w:szCs w:val="21"/>
                  </w:rPr>
                  <w:t>解决同业竞争</w:t>
                </w:r>
              </w:p>
            </w:sdtContent>
          </w:sdt>
        </w:tc>
        <w:tc>
          <w:tcPr>
            <w:tcW w:w="1523" w:type="dxa"/>
            <w:vAlign w:val="center"/>
          </w:tcPr>
          <w:p>
            <w:pPr>
              <w:rPr>
                <w:szCs w:val="21"/>
              </w:rPr>
            </w:pPr>
            <w:r>
              <w:rPr>
                <w:rFonts w:hint="eastAsia"/>
                <w:color w:val="auto"/>
              </w:rPr>
              <w:t>广西柳州市产业投资发展集团有限公司</w:t>
            </w:r>
          </w:p>
        </w:tc>
        <w:tc>
          <w:tcPr>
            <w:tcW w:w="4293" w:type="dxa"/>
            <w:vAlign w:val="center"/>
          </w:tcPr>
          <w:p>
            <w:pPr>
              <w:rPr>
                <w:szCs w:val="21"/>
              </w:rPr>
            </w:pPr>
            <w:r>
              <w:rPr>
                <w:rFonts w:hint="eastAsia"/>
                <w:color w:val="auto"/>
              </w:rPr>
              <w:t>1. 本公司不以直接或间接的方式从事、参与与上市公司及其下属企业经营业务构成潜在的直接或间接竞争的业务；保证将采取合法及有效的措施，促使本公司控制的其他企业不从事、参与与上市公司及其下属企业的经营运作相竞争的任何业务；2.如上市公司进一步拓展其业务范围，本公司及本公司控制的其他企业将不与上市公司拓展后的业务相竞争；可能与上市公司拓展后的业务产生竞争的，本公司及本公司控制的其他企业将按照如下方式退出与上市公司的竞争：（1）停止与上市公司构成竞争或可能构成竞争的业务；将相竞争的业务纳入到上市公司来经营；（3）将相竞争的业务转让给无关联的第三方；3.如本公司及本公司控制的其他企业有任何商业机会可从事、参与任何可能与上市公司的经营运作构成竞争的活动，则立即将上述商业机会通知上市公司，在通知中所指定的合理期间内，上市公司作出愿意利用该商业机会的肯定答复的，则尽力将该商业机会给予上市公司；4.如违反以上承诺，本公司愿意承担由此产生的全部责任，充分赔偿或补偿由此给上市公司造成的所有直接或间接损失。</w:t>
            </w:r>
          </w:p>
        </w:tc>
        <w:tc>
          <w:tcPr>
            <w:tcW w:w="1429" w:type="dxa"/>
            <w:vAlign w:val="center"/>
          </w:tcPr>
          <w:p>
            <w:pPr>
              <w:jc w:val="center"/>
              <w:rPr>
                <w:szCs w:val="21"/>
              </w:rPr>
            </w:pPr>
            <w:r>
              <w:rPr>
                <w:rFonts w:hint="eastAsia"/>
                <w:color w:val="auto"/>
              </w:rPr>
              <w:t>2019年11月</w:t>
            </w:r>
          </w:p>
        </w:tc>
        <w:tc>
          <w:tcPr>
            <w:tcW w:w="556" w:type="dxa"/>
            <w:vAlign w:val="center"/>
          </w:tcPr>
          <w:sdt>
            <w:sdtPr>
              <w:rPr>
                <w:szCs w:val="21"/>
              </w:rPr>
              <w:alias w:val="与重大资产重组相关的承诺-是否有履行期限"/>
              <w:tag w:val="_GBC_5b634ddcd7f24eb298fb3573998d3f89"/>
              <w:id w:val="6209"/>
              <w:comboBox>
                <w:listItem w:displayText="是" w:value="true"/>
                <w:listItem w:displayText="否" w:value="false"/>
              </w:comboBox>
            </w:sdtPr>
            <w:sdtEndPr>
              <w:rPr>
                <w:szCs w:val="21"/>
              </w:rPr>
            </w:sdtEndPr>
            <w:sdtContent>
              <w:p>
                <w:pPr>
                  <w:jc w:val="center"/>
                  <w:rPr>
                    <w:color w:val="FFC000"/>
                    <w:szCs w:val="21"/>
                  </w:rPr>
                </w:pPr>
                <w:r>
                  <w:rPr>
                    <w:rFonts w:hint="eastAsia"/>
                    <w:szCs w:val="21"/>
                    <w:lang w:val="en-US" w:eastAsia="zh-CN"/>
                  </w:rPr>
                  <w:t>否</w:t>
                </w:r>
              </w:p>
            </w:sdtContent>
          </w:sdt>
        </w:tc>
        <w:tc>
          <w:tcPr>
            <w:tcW w:w="600" w:type="dxa"/>
            <w:vAlign w:val="center"/>
          </w:tcPr>
          <w:p>
            <w:pPr>
              <w:jc w:val="center"/>
              <w:rPr>
                <w:szCs w:val="21"/>
              </w:rPr>
            </w:pPr>
            <w:r>
              <w:rPr>
                <w:rFonts w:hint="eastAsia"/>
                <w:color w:val="auto"/>
              </w:rPr>
              <w:t>长期有效</w:t>
            </w:r>
          </w:p>
        </w:tc>
        <w:tc>
          <w:tcPr>
            <w:tcW w:w="731" w:type="dxa"/>
            <w:vAlign w:val="center"/>
          </w:tcPr>
          <w:sdt>
            <w:sdtPr>
              <w:rPr>
                <w:szCs w:val="21"/>
              </w:rPr>
              <w:alias w:val="与重大资产重组相关的承诺-是否及时严格履行"/>
              <w:tag w:val="_GBC_258690e2d1934d0cb87574e307cdecdb"/>
              <w:id w:val="6210"/>
              <w:comboBox>
                <w:listItem w:displayText="是" w:value="true"/>
                <w:listItem w:displayText="否" w:value="false"/>
              </w:comboBox>
            </w:sdtPr>
            <w:sdtEndPr>
              <w:rPr>
                <w:szCs w:val="21"/>
              </w:rPr>
            </w:sdtEndPr>
            <w:sdtContent>
              <w:p>
                <w:pPr>
                  <w:jc w:val="center"/>
                  <w:rPr>
                    <w:color w:val="FFC000"/>
                    <w:szCs w:val="21"/>
                  </w:rPr>
                </w:pPr>
                <w:r>
                  <w:rPr>
                    <w:rFonts w:hint="eastAsia"/>
                    <w:szCs w:val="21"/>
                  </w:rPr>
                  <w:t>是</w:t>
                </w:r>
              </w:p>
            </w:sdtContent>
          </w:sdt>
        </w:tc>
        <w:tc>
          <w:tcPr>
            <w:tcW w:w="993" w:type="dxa"/>
            <w:vAlign w:val="center"/>
          </w:tcPr>
          <w:p>
            <w:pPr>
              <w:rPr>
                <w:szCs w:val="21"/>
              </w:rPr>
            </w:pPr>
            <w:r>
              <w:rPr>
                <w:rFonts w:hint="eastAsia"/>
                <w:color w:val="auto"/>
              </w:rPr>
              <w:t> </w:t>
            </w:r>
          </w:p>
        </w:tc>
        <w:tc>
          <w:tcPr>
            <w:tcW w:w="883" w:type="dxa"/>
            <w:vAlign w:val="center"/>
          </w:tcPr>
          <w:p>
            <w:pPr>
              <w:rPr>
                <w:szCs w:val="21"/>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vMerge w:val="continue"/>
            <w:vAlign w:val="center"/>
          </w:tcPr>
          <w:p>
            <w:pPr>
              <w:jc w:val="both"/>
              <w:rPr>
                <w:szCs w:val="21"/>
              </w:rPr>
            </w:pPr>
          </w:p>
        </w:tc>
        <w:tc>
          <w:tcPr>
            <w:tcW w:w="981" w:type="dxa"/>
            <w:vAlign w:val="center"/>
          </w:tcPr>
          <w:p>
            <w:pPr>
              <w:rPr>
                <w:color w:val="FFC000"/>
                <w:szCs w:val="21"/>
              </w:rPr>
            </w:pPr>
            <w:r>
              <w:rPr>
                <w:rFonts w:hint="eastAsia"/>
                <w:szCs w:val="21"/>
              </w:rPr>
              <w:t>其他</w:t>
            </w:r>
          </w:p>
        </w:tc>
        <w:tc>
          <w:tcPr>
            <w:tcW w:w="1523" w:type="dxa"/>
            <w:vAlign w:val="center"/>
          </w:tcPr>
          <w:p>
            <w:pPr>
              <w:rPr>
                <w:szCs w:val="21"/>
              </w:rPr>
            </w:pPr>
            <w:r>
              <w:rPr>
                <w:rFonts w:hint="eastAsia"/>
                <w:color w:val="auto"/>
              </w:rPr>
              <w:t>广西柳州市产业投资发展集团有限公司</w:t>
            </w:r>
          </w:p>
        </w:tc>
        <w:tc>
          <w:tcPr>
            <w:tcW w:w="4293" w:type="dxa"/>
            <w:vAlign w:val="center"/>
          </w:tcPr>
          <w:p>
            <w:pPr>
              <w:rPr>
                <w:szCs w:val="21"/>
              </w:rPr>
            </w:pPr>
            <w:r>
              <w:rPr>
                <w:rFonts w:hint="eastAsia"/>
                <w:color w:val="auto"/>
              </w:rPr>
              <w:t>关于保障上市公司独立性的承诺:在本次交易完成后，将确保上市公司依据相关法律法规和上市公司章程的要求，继续完善公司法人治理结构及独立运营的公司管理体制，继续保持上市公司在业务、资产、财务、机构、人员等方面的独立性，切实保护全体股东的利益。</w:t>
            </w:r>
          </w:p>
        </w:tc>
        <w:tc>
          <w:tcPr>
            <w:tcW w:w="1429" w:type="dxa"/>
            <w:vAlign w:val="center"/>
          </w:tcPr>
          <w:p>
            <w:pPr>
              <w:jc w:val="center"/>
              <w:rPr>
                <w:szCs w:val="21"/>
              </w:rPr>
            </w:pPr>
            <w:r>
              <w:rPr>
                <w:rFonts w:hint="eastAsia"/>
                <w:color w:val="auto"/>
              </w:rPr>
              <w:t>2019年11月</w:t>
            </w:r>
          </w:p>
        </w:tc>
        <w:tc>
          <w:tcPr>
            <w:tcW w:w="556" w:type="dxa"/>
            <w:vAlign w:val="center"/>
          </w:tcPr>
          <w:p>
            <w:pPr>
              <w:jc w:val="center"/>
              <w:rPr>
                <w:color w:val="FFC000"/>
                <w:szCs w:val="21"/>
              </w:rPr>
            </w:pPr>
            <w:r>
              <w:rPr>
                <w:rFonts w:hint="eastAsia"/>
                <w:szCs w:val="21"/>
              </w:rPr>
              <w:t>否</w:t>
            </w:r>
          </w:p>
        </w:tc>
        <w:tc>
          <w:tcPr>
            <w:tcW w:w="600" w:type="dxa"/>
            <w:vAlign w:val="center"/>
          </w:tcPr>
          <w:p>
            <w:pPr>
              <w:jc w:val="center"/>
              <w:rPr>
                <w:szCs w:val="21"/>
              </w:rPr>
            </w:pPr>
            <w:r>
              <w:rPr>
                <w:rFonts w:hint="eastAsia"/>
                <w:color w:val="auto"/>
              </w:rPr>
              <w:t>长期有效</w:t>
            </w:r>
          </w:p>
        </w:tc>
        <w:tc>
          <w:tcPr>
            <w:tcW w:w="731" w:type="dxa"/>
            <w:vAlign w:val="center"/>
          </w:tcPr>
          <w:p>
            <w:pPr>
              <w:jc w:val="center"/>
              <w:rPr>
                <w:color w:val="FFC000"/>
                <w:szCs w:val="21"/>
              </w:rPr>
            </w:pPr>
            <w:r>
              <w:rPr>
                <w:rFonts w:hint="eastAsia"/>
                <w:szCs w:val="21"/>
              </w:rPr>
              <w:t>是</w:t>
            </w:r>
          </w:p>
        </w:tc>
        <w:tc>
          <w:tcPr>
            <w:tcW w:w="993" w:type="dxa"/>
            <w:vAlign w:val="center"/>
          </w:tcPr>
          <w:p>
            <w:pPr>
              <w:rPr>
                <w:szCs w:val="21"/>
              </w:rPr>
            </w:pPr>
            <w:r>
              <w:rPr>
                <w:rFonts w:hint="eastAsia"/>
                <w:color w:val="auto"/>
              </w:rPr>
              <w:t> </w:t>
            </w:r>
          </w:p>
        </w:tc>
        <w:tc>
          <w:tcPr>
            <w:tcW w:w="883" w:type="dxa"/>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vMerge w:val="restart"/>
            <w:vAlign w:val="center"/>
          </w:tcPr>
          <w:p>
            <w:pPr>
              <w:jc w:val="both"/>
              <w:rPr>
                <w:szCs w:val="21"/>
              </w:rPr>
            </w:pPr>
            <w:r>
              <w:rPr>
                <w:rFonts w:hint="eastAsia"/>
                <w:szCs w:val="21"/>
              </w:rPr>
              <w:t>与首次公开发行相关的承诺</w:t>
            </w:r>
          </w:p>
        </w:tc>
        <w:tc>
          <w:tcPr>
            <w:tcW w:w="981" w:type="dxa"/>
            <w:vAlign w:val="center"/>
          </w:tcPr>
          <w:sdt>
            <w:sdtPr>
              <w:rPr>
                <w:szCs w:val="21"/>
              </w:rPr>
              <w:alias w:val="与首次公开发行相关的承诺-承诺类型"/>
              <w:tag w:val="_GBC_544118bad2864ee8b5a42608e3d695de"/>
              <w:id w:val="6211"/>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p>
                <w:pPr>
                  <w:rPr>
                    <w:color w:val="FFC000"/>
                    <w:szCs w:val="21"/>
                  </w:rPr>
                </w:pPr>
                <w:r>
                  <w:rPr>
                    <w:rFonts w:hint="eastAsia"/>
                    <w:szCs w:val="21"/>
                  </w:rPr>
                  <w:t>解决同业竞争</w:t>
                </w:r>
              </w:p>
            </w:sdtContent>
          </w:sdt>
        </w:tc>
        <w:tc>
          <w:tcPr>
            <w:tcW w:w="1523" w:type="dxa"/>
            <w:vAlign w:val="center"/>
          </w:tcPr>
          <w:p>
            <w:pPr>
              <w:rPr>
                <w:szCs w:val="21"/>
              </w:rPr>
            </w:pPr>
            <w:r>
              <w:rPr>
                <w:rFonts w:hint="eastAsia"/>
                <w:color w:val="auto"/>
              </w:rPr>
              <w:t>柳州市元宏投资发展有限公司（原柳州市两面针旅游用品厂）</w:t>
            </w:r>
          </w:p>
        </w:tc>
        <w:tc>
          <w:tcPr>
            <w:tcW w:w="4293" w:type="dxa"/>
            <w:vAlign w:val="center"/>
          </w:tcPr>
          <w:p>
            <w:pPr>
              <w:rPr>
                <w:szCs w:val="21"/>
              </w:rPr>
            </w:pPr>
            <w:r>
              <w:rPr>
                <w:rFonts w:hint="eastAsia"/>
                <w:color w:val="auto"/>
              </w:rPr>
              <w:t>本公司与公司股东柳州市元宏投资发展有限公司之间曾存在相似业务。柳州市元宏投资发展有限公司过去主要生产经销旅游用小支装牙膏，自2000年6月起，柳州市元宏投资发展有限公司停止了上述产品的生产，并承诺今后不再从事与本公司相同或相似的业务。</w:t>
            </w:r>
          </w:p>
        </w:tc>
        <w:tc>
          <w:tcPr>
            <w:tcW w:w="1429" w:type="dxa"/>
            <w:vAlign w:val="center"/>
          </w:tcPr>
          <w:p>
            <w:pPr>
              <w:jc w:val="center"/>
              <w:rPr>
                <w:szCs w:val="21"/>
              </w:rPr>
            </w:pPr>
            <w:r>
              <w:rPr>
                <w:rFonts w:hint="eastAsia"/>
                <w:color w:val="auto"/>
              </w:rPr>
              <w:t>2003年12月</w:t>
            </w:r>
          </w:p>
        </w:tc>
        <w:tc>
          <w:tcPr>
            <w:tcW w:w="556" w:type="dxa"/>
            <w:vAlign w:val="center"/>
          </w:tcPr>
          <w:sdt>
            <w:sdtPr>
              <w:rPr>
                <w:szCs w:val="21"/>
              </w:rPr>
              <w:alias w:val="与首次公开发行相关的承诺-是否有履行期限"/>
              <w:tag w:val="_GBC_2596a53d17dc47239c6d6c13d352aafe"/>
              <w:id w:val="6212"/>
              <w:comboBox>
                <w:listItem w:displayText="是" w:value="true"/>
                <w:listItem w:displayText="否" w:value="false"/>
              </w:comboBox>
            </w:sdtPr>
            <w:sdtEndPr>
              <w:rPr>
                <w:szCs w:val="21"/>
              </w:rPr>
            </w:sdtEndPr>
            <w:sdtContent>
              <w:p>
                <w:pPr>
                  <w:jc w:val="center"/>
                  <w:rPr>
                    <w:color w:val="FFC000"/>
                    <w:szCs w:val="21"/>
                  </w:rPr>
                </w:pPr>
                <w:r>
                  <w:rPr>
                    <w:rFonts w:hint="eastAsia"/>
                    <w:szCs w:val="21"/>
                  </w:rPr>
                  <w:t>否</w:t>
                </w:r>
              </w:p>
            </w:sdtContent>
          </w:sdt>
        </w:tc>
        <w:tc>
          <w:tcPr>
            <w:tcW w:w="600" w:type="dxa"/>
            <w:vAlign w:val="center"/>
          </w:tcPr>
          <w:p>
            <w:pPr>
              <w:jc w:val="center"/>
              <w:rPr>
                <w:szCs w:val="21"/>
              </w:rPr>
            </w:pPr>
            <w:r>
              <w:rPr>
                <w:rFonts w:hint="eastAsia"/>
                <w:color w:val="auto"/>
              </w:rPr>
              <w:t>长期有效</w:t>
            </w:r>
          </w:p>
        </w:tc>
        <w:tc>
          <w:tcPr>
            <w:tcW w:w="731" w:type="dxa"/>
            <w:vAlign w:val="center"/>
          </w:tcPr>
          <w:sdt>
            <w:sdtPr>
              <w:rPr>
                <w:szCs w:val="21"/>
              </w:rPr>
              <w:alias w:val="与首次公开发行相关的承诺-是否及时严格履行"/>
              <w:tag w:val="_GBC_2cce12aeffd3453e80032e4cdeee78ec"/>
              <w:id w:val="6213"/>
              <w:comboBox>
                <w:listItem w:displayText="是" w:value="true"/>
                <w:listItem w:displayText="否" w:value="false"/>
              </w:comboBox>
            </w:sdtPr>
            <w:sdtEndPr>
              <w:rPr>
                <w:szCs w:val="21"/>
              </w:rPr>
            </w:sdtEndPr>
            <w:sdtContent>
              <w:p>
                <w:pPr>
                  <w:jc w:val="center"/>
                  <w:rPr>
                    <w:color w:val="FFC000"/>
                    <w:szCs w:val="21"/>
                  </w:rPr>
                </w:pPr>
                <w:r>
                  <w:rPr>
                    <w:rFonts w:hint="eastAsia"/>
                    <w:szCs w:val="21"/>
                  </w:rPr>
                  <w:t>是</w:t>
                </w:r>
              </w:p>
            </w:sdtContent>
          </w:sdt>
        </w:tc>
        <w:tc>
          <w:tcPr>
            <w:tcW w:w="993" w:type="dxa"/>
            <w:vAlign w:val="center"/>
          </w:tcPr>
          <w:p>
            <w:pPr>
              <w:rPr>
                <w:szCs w:val="21"/>
              </w:rPr>
            </w:pPr>
            <w:r>
              <w:rPr>
                <w:rFonts w:hint="eastAsia"/>
                <w:color w:val="auto"/>
              </w:rPr>
              <w:t> </w:t>
            </w:r>
          </w:p>
        </w:tc>
        <w:tc>
          <w:tcPr>
            <w:tcW w:w="883" w:type="dxa"/>
            <w:vAlign w:val="center"/>
          </w:tcPr>
          <w:p>
            <w:pPr>
              <w:rPr>
                <w:szCs w:val="21"/>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vMerge w:val="continue"/>
            <w:vAlign w:val="center"/>
          </w:tcPr>
          <w:p>
            <w:pPr>
              <w:jc w:val="both"/>
              <w:rPr>
                <w:szCs w:val="21"/>
              </w:rPr>
            </w:pPr>
          </w:p>
        </w:tc>
        <w:tc>
          <w:tcPr>
            <w:tcW w:w="981" w:type="dxa"/>
            <w:vAlign w:val="center"/>
          </w:tcPr>
          <w:p>
            <w:pPr>
              <w:rPr>
                <w:color w:val="FFC000"/>
                <w:szCs w:val="21"/>
              </w:rPr>
            </w:pPr>
            <w:r>
              <w:rPr>
                <w:rFonts w:hint="eastAsia"/>
                <w:szCs w:val="21"/>
              </w:rPr>
              <w:t>其他</w:t>
            </w:r>
          </w:p>
        </w:tc>
        <w:tc>
          <w:tcPr>
            <w:tcW w:w="1523" w:type="dxa"/>
            <w:vAlign w:val="center"/>
          </w:tcPr>
          <w:p>
            <w:pPr>
              <w:rPr>
                <w:szCs w:val="21"/>
              </w:rPr>
            </w:pPr>
            <w:r>
              <w:rPr>
                <w:rFonts w:hint="eastAsia"/>
                <w:color w:val="auto"/>
              </w:rPr>
              <w:t>柳州市经发投资有限责任公司</w:t>
            </w:r>
          </w:p>
        </w:tc>
        <w:tc>
          <w:tcPr>
            <w:tcW w:w="4293" w:type="dxa"/>
            <w:vAlign w:val="center"/>
          </w:tcPr>
          <w:p>
            <w:pPr>
              <w:rPr>
                <w:szCs w:val="21"/>
              </w:rPr>
            </w:pPr>
            <w:r>
              <w:rPr>
                <w:rFonts w:hint="eastAsia"/>
                <w:color w:val="auto"/>
              </w:rPr>
              <w:t>不将持有的本公司股票用于质押、担保。</w:t>
            </w:r>
          </w:p>
        </w:tc>
        <w:tc>
          <w:tcPr>
            <w:tcW w:w="1429" w:type="dxa"/>
            <w:vAlign w:val="center"/>
          </w:tcPr>
          <w:p>
            <w:pPr>
              <w:jc w:val="center"/>
              <w:rPr>
                <w:szCs w:val="21"/>
              </w:rPr>
            </w:pPr>
            <w:r>
              <w:rPr>
                <w:rFonts w:hint="eastAsia"/>
                <w:color w:val="auto"/>
              </w:rPr>
              <w:t>2003年12月</w:t>
            </w:r>
          </w:p>
        </w:tc>
        <w:tc>
          <w:tcPr>
            <w:tcW w:w="556" w:type="dxa"/>
            <w:vAlign w:val="center"/>
          </w:tcPr>
          <w:p>
            <w:pPr>
              <w:jc w:val="center"/>
              <w:rPr>
                <w:color w:val="FFC000"/>
                <w:szCs w:val="21"/>
              </w:rPr>
            </w:pPr>
            <w:r>
              <w:rPr>
                <w:rFonts w:hint="eastAsia"/>
                <w:szCs w:val="21"/>
              </w:rPr>
              <w:t>否</w:t>
            </w:r>
          </w:p>
        </w:tc>
        <w:tc>
          <w:tcPr>
            <w:tcW w:w="600" w:type="dxa"/>
            <w:vAlign w:val="center"/>
          </w:tcPr>
          <w:p>
            <w:pPr>
              <w:jc w:val="center"/>
              <w:rPr>
                <w:szCs w:val="21"/>
              </w:rPr>
            </w:pPr>
            <w:r>
              <w:rPr>
                <w:rFonts w:hint="eastAsia"/>
                <w:color w:val="auto"/>
              </w:rPr>
              <w:t>长期有效</w:t>
            </w:r>
          </w:p>
        </w:tc>
        <w:tc>
          <w:tcPr>
            <w:tcW w:w="731" w:type="dxa"/>
            <w:vAlign w:val="center"/>
          </w:tcPr>
          <w:p>
            <w:pPr>
              <w:jc w:val="center"/>
              <w:rPr>
                <w:color w:val="FFC000"/>
                <w:szCs w:val="21"/>
              </w:rPr>
            </w:pPr>
            <w:r>
              <w:rPr>
                <w:rFonts w:hint="eastAsia"/>
                <w:szCs w:val="21"/>
              </w:rPr>
              <w:t>是</w:t>
            </w:r>
          </w:p>
        </w:tc>
        <w:tc>
          <w:tcPr>
            <w:tcW w:w="993" w:type="dxa"/>
            <w:vAlign w:val="center"/>
          </w:tcPr>
          <w:p>
            <w:pPr>
              <w:rPr>
                <w:szCs w:val="21"/>
              </w:rPr>
            </w:pPr>
            <w:r>
              <w:rPr>
                <w:rFonts w:hint="eastAsia"/>
                <w:color w:val="auto"/>
              </w:rPr>
              <w:t> </w:t>
            </w:r>
          </w:p>
        </w:tc>
        <w:tc>
          <w:tcPr>
            <w:tcW w:w="883" w:type="dxa"/>
            <w:vAlign w:val="center"/>
          </w:tcPr>
          <w:p>
            <w:pPr>
              <w:rPr>
                <w:szCs w:val="21"/>
              </w:rPr>
            </w:pPr>
          </w:p>
        </w:tc>
      </w:tr>
    </w:tbl>
    <w:p>
      <w:pPr>
        <w:sectPr>
          <w:pgSz w:w="16838" w:h="11906" w:orient="landscape"/>
          <w:pgMar w:top="1797" w:right="1525" w:bottom="1276" w:left="1440" w:header="855" w:footer="992" w:gutter="0"/>
          <w:cols w:space="425" w:num="1"/>
          <w:docGrid w:linePitch="312" w:charSpace="0"/>
        </w:sectPr>
      </w:pPr>
    </w:p>
    <w:p/>
    <w:p>
      <w:pPr>
        <w:pStyle w:val="4"/>
        <w:numPr>
          <w:ilvl w:val="1"/>
          <w:numId w:val="31"/>
        </w:numPr>
        <w:ind w:left="0" w:firstLine="0"/>
        <w:rPr>
          <w:rFonts w:hint="eastAsia" w:ascii="宋体" w:hAnsi="宋体" w:cs="宋体"/>
          <w:kern w:val="0"/>
          <w:szCs w:val="21"/>
        </w:rPr>
      </w:pPr>
      <w:r>
        <w:rPr>
          <w:rFonts w:ascii="宋体" w:hAnsi="宋体" w:cs="宋体"/>
          <w:kern w:val="0"/>
          <w:szCs w:val="21"/>
        </w:rPr>
        <w:t>公司资产或项目存在盈利预测，且报告期仍处在盈利预测期间，公司就资产或项目</w:t>
      </w:r>
      <w:r>
        <w:rPr>
          <w:rFonts w:hint="eastAsia" w:ascii="宋体" w:hAnsi="宋体" w:cs="宋体"/>
          <w:kern w:val="0"/>
          <w:szCs w:val="21"/>
        </w:rPr>
        <w:t>是否达到原盈利预测及其原因作出说明</w:t>
      </w:r>
    </w:p>
    <w:sdt>
      <w:sdtPr>
        <w:rPr>
          <w:rFonts w:asciiTheme="minorEastAsia" w:hAnsiTheme="minorEastAsia" w:eastAsiaTheme="minorEastAsia"/>
          <w:szCs w:val="21"/>
        </w:rPr>
        <w:alias w:val="是否适用：公司就资产或项目是否达到原盈利预测及其原因作出说明"/>
        <w:tag w:val="_GBC_f8fa889013a24cb79a6ed52423d2c5a8"/>
        <w:id w:val="6214"/>
        <w:placeholder>
          <w:docPart w:val="GBC22222222222222222222222222222"/>
        </w:placeholder>
      </w:sdtPr>
      <w:sdtEndPr>
        <w:rPr>
          <w:rFonts w:asciiTheme="minorEastAsia" w:hAnsiTheme="minorEastAsia" w:eastAsiaTheme="minorEastAsia"/>
          <w:szCs w:val="21"/>
        </w:rPr>
      </w:sdtEndPr>
      <w:sdtContent>
        <w:p>
          <w:pPr>
            <w:rPr>
              <w:rFonts w:hint="eastAsia" w:asciiTheme="minorEastAsia" w:hAnsiTheme="minorEastAsia" w:eastAsiaTheme="minorEastAsia"/>
              <w:szCs w:val="21"/>
            </w:rPr>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MACROBUTTON  SnrToggleCheckbox □已达到 </w:instrText>
          </w:r>
          <w:r>
            <w:rPr>
              <w:rFonts w:asciiTheme="minorEastAsia" w:hAnsiTheme="minorEastAsia" w:eastAsiaTheme="minorEastAsia"/>
              <w:szCs w:val="21"/>
            </w:rPr>
            <w:fldChar w:fldCharType="end"/>
          </w: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MACROBUTTON  SnrToggleCheckbox □未达到 </w:instrText>
          </w:r>
          <w:r>
            <w:rPr>
              <w:rFonts w:asciiTheme="minorEastAsia" w:hAnsiTheme="minorEastAsia" w:eastAsiaTheme="minorEastAsia"/>
              <w:szCs w:val="21"/>
            </w:rPr>
            <w:fldChar w:fldCharType="end"/>
          </w: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MACROBUTTON  SnrToggleCheckbox √不适用 </w:instrText>
          </w:r>
          <w:r>
            <w:rPr>
              <w:rFonts w:asciiTheme="minorEastAsia" w:hAnsiTheme="minorEastAsia" w:eastAsiaTheme="minorEastAsia"/>
              <w:szCs w:val="21"/>
            </w:rPr>
            <w:fldChar w:fldCharType="end"/>
          </w:r>
        </w:p>
      </w:sdtContent>
    </w:sdt>
    <w:p>
      <w:pPr>
        <w:rPr>
          <w:szCs w:val="21"/>
        </w:rPr>
      </w:pPr>
    </w:p>
    <w:p>
      <w:pPr>
        <w:pStyle w:val="4"/>
        <w:numPr>
          <w:ilvl w:val="1"/>
          <w:numId w:val="31"/>
        </w:numPr>
        <w:ind w:left="0" w:firstLine="0"/>
        <w:rPr>
          <w:szCs w:val="21"/>
        </w:rPr>
      </w:pPr>
      <w:bookmarkStart w:id="117" w:name="OLE_LINK7"/>
      <w:bookmarkStart w:id="118" w:name="_Hlk190432639"/>
      <w:r>
        <w:rPr>
          <w:rFonts w:hint="eastAsia"/>
          <w:szCs w:val="21"/>
        </w:rPr>
        <w:t>业绩承诺情况</w:t>
      </w:r>
    </w:p>
    <w:bookmarkEnd w:id="117"/>
    <w:sdt>
      <w:sdtPr>
        <w:rPr>
          <w:rFonts w:hint="eastAsia"/>
        </w:rPr>
        <w:alias w:val="是否适用：业绩承诺情况[双击切换]"/>
        <w:tag w:val="_GBC_4bc1b1ef9a5943f1bc075242961e8bbe"/>
        <w:id w:val="6215"/>
        <w:placeholder>
          <w:docPart w:val="GBC22222222222222222222222222222"/>
        </w:placeholder>
      </w:sdtPr>
      <w:sdtEndPr>
        <w:rPr>
          <w:rFonts w:hint="eastAsia"/>
        </w:rPr>
      </w:sdtEndPr>
      <w:sdtContent>
        <w:p>
          <w:r>
            <w:rPr>
              <w:rFonts w:hint="eastAsia" w:ascii="宋体" w:hAnsi="宋体"/>
            </w:rPr>
            <w:fldChar w:fldCharType="begin"/>
          </w:r>
          <w:r>
            <w:rPr>
              <w:rFonts w:hint="eastAsia" w:ascii="宋体" w:hAnsi="宋体"/>
            </w:rPr>
            <w:instrText xml:space="preserve"> MACROBUTTON  SnrToggleCheckbox □适用 </w:instrText>
          </w:r>
          <w:r>
            <w:rPr>
              <w:rFonts w:hint="eastAsia" w:ascii="宋体" w:hAnsi="宋体"/>
            </w:rPr>
            <w:fldChar w:fldCharType="end"/>
          </w:r>
          <w:r>
            <w:rPr>
              <w:rFonts w:hint="eastAsia" w:ascii="宋体" w:hAnsi="宋体"/>
            </w:rPr>
            <w:fldChar w:fldCharType="begin"/>
          </w:r>
          <w:r>
            <w:rPr>
              <w:rFonts w:hint="eastAsia" w:ascii="宋体" w:hAnsi="宋体"/>
            </w:rPr>
            <w:instrText xml:space="preserve"> MACROBUTTON  SnrToggleCheckbox √不适用 </w:instrText>
          </w:r>
          <w:r>
            <w:rPr>
              <w:rFonts w:hint="eastAsia" w:ascii="宋体" w:hAnsi="宋体"/>
            </w:rPr>
            <w:fldChar w:fldCharType="end"/>
          </w:r>
        </w:p>
      </w:sdtContent>
    </w:sdt>
    <w:p/>
    <w:p>
      <w:r>
        <w:rPr>
          <w:rFonts w:hint="eastAsia" w:ascii="Calibri" w:hAnsi="Calibri"/>
          <w:bCs/>
          <w:kern w:val="2"/>
          <w:szCs w:val="21"/>
        </w:rPr>
        <w:t>业绩承诺变更情况</w:t>
      </w:r>
    </w:p>
    <w:sdt>
      <w:sdtPr>
        <w:rPr>
          <w:rFonts w:hint="eastAsia"/>
        </w:rPr>
        <w:alias w:val="是否适用：业绩承诺变更情况[双击切换]"/>
        <w:tag w:val="_GBC_8bb44889d76e41f78196a5f39e535c73"/>
        <w:id w:val="6216"/>
        <w:placeholder>
          <w:docPart w:val="GBC22222222222222222222222222222"/>
        </w:placeholder>
      </w:sdtPr>
      <w:sdtEndPr>
        <w:rPr>
          <w:rFonts w:hint="eastAsia"/>
        </w:rPr>
      </w:sdtEndPr>
      <w:sdtContent>
        <w:p>
          <w:r>
            <w:rPr>
              <w:rFonts w:hint="eastAsia" w:ascii="宋体" w:hAnsi="宋体"/>
            </w:rPr>
            <w:fldChar w:fldCharType="begin"/>
          </w:r>
          <w:r>
            <w:rPr>
              <w:rFonts w:hint="eastAsia" w:ascii="宋体" w:hAnsi="宋体"/>
            </w:rPr>
            <w:instrText xml:space="preserve"> MACROBUTTON  SnrToggleCheckbox □适用 </w:instrText>
          </w:r>
          <w:r>
            <w:rPr>
              <w:rFonts w:hint="eastAsia" w:ascii="宋体" w:hAnsi="宋体"/>
            </w:rPr>
            <w:fldChar w:fldCharType="end"/>
          </w:r>
          <w:r>
            <w:rPr>
              <w:rFonts w:hint="eastAsia" w:ascii="宋体" w:hAnsi="宋体"/>
            </w:rPr>
            <w:fldChar w:fldCharType="begin"/>
          </w:r>
          <w:r>
            <w:rPr>
              <w:rFonts w:hint="eastAsia" w:ascii="宋体" w:hAnsi="宋体"/>
            </w:rPr>
            <w:instrText xml:space="preserve"> MACROBUTTON  SnrToggleCheckbox √不适用 </w:instrText>
          </w:r>
          <w:r>
            <w:rPr>
              <w:rFonts w:hint="eastAsia" w:ascii="宋体" w:hAnsi="宋体"/>
            </w:rPr>
            <w:fldChar w:fldCharType="end"/>
          </w:r>
        </w:p>
      </w:sdtContent>
    </w:sdt>
    <w:p/>
    <w:p>
      <w:pPr>
        <w:rPr>
          <w:szCs w:val="21"/>
        </w:rPr>
      </w:pPr>
      <w:bookmarkStart w:id="119" w:name="_Hlk533667679"/>
      <w:bookmarkEnd w:id="119"/>
      <w:bookmarkStart w:id="120" w:name="_Hlk191039168"/>
      <w:r>
        <w:rPr>
          <w:rFonts w:hint="eastAsia"/>
          <w:bCs/>
          <w:szCs w:val="21"/>
        </w:rPr>
        <w:t>其他说明</w:t>
      </w:r>
    </w:p>
    <w:p>
      <w:pPr>
        <w:rPr>
          <w:b/>
          <w:szCs w:val="21"/>
        </w:rPr>
      </w:pPr>
      <w:sdt>
        <w:sdtPr>
          <w:rPr>
            <w:rFonts w:hint="eastAsia"/>
            <w:b/>
            <w:szCs w:val="21"/>
          </w:rPr>
          <w:alias w:val="是否适用：承诺事项-商誉减值测试的影响[双击切换]"/>
          <w:tag w:val="_GBC_bbcebd5eccb545a982a878b392419b4e"/>
          <w:id w:val="6217"/>
          <w:placeholder>
            <w:docPart w:val="GBC22222222222222222222222222222"/>
          </w:placeholder>
        </w:sdtPr>
        <w:sdtEndPr>
          <w:rPr>
            <w:rFonts w:hint="eastAsia"/>
            <w:b/>
            <w:szCs w:val="21"/>
          </w:rPr>
        </w:sdtEndPr>
        <w:sdtContent>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sdtContent>
      </w:sdt>
    </w:p>
    <w:bookmarkEnd w:id="118"/>
    <w:bookmarkEnd w:id="120"/>
    <w:p/>
    <w:p>
      <w:pPr>
        <w:pStyle w:val="3"/>
        <w:numPr>
          <w:ilvl w:val="0"/>
          <w:numId w:val="30"/>
        </w:numPr>
        <w:rPr>
          <w:rFonts w:hint="eastAsia" w:ascii="宋体" w:hAnsi="宋体"/>
        </w:rPr>
      </w:pPr>
      <w:bookmarkStart w:id="121" w:name="_Hlk89336052"/>
      <w:r>
        <w:rPr>
          <w:rFonts w:hint="eastAsia" w:ascii="宋体" w:hAnsi="宋体"/>
        </w:rPr>
        <w:t>报</w:t>
      </w:r>
      <w:r>
        <w:rPr>
          <w:rFonts w:ascii="宋体" w:hAnsi="宋体"/>
        </w:rPr>
        <w:t>告期内</w:t>
      </w:r>
      <w:r>
        <w:rPr>
          <w:rFonts w:hint="eastAsia" w:ascii="宋体" w:hAnsi="宋体"/>
        </w:rPr>
        <w:t>控股股东及其他关联方非经营性占用资金情况</w:t>
      </w:r>
    </w:p>
    <w:sdt>
      <w:sdtPr>
        <w:rPr>
          <w:szCs w:val="21"/>
        </w:rPr>
        <w:alias w:val="是否适用：资金被占用情况及清欠进展情况[双击切换]"/>
        <w:tag w:val="_GBC_a94958949e0846929a78a71186526204"/>
        <w:id w:val="6218"/>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bookmarkEnd w:id="121"/>
    <w:p>
      <w:pPr>
        <w:pStyle w:val="3"/>
        <w:numPr>
          <w:ilvl w:val="0"/>
          <w:numId w:val="30"/>
        </w:numPr>
        <w:rPr>
          <w:rFonts w:hint="eastAsia" w:ascii="宋体" w:hAnsi="宋体"/>
        </w:rPr>
      </w:pPr>
      <w:bookmarkStart w:id="122" w:name="_Hlk89337011"/>
      <w:r>
        <w:rPr>
          <w:rFonts w:hint="eastAsia" w:ascii="宋体" w:hAnsi="宋体"/>
        </w:rPr>
        <w:t>违规担保情况</w:t>
      </w:r>
    </w:p>
    <w:sdt>
      <w:sdtPr>
        <w:alias w:val="是否适用：违规担保情况[双击切换]"/>
        <w:tag w:val="_GBC_b2d16e23c066427a800b40aaa053bc8e"/>
        <w:id w:val="6219"/>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bookmarkEnd w:id="122"/>
    <w:p>
      <w:pPr>
        <w:pStyle w:val="3"/>
        <w:numPr>
          <w:ilvl w:val="0"/>
          <w:numId w:val="30"/>
        </w:numPr>
        <w:rPr>
          <w:rFonts w:hint="eastAsia" w:ascii="宋体" w:hAnsi="宋体" w:cs="宋体"/>
          <w:kern w:val="0"/>
          <w:szCs w:val="24"/>
        </w:rPr>
      </w:pPr>
      <w:r>
        <w:rPr>
          <w:rFonts w:hint="eastAsia" w:ascii="宋体" w:hAnsi="宋体" w:cs="宋体"/>
          <w:kern w:val="0"/>
          <w:szCs w:val="24"/>
        </w:rPr>
        <w:t>公司董事会对会计师事务所“非标准意见审计报告”的说明</w:t>
      </w:r>
    </w:p>
    <w:p>
      <w:sdt>
        <w:sdtPr>
          <w:alias w:val="是否适用：董事会对会计师事务所非标准审计报告的说明[双击切换]"/>
          <w:tag w:val="_GBC_81f7a662b6a641d8aadb05b1cb176ecf"/>
          <w:id w:val="6220"/>
          <w:placeholder>
            <w:docPart w:val="GBC22222222222222222222222222222"/>
          </w:placeholder>
        </w:sdtPr>
        <w:sdtContent>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sdt>
      <w:sdtPr>
        <w:tag w:val="_PLD_86b77f949a7f467792f1a3fbf8ee29c3"/>
        <w:id w:val="6221"/>
      </w:sdtPr>
      <w:sdtContent>
        <w:p>
          <w:pPr>
            <w:pStyle w:val="3"/>
            <w:numPr>
              <w:ilvl w:val="0"/>
              <w:numId w:val="30"/>
            </w:numPr>
            <w:rPr>
              <w:rFonts w:hint="eastAsia" w:ascii="宋体" w:hAnsi="宋体" w:cs="宋体"/>
              <w:kern w:val="0"/>
              <w:szCs w:val="24"/>
            </w:rPr>
          </w:pPr>
          <w:r>
            <w:rPr>
              <w:rFonts w:hint="eastAsia" w:ascii="宋体" w:hAnsi="宋体" w:cs="宋体"/>
              <w:kern w:val="0"/>
              <w:szCs w:val="24"/>
            </w:rPr>
            <w:t>公司对会计政策、会计估计变更或重大会计差错更正原因和影响的分析说明</w:t>
          </w:r>
        </w:p>
      </w:sdtContent>
    </w:sdt>
    <w:sdt>
      <w:sdtPr>
        <w:tag w:val="_PLD_834cf8d61227452a9f43af3bb9507dde"/>
        <w:id w:val="6222"/>
      </w:sdtPr>
      <w:sdtEndPr>
        <w:rPr>
          <w:rFonts w:ascii="Calibri" w:hAnsi="Calibri" w:cs="Times New Roman"/>
          <w:b/>
          <w:bCs/>
          <w:kern w:val="2"/>
          <w:szCs w:val="32"/>
        </w:rPr>
      </w:sdtEndPr>
      <w:sdtContent>
        <w:p>
          <w:pPr>
            <w:pStyle w:val="4"/>
            <w:numPr>
              <w:ilvl w:val="0"/>
              <w:numId w:val="32"/>
            </w:numPr>
          </w:pPr>
          <w:bookmarkStart w:id="123" w:name="_Hlk191559849"/>
          <w:r>
            <w:rPr>
              <w:rFonts w:hint="eastAsia"/>
            </w:rPr>
            <w:t>公司对会计政策、会计估计变更原因及影响的分析说明</w:t>
          </w:r>
        </w:p>
      </w:sdtContent>
    </w:sdt>
    <w:sdt>
      <w:sdtPr>
        <w:rPr>
          <w:rFonts w:hint="eastAsia"/>
          <w:szCs w:val="21"/>
        </w:rPr>
        <w:alias w:val="是否适用：公司对会计政策、会计估计更正的原因及影响[双击切换]"/>
        <w:tag w:val="_GBC_af0d7b808dd9452c873bbe81905062f6"/>
        <w:id w:val="6223"/>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bookmarkEnd w:id="123"/>
    <w:sdt>
      <w:sdtPr>
        <w:tag w:val="_PLD_310d5df4f7924e5ca2b78d38d9d5bb26"/>
        <w:id w:val="6224"/>
      </w:sdtPr>
      <w:sdtEndPr>
        <w:rPr>
          <w:rFonts w:ascii="Calibri" w:hAnsi="Calibri" w:cs="Times New Roman"/>
          <w:b/>
          <w:bCs/>
          <w:kern w:val="2"/>
          <w:szCs w:val="32"/>
        </w:rPr>
      </w:sdtEndPr>
      <w:sdtContent>
        <w:p>
          <w:pPr>
            <w:pStyle w:val="4"/>
            <w:numPr>
              <w:ilvl w:val="0"/>
              <w:numId w:val="32"/>
            </w:numPr>
          </w:pPr>
          <w:bookmarkStart w:id="124" w:name="_Hlk190433640"/>
          <w:bookmarkStart w:id="125" w:name="_Hlk191560035"/>
          <w:r>
            <w:rPr>
              <w:rFonts w:hint="eastAsia"/>
            </w:rPr>
            <w:t>公司对重大会计</w:t>
          </w:r>
          <w:r>
            <w:rPr>
              <w:rFonts w:hint="eastAsia"/>
              <w:bCs w:val="0"/>
              <w:szCs w:val="24"/>
            </w:rPr>
            <w:t>差错</w:t>
          </w:r>
          <w:r>
            <w:rPr>
              <w:rFonts w:hint="eastAsia"/>
            </w:rPr>
            <w:t>更正原因及影响的分析说明</w:t>
          </w:r>
        </w:p>
      </w:sdtContent>
    </w:sdt>
    <w:sdt>
      <w:sdtPr>
        <w:rPr>
          <w:rFonts w:hint="eastAsia"/>
          <w:szCs w:val="21"/>
        </w:rPr>
        <w:alias w:val="是否适用：公司对重大会计差错更正的原因及影响[双击切换]"/>
        <w:tag w:val="_GBC_20433825c59a4e308939a2a08d3b64f5"/>
        <w:id w:val="6225"/>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bookmarkEnd w:id="124"/>
    <w:bookmarkEnd w:id="125"/>
    <w:p>
      <w:pPr>
        <w:pStyle w:val="4"/>
        <w:numPr>
          <w:ilvl w:val="0"/>
          <w:numId w:val="32"/>
        </w:numPr>
        <w:ind w:left="0" w:firstLine="0"/>
      </w:pPr>
      <w:bookmarkStart w:id="126" w:name="_Hlk190705512"/>
      <w:bookmarkEnd w:id="126"/>
      <w:bookmarkStart w:id="127" w:name="_Hlk190957048"/>
      <w:bookmarkEnd w:id="127"/>
      <w:r>
        <w:t>与前任会计师事务所进行的沟通情况</w:t>
      </w:r>
    </w:p>
    <w:sdt>
      <w:sdtPr>
        <w:rPr>
          <w:rFonts w:hint="eastAsia"/>
        </w:rPr>
        <w:alias w:val="是否适用：与前任会计师事务所进行的沟通情况[双击切换]"/>
        <w:tag w:val="_GBC_eac5a093c5584c5699f0b1b4b2cc9124"/>
        <w:id w:val="6226"/>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4"/>
        <w:numPr>
          <w:ilvl w:val="0"/>
          <w:numId w:val="32"/>
        </w:numPr>
      </w:pPr>
      <w:r>
        <w:rPr>
          <w:rFonts w:hint="eastAsia" w:ascii="宋体" w:hAnsi="宋体" w:cs="宋体"/>
          <w:kern w:val="0"/>
          <w:szCs w:val="24"/>
        </w:rPr>
        <w:t>审批程序及</w:t>
      </w:r>
      <w:r>
        <w:t>其他说明</w:t>
      </w:r>
    </w:p>
    <w:sdt>
      <w:sdtPr>
        <w:rPr>
          <w:rFonts w:hint="eastAsia"/>
        </w:rPr>
        <w:alias w:val="是否适用：审批程序及其他说明[双击切换]"/>
        <w:tag w:val="_GBC_f59e5141b9f74a2badb652a198d25993"/>
        <w:id w:val="6227"/>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3"/>
        <w:numPr>
          <w:ilvl w:val="0"/>
          <w:numId w:val="30"/>
        </w:numPr>
        <w:rPr>
          <w:rFonts w:hint="eastAsia" w:ascii="宋体" w:hAnsi="宋体" w:cs="宋体"/>
          <w:kern w:val="0"/>
          <w:szCs w:val="24"/>
        </w:rPr>
      </w:pPr>
      <w:r>
        <w:rPr>
          <w:rFonts w:ascii="宋体" w:hAnsi="宋体" w:cs="宋体"/>
          <w:kern w:val="0"/>
          <w:szCs w:val="24"/>
        </w:rPr>
        <w:t>聘任、解聘会计师事务所情况</w:t>
      </w:r>
    </w:p>
    <w:sdt>
      <w:sdtPr>
        <w:alias w:val="选项模块:聘任、解聘会计师事务所情况"/>
        <w:tag w:val="_SEC_4317320322b74f4fbace375f2fdcd88e"/>
        <w:id w:val="6228"/>
        <w:placeholder>
          <w:docPart w:val="GBC22222222222222222222222222222"/>
        </w:placeholder>
      </w:sdtPr>
      <w:sdtContent>
        <w:p>
          <w:pPr>
            <w:jc w:val="right"/>
          </w:pPr>
          <w:bookmarkStart w:id="128" w:name="_Hlk40535695"/>
          <w:r>
            <w:rPr>
              <w:rFonts w:hint="eastAsia"/>
            </w:rPr>
            <w:t>单位：</w:t>
          </w:r>
          <w:sdt>
            <w:sdtPr>
              <w:rPr>
                <w:rFonts w:hint="eastAsia"/>
              </w:rPr>
              <w:alias w:val="单位：聘任、解聘会计师事务所情况"/>
              <w:tag w:val="_GBC_26e166c9302c4cd6aef51526fb663693"/>
              <w:id w:val="622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万元</w:t>
              </w:r>
            </w:sdtContent>
          </w:sdt>
          <w:r>
            <w:rPr>
              <w:rFonts w:hint="eastAsia"/>
            </w:rPr>
            <w:t xml:space="preserve">  币种：</w:t>
          </w:r>
          <w:sdt>
            <w:sdtPr>
              <w:rPr>
                <w:rFonts w:hint="eastAsia"/>
              </w:rPr>
              <w:alias w:val="币种：聘任、解聘会计师事务所情况"/>
              <w:tag w:val="_GBC_7dcaa3c6f2b646e695b35f062316b1bc"/>
              <w:id w:val="623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4"/>
            <w:gridCol w:w="4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4" w:type="dxa"/>
                <w:vAlign w:val="center"/>
              </w:tcPr>
              <w:p>
                <w:pPr>
                  <w:widowControl w:val="0"/>
                  <w:jc w:val="both"/>
                  <w:rPr>
                    <w:szCs w:val="21"/>
                  </w:rPr>
                </w:pPr>
              </w:p>
            </w:tc>
            <w:tc>
              <w:tcPr>
                <w:tcW w:w="4525" w:type="dxa"/>
                <w:vAlign w:val="center"/>
              </w:tcPr>
              <w:sdt>
                <w:sdtPr>
                  <w:tag w:val="_PLD_364aa8d2f946450c8e3aa85ae050a07e"/>
                  <w:id w:val="6231"/>
                </w:sdtPr>
                <w:sdtContent>
                  <w:p>
                    <w:pPr>
                      <w:widowControl w:val="0"/>
                      <w:jc w:val="center"/>
                      <w:rPr>
                        <w:szCs w:val="21"/>
                      </w:rPr>
                    </w:pPr>
                    <w:r>
                      <w:rPr>
                        <w:rFonts w:hint="eastAsia"/>
                        <w:szCs w:val="21"/>
                      </w:rPr>
                      <w:t>现聘任</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4" w:type="dxa"/>
                <w:vAlign w:val="center"/>
              </w:tcPr>
              <w:p>
                <w:pPr>
                  <w:widowControl w:val="0"/>
                  <w:jc w:val="both"/>
                </w:pPr>
                <w:r>
                  <w:rPr>
                    <w:rFonts w:hint="eastAsia"/>
                    <w:szCs w:val="21"/>
                  </w:rPr>
                  <w:t>境内会计师事务所名称</w:t>
                </w:r>
              </w:p>
            </w:tc>
            <w:tc>
              <w:tcPr>
                <w:tcW w:w="4525" w:type="dxa"/>
                <w:vAlign w:val="center"/>
              </w:tcPr>
              <w:p>
                <w:pPr>
                  <w:widowControl w:val="0"/>
                  <w:jc w:val="center"/>
                </w:pPr>
                <w:r>
                  <w:rPr>
                    <w:rFonts w:hint="eastAsia"/>
                    <w:color w:val="auto"/>
                  </w:rPr>
                  <w:t>中喜会计师事务所（特殊普通合伙）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4" w:type="dxa"/>
                <w:vAlign w:val="center"/>
              </w:tcPr>
              <w:p>
                <w:pPr>
                  <w:widowControl w:val="0"/>
                  <w:jc w:val="both"/>
                </w:pPr>
                <w:r>
                  <w:rPr>
                    <w:rFonts w:hint="eastAsia"/>
                    <w:szCs w:val="21"/>
                  </w:rPr>
                  <w:t>境内会计师事务所报酬</w:t>
                </w:r>
              </w:p>
            </w:tc>
            <w:tc>
              <w:tcPr>
                <w:tcW w:w="4525" w:type="dxa"/>
                <w:vAlign w:val="center"/>
              </w:tcPr>
              <w:p>
                <w:pPr>
                  <w:widowControl w:val="0"/>
                  <w:jc w:val="center"/>
                </w:pPr>
                <w:r>
                  <w:rPr>
                    <w:rFonts w:hint="eastAsia"/>
                    <w:color w:val="auto"/>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4" w:type="dxa"/>
                <w:vAlign w:val="center"/>
              </w:tcPr>
              <w:p>
                <w:pPr>
                  <w:widowControl w:val="0"/>
                  <w:jc w:val="both"/>
                </w:pPr>
                <w:r>
                  <w:rPr>
                    <w:rFonts w:hint="eastAsia"/>
                    <w:szCs w:val="21"/>
                  </w:rPr>
                  <w:t>境内会计师事务所审计年限</w:t>
                </w:r>
              </w:p>
            </w:tc>
            <w:tc>
              <w:tcPr>
                <w:tcW w:w="4525" w:type="dxa"/>
                <w:vAlign w:val="center"/>
              </w:tcPr>
              <w:p>
                <w:pPr>
                  <w:widowControl w:val="0"/>
                  <w:jc w:val="center"/>
                </w:pPr>
                <w:r>
                  <w:rPr>
                    <w:rFonts w:hint="eastAsia"/>
                    <w:color w:val="auto"/>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4" w:type="dxa"/>
                <w:vAlign w:val="center"/>
              </w:tcPr>
              <w:p>
                <w:pPr>
                  <w:widowControl w:val="0"/>
                  <w:jc w:val="both"/>
                </w:pPr>
                <w:r>
                  <w:rPr>
                    <w:rFonts w:hint="eastAsia"/>
                  </w:rPr>
                  <w:t>境内会计师事务所注册会计师姓名</w:t>
                </w:r>
              </w:p>
            </w:tc>
            <w:tc>
              <w:tcPr>
                <w:tcW w:w="4525" w:type="dxa"/>
                <w:vAlign w:val="center"/>
              </w:tcPr>
              <w:p>
                <w:pPr>
                  <w:widowControl w:val="0"/>
                  <w:jc w:val="center"/>
                </w:pPr>
                <w:r>
                  <w:rPr>
                    <w:rFonts w:hint="eastAsia"/>
                    <w:color w:val="auto"/>
                  </w:rPr>
                  <w:t>饶世旗、张丽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4" w:type="dxa"/>
                <w:vAlign w:val="center"/>
              </w:tcPr>
              <w:p>
                <w:pPr>
                  <w:widowControl w:val="0"/>
                  <w:jc w:val="both"/>
                </w:pPr>
                <w:r>
                  <w:rPr>
                    <w:rFonts w:hint="eastAsia"/>
                  </w:rPr>
                  <w:t>境内会计师事务所注册会计师审计服务的累计年限</w:t>
                </w:r>
              </w:p>
            </w:tc>
            <w:tc>
              <w:tcPr>
                <w:tcW w:w="4525" w:type="dxa"/>
                <w:vAlign w:val="center"/>
              </w:tcPr>
              <w:p>
                <w:pPr>
                  <w:widowControl w:val="0"/>
                  <w:jc w:val="center"/>
                </w:pPr>
                <w:r>
                  <w:rPr>
                    <w:rFonts w:hint="eastAsia"/>
                    <w:color w:val="auto"/>
                  </w:rPr>
                  <w:t>饶世旗（5年）、张丽（1年）</w:t>
                </w:r>
              </w:p>
            </w:tc>
          </w:tr>
        </w:tbl>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6"/>
            <w:gridCol w:w="3546"/>
            <w:gridCol w:w="2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6" w:type="dxa"/>
                <w:vAlign w:val="center"/>
              </w:tcPr>
              <w:p>
                <w:pPr>
                  <w:widowControl w:val="0"/>
                  <w:jc w:val="both"/>
                </w:pPr>
              </w:p>
            </w:tc>
            <w:tc>
              <w:tcPr>
                <w:tcW w:w="3546" w:type="dxa"/>
                <w:vAlign w:val="center"/>
              </w:tcPr>
              <w:sdt>
                <w:sdtPr>
                  <w:tag w:val="_PLD_c9ec27d8a8454f91bb769203a75df4b3"/>
                  <w:id w:val="6232"/>
                </w:sdtPr>
                <w:sdtContent>
                  <w:p>
                    <w:pPr>
                      <w:widowControl w:val="0"/>
                      <w:jc w:val="center"/>
                    </w:pPr>
                    <w:r>
                      <w:rPr>
                        <w:rFonts w:hint="eastAsia"/>
                        <w:szCs w:val="21"/>
                      </w:rPr>
                      <w:t>名称</w:t>
                    </w:r>
                  </w:p>
                </w:sdtContent>
              </w:sdt>
            </w:tc>
            <w:tc>
              <w:tcPr>
                <w:tcW w:w="2487" w:type="dxa"/>
                <w:vAlign w:val="center"/>
              </w:tcPr>
              <w:sdt>
                <w:sdtPr>
                  <w:tag w:val="_PLD_ae4e80c7f64046dcb42116bfa53b53af"/>
                  <w:id w:val="6233"/>
                </w:sdtPr>
                <w:sdtContent>
                  <w:p>
                    <w:pPr>
                      <w:widowControl w:val="0"/>
                      <w:jc w:val="center"/>
                    </w:pPr>
                    <w:r>
                      <w:rPr>
                        <w:rFonts w:hint="eastAsia"/>
                        <w:szCs w:val="21"/>
                      </w:rPr>
                      <w:t>报酬</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6" w:type="dxa"/>
                <w:vAlign w:val="center"/>
              </w:tcPr>
              <w:p>
                <w:pPr>
                  <w:widowControl w:val="0"/>
                  <w:jc w:val="both"/>
                </w:pPr>
                <w:r>
                  <w:rPr>
                    <w:rFonts w:hint="eastAsia"/>
                  </w:rPr>
                  <w:t>内部控制审计会计师事务所</w:t>
                </w:r>
              </w:p>
            </w:tc>
            <w:tc>
              <w:tcPr>
                <w:tcW w:w="3546" w:type="dxa"/>
                <w:vAlign w:val="center"/>
              </w:tcPr>
              <w:p>
                <w:pPr>
                  <w:widowControl w:val="0"/>
                  <w:jc w:val="both"/>
                </w:pPr>
                <w:r>
                  <w:rPr>
                    <w:rFonts w:hint="eastAsia"/>
                    <w:color w:val="auto"/>
                  </w:rPr>
                  <w:t>中喜会计师事务所（特殊普通合伙）</w:t>
                </w:r>
              </w:p>
            </w:tc>
            <w:tc>
              <w:tcPr>
                <w:tcW w:w="2487" w:type="dxa"/>
                <w:vAlign w:val="center"/>
              </w:tcPr>
              <w:p>
                <w:pPr>
                  <w:widowControl w:val="0"/>
                  <w:jc w:val="right"/>
                </w:pPr>
                <w:r>
                  <w:rPr>
                    <w:rFonts w:hint="eastAsia"/>
                    <w:color w:val="auto"/>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6" w:type="dxa"/>
                <w:vAlign w:val="center"/>
              </w:tcPr>
              <w:p>
                <w:pPr>
                  <w:widowControl w:val="0"/>
                  <w:jc w:val="both"/>
                </w:pPr>
                <w:r>
                  <w:rPr>
                    <w:rFonts w:hint="eastAsia"/>
                    <w:szCs w:val="21"/>
                  </w:rPr>
                  <w:t>财务顾问</w:t>
                </w:r>
              </w:p>
            </w:tc>
            <w:tc>
              <w:tcPr>
                <w:tcW w:w="3546" w:type="dxa"/>
                <w:vAlign w:val="center"/>
              </w:tcPr>
              <w:p>
                <w:pPr>
                  <w:widowControl w:val="0"/>
                  <w:jc w:val="both"/>
                </w:pPr>
              </w:p>
            </w:tc>
            <w:tc>
              <w:tcPr>
                <w:tcW w:w="2487" w:type="dxa"/>
                <w:vAlign w:val="center"/>
              </w:tcPr>
              <w:p>
                <w:pPr>
                  <w:widowControl w:val="0"/>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6" w:type="dxa"/>
                <w:vAlign w:val="center"/>
              </w:tcPr>
              <w:p>
                <w:pPr>
                  <w:widowControl w:val="0"/>
                  <w:jc w:val="both"/>
                </w:pPr>
                <w:r>
                  <w:rPr>
                    <w:rFonts w:hint="eastAsia"/>
                    <w:szCs w:val="21"/>
                  </w:rPr>
                  <w:t>保荐人</w:t>
                </w:r>
              </w:p>
            </w:tc>
            <w:tc>
              <w:tcPr>
                <w:tcW w:w="3546" w:type="dxa"/>
                <w:vAlign w:val="center"/>
              </w:tcPr>
              <w:p>
                <w:pPr>
                  <w:widowControl w:val="0"/>
                  <w:jc w:val="both"/>
                </w:pPr>
              </w:p>
            </w:tc>
            <w:tc>
              <w:tcPr>
                <w:tcW w:w="2487" w:type="dxa"/>
                <w:vAlign w:val="center"/>
              </w:tcPr>
              <w:p>
                <w:pPr>
                  <w:widowControl w:val="0"/>
                  <w:jc w:val="right"/>
                </w:pPr>
              </w:p>
            </w:tc>
          </w:tr>
        </w:tbl>
        <w:p/>
      </w:sdtContent>
    </w:sdt>
    <w:bookmarkEnd w:id="128"/>
    <w:p>
      <w:r>
        <w:t>聘任、解聘会计师事务所的情况说明</w:t>
      </w:r>
    </w:p>
    <w:sdt>
      <w:sdtPr>
        <w:alias w:val="是否适用：聘任、解聘会计师事务所情况[双击切换]"/>
        <w:tag w:val="_GBC_376f0811302240c0a118add2061458b6"/>
        <w:id w:val="623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szCs w:val="21"/>
        </w:rPr>
        <w:alias w:val="聘任、解聘会计师事务所情况说明"/>
        <w:tag w:val="_GBC_efccae536add449ea09208e1185e3711"/>
        <w:id w:val="6235"/>
        <w:placeholder>
          <w:docPart w:val="GBC22222222222222222222222222222"/>
        </w:placeholder>
      </w:sdtPr>
      <w:sdtEndPr>
        <w:rPr>
          <w:rFonts w:hint="eastAsia" w:ascii="Times New Roman" w:hAnsi="Times New Roman"/>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rFonts w:ascii="Times New Roman" w:hAnsi="Times New Roman"/>
              <w:sz w:val="21"/>
              <w:szCs w:val="21"/>
            </w:rPr>
          </w:pPr>
          <w:r>
            <w:rPr>
              <w:rFonts w:hint="eastAsia" w:ascii="Times New Roman" w:hAnsi="Times New Roman" w:eastAsia="宋体"/>
              <w:sz w:val="21"/>
              <w:szCs w:val="21"/>
            </w:rPr>
            <w:t>2025</w:t>
          </w:r>
          <w:r>
            <w:rPr>
              <w:rFonts w:hint="eastAsia" w:ascii="Times New Roman" w:hAnsi="Times New Roman" w:eastAsia="Times New Roman"/>
              <w:sz w:val="21"/>
              <w:szCs w:val="21"/>
            </w:rPr>
            <w:t>年</w:t>
          </w:r>
          <w:r>
            <w:rPr>
              <w:rFonts w:ascii="Times New Roman" w:hAnsi="Times New Roman"/>
              <w:sz w:val="21"/>
              <w:szCs w:val="21"/>
            </w:rPr>
            <w:t>12</w:t>
          </w:r>
          <w:r>
            <w:rPr>
              <w:rFonts w:hint="eastAsia" w:ascii="Times New Roman" w:hAnsi="Times New Roman" w:eastAsia="宋体"/>
              <w:sz w:val="21"/>
              <w:szCs w:val="21"/>
            </w:rPr>
            <w:t>月12日，公司召开2025年第二次临时股东会，审议通过了《关于续聘会计师事务所的议案》，决定续聘中喜会计师事务所（特殊普通合伙）为公司2025年度财务报表及内部控制审计机构。财务报表审计费用为50万元，内控审计费用为28万元，与2024年度持平。</w:t>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sz w:val="21"/>
          <w:szCs w:val="21"/>
        </w:rPr>
      </w:pPr>
    </w:p>
    <w:p>
      <w:r>
        <w:t>审计期间改聘会计师事务所的情况说明</w:t>
      </w:r>
    </w:p>
    <w:sdt>
      <w:sdtPr>
        <w:rPr>
          <w:rFonts w:hint="eastAsia"/>
        </w:rPr>
        <w:alias w:val="是否适用：审计期间改聘会计师事务所的情况说明[双击切换]"/>
        <w:tag w:val="_GBC_34c57619e2904c83a8840614e4e5d5d0"/>
        <w:id w:val="6236"/>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rPr>
          <w:rFonts w:hint="eastAsia"/>
        </w:rPr>
        <w:t>审计费用较上一年度下降20%以上（含20%）的情况说明</w:t>
      </w:r>
    </w:p>
    <w:sdt>
      <w:sdtPr>
        <w:rPr>
          <w:rFonts w:hint="eastAsia"/>
        </w:rPr>
        <w:alias w:val="是否适用：审计费用较上一年度下降20%以上（含20%）的情况说明[双击切换]"/>
        <w:tag w:val="_GBC_1b0fa24aa1d645e2aa2ab2a0fe7c67ab"/>
        <w:id w:val="6237"/>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3"/>
        <w:numPr>
          <w:ilvl w:val="0"/>
          <w:numId w:val="30"/>
        </w:numPr>
        <w:rPr>
          <w:rFonts w:hint="eastAsia" w:ascii="宋体" w:hAnsi="宋体" w:cs="宋体"/>
          <w:kern w:val="0"/>
          <w:szCs w:val="24"/>
        </w:rPr>
      </w:pPr>
      <w:r>
        <w:rPr>
          <w:rFonts w:ascii="宋体" w:hAnsi="宋体" w:cs="宋体"/>
          <w:kern w:val="0"/>
          <w:szCs w:val="24"/>
        </w:rPr>
        <w:t>面临</w:t>
      </w:r>
      <w:r>
        <w:rPr>
          <w:rFonts w:hint="eastAsia" w:ascii="宋体" w:hAnsi="宋体" w:cs="宋体"/>
          <w:kern w:val="0"/>
          <w:szCs w:val="24"/>
        </w:rPr>
        <w:t>退</w:t>
      </w:r>
      <w:r>
        <w:rPr>
          <w:rFonts w:ascii="宋体" w:hAnsi="宋体" w:cs="宋体"/>
          <w:kern w:val="0"/>
          <w:szCs w:val="24"/>
        </w:rPr>
        <w:t>市风险的情况</w:t>
      </w:r>
    </w:p>
    <w:p>
      <w:pPr>
        <w:pStyle w:val="4"/>
        <w:numPr>
          <w:ilvl w:val="0"/>
          <w:numId w:val="33"/>
        </w:numPr>
        <w:jc w:val="left"/>
      </w:pPr>
      <w:r>
        <w:rPr>
          <w:rFonts w:hint="eastAsia"/>
        </w:rPr>
        <w:t>导</w:t>
      </w:r>
      <w:r>
        <w:rPr>
          <w:szCs w:val="21"/>
        </w:rPr>
        <w:t>致</w:t>
      </w:r>
      <w:r>
        <w:rPr>
          <w:rFonts w:hint="eastAsia"/>
          <w:szCs w:val="21"/>
        </w:rPr>
        <w:t>退市风险警示</w:t>
      </w:r>
      <w:r>
        <w:rPr>
          <w:szCs w:val="21"/>
        </w:rPr>
        <w:t>的原因</w:t>
      </w:r>
    </w:p>
    <w:sdt>
      <w:sdtPr>
        <w:rPr>
          <w:rFonts w:hint="eastAsia"/>
          <w:szCs w:val="21"/>
        </w:rPr>
        <w:alias w:val="是否适用：导致暂停上市的原因[双击切换]"/>
        <w:tag w:val="_GBC_5be6e6fabf4849c7b63c5d08ac7706e1"/>
        <w:id w:val="6238"/>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hint="eastAsia"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4"/>
        <w:numPr>
          <w:ilvl w:val="0"/>
          <w:numId w:val="33"/>
        </w:numPr>
        <w:rPr>
          <w:szCs w:val="21"/>
        </w:rPr>
      </w:pPr>
      <w:r>
        <w:rPr>
          <w:rFonts w:hint="eastAsia"/>
          <w:szCs w:val="21"/>
        </w:rPr>
        <w:t>公司拟采取的应对措施</w:t>
      </w:r>
    </w:p>
    <w:sdt>
      <w:sdtPr>
        <w:rPr>
          <w:szCs w:val="21"/>
        </w:rPr>
        <w:alias w:val="是否适用：公司拟采取的措施[双击切换]"/>
        <w:tag w:val="_GBC_8656f473b4d943fe8fa1477037f607c5"/>
        <w:id w:val="6239"/>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4"/>
        <w:numPr>
          <w:ilvl w:val="0"/>
          <w:numId w:val="33"/>
        </w:numPr>
        <w:rPr>
          <w:rFonts w:hint="eastAsia" w:ascii="宋体" w:hAnsi="宋体" w:cs="宋体"/>
          <w:kern w:val="0"/>
          <w:szCs w:val="21"/>
        </w:rPr>
      </w:pPr>
      <w:bookmarkStart w:id="129" w:name="_Hlk89346186"/>
      <w:r>
        <w:rPr>
          <w:rFonts w:hint="eastAsia" w:ascii="宋体" w:hAnsi="宋体" w:cs="宋体"/>
          <w:kern w:val="0"/>
          <w:szCs w:val="21"/>
        </w:rPr>
        <w:t>面临终止上市的情况和原因</w:t>
      </w:r>
    </w:p>
    <w:sdt>
      <w:sdtPr>
        <w:rPr>
          <w:rFonts w:hint="eastAsia"/>
          <w:szCs w:val="21"/>
        </w:rPr>
        <w:alias w:val="是否适用：面临终止上市的情况和原因 [双击切换]"/>
        <w:tag w:val="_GBC_36002fff87954035b149cfd20b1790d5"/>
        <w:id w:val="6240"/>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hint="eastAsia" w:ascii="宋体" w:hAnsi="宋体"/>
              <w:szCs w:val="21"/>
            </w:rPr>
            <w:instrText xml:space="preserve"> MACROBUTTON  SnrToggleCheckbox √不适用 </w:instrText>
          </w:r>
          <w:r>
            <w:rPr>
              <w:rFonts w:ascii="宋体" w:hAnsi="宋体"/>
              <w:szCs w:val="21"/>
            </w:rPr>
            <w:fldChar w:fldCharType="end"/>
          </w:r>
        </w:p>
      </w:sdtContent>
    </w:sdt>
    <w:p>
      <w:pPr>
        <w:rPr>
          <w:szCs w:val="21"/>
        </w:rPr>
      </w:pPr>
    </w:p>
    <w:bookmarkEnd w:id="129"/>
    <w:p>
      <w:pPr>
        <w:pStyle w:val="3"/>
        <w:numPr>
          <w:ilvl w:val="0"/>
          <w:numId w:val="30"/>
        </w:numPr>
      </w:pPr>
      <w:r>
        <w:t>破产重整相关事项</w:t>
      </w:r>
    </w:p>
    <w:sdt>
      <w:sdtPr>
        <w:alias w:val="是否适用：破产重整相关事项[双击切换]"/>
        <w:tag w:val="_GBC_5840a694c2a04f98893394e6da3bc9cc"/>
        <w:id w:val="6241"/>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sdt>
      <w:sdtPr>
        <w:tag w:val="_PLD_8bfb3b92756c4d958f3ec59045c2c0f4"/>
        <w:id w:val="6242"/>
      </w:sdtPr>
      <w:sdtContent>
        <w:p>
          <w:pPr>
            <w:pStyle w:val="3"/>
            <w:numPr>
              <w:ilvl w:val="0"/>
              <w:numId w:val="30"/>
            </w:numPr>
          </w:pPr>
          <w:r>
            <w:t>重大诉讼、仲裁事项</w:t>
          </w:r>
        </w:p>
      </w:sdtContent>
    </w:sdt>
    <w:sdt>
      <w:sdtPr>
        <w:rPr>
          <w:rFonts w:asciiTheme="minorEastAsia" w:hAnsiTheme="minorEastAsia" w:eastAsiaTheme="minorEastAsia"/>
        </w:rPr>
        <w:alias w:val="本年度公司有无重大诉讼、仲裁事项"/>
        <w:tag w:val="_GBC_b7d97a978491465ca563fa610688ebef"/>
        <w:id w:val="6243"/>
        <w:placeholder>
          <w:docPart w:val="GBC22222222222222222222222222222"/>
        </w:placeholder>
      </w:sdtPr>
      <w:sdtEndPr>
        <w:rPr>
          <w:rFonts w:asciiTheme="minorEastAsia" w:hAnsiTheme="minorEastAsia" w:eastAsiaTheme="minorEastAsia"/>
        </w:rPr>
      </w:sdtEndPr>
      <w:sdtContent>
        <w:p>
          <w:pPr>
            <w:rPr>
              <w:rFonts w:hint="eastAsia"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 MACROBUTTON  SnrToggleCheckbox □本年度公司有重大诉讼、仲裁事项 </w:instrText>
          </w:r>
          <w:r>
            <w:rPr>
              <w:rFonts w:asciiTheme="minorEastAsia" w:hAnsiTheme="minorEastAsia" w:eastAsiaTheme="minorEastAsia"/>
            </w:rPr>
            <w:fldChar w:fldCharType="end"/>
          </w:r>
          <w:r>
            <w:rPr>
              <w:rFonts w:asciiTheme="minorEastAsia" w:hAnsiTheme="minorEastAsia" w:eastAsiaTheme="minorEastAsia"/>
            </w:rPr>
            <w:fldChar w:fldCharType="begin"/>
          </w:r>
          <w:r>
            <w:rPr>
              <w:rFonts w:asciiTheme="minorEastAsia" w:hAnsiTheme="minorEastAsia" w:eastAsiaTheme="minorEastAsia"/>
            </w:rPr>
            <w:instrText xml:space="preserve"> MACROBUTTON  SnrToggleCheckbox √本年度公司无重大诉讼、仲裁事项 </w:instrText>
          </w:r>
          <w:r>
            <w:rPr>
              <w:rFonts w:asciiTheme="minorEastAsia" w:hAnsiTheme="minorEastAsia" w:eastAsiaTheme="minorEastAsia"/>
            </w:rPr>
            <w:fldChar w:fldCharType="end"/>
          </w:r>
        </w:p>
      </w:sdtContent>
    </w:sdt>
    <w:p>
      <w:pPr>
        <w:rPr>
          <w:szCs w:val="21"/>
        </w:rPr>
      </w:pPr>
    </w:p>
    <w:p>
      <w:pPr>
        <w:pStyle w:val="3"/>
        <w:numPr>
          <w:ilvl w:val="0"/>
          <w:numId w:val="30"/>
        </w:numPr>
        <w:ind w:left="0" w:firstLine="0"/>
      </w:pPr>
      <w:r>
        <w:t>上市公司</w:t>
      </w:r>
      <w:r>
        <w:rPr>
          <w:rFonts w:hint="eastAsia"/>
        </w:rPr>
        <w:t>及其董事、高级管理人员、控股股东、实际控制人</w:t>
      </w:r>
      <w:r>
        <w:t>涉嫌违法违规、受到处罚及整改情况</w:t>
      </w:r>
    </w:p>
    <w:sdt>
      <w:sdtPr>
        <w:alias w:val="是否适用：上市公司及其董事、监事、高级管理人员、持有5%以上股份的股东、实际控制人、收购人处罚及整改情况[双击切换]"/>
        <w:tag w:val="_GBC_123762bb7717485a933e24f7a072833b"/>
        <w:id w:val="624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3"/>
        <w:numPr>
          <w:ilvl w:val="0"/>
          <w:numId w:val="30"/>
        </w:numPr>
      </w:pPr>
      <w:r>
        <w:rPr>
          <w:rFonts w:hint="eastAsia"/>
        </w:rPr>
        <w:t>报告期内公司及其控股股东、实际控制人诚信状况的说明</w:t>
      </w:r>
    </w:p>
    <w:sdt>
      <w:sdtPr>
        <w:rPr>
          <w:rFonts w:hint="eastAsia"/>
          <w:szCs w:val="21"/>
        </w:rPr>
        <w:alias w:val="是否适用：报告期内公司及其控股股东、实际控制人诚信状况的说明[双击切换]"/>
        <w:tag w:val="_GBC_c52f51ce49eb4245a9df7baca2947656"/>
        <w:id w:val="6245"/>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3"/>
        <w:numPr>
          <w:ilvl w:val="0"/>
          <w:numId w:val="30"/>
        </w:numPr>
      </w:pPr>
      <w:r>
        <w:rPr>
          <w:rFonts w:hint="eastAsia"/>
        </w:rPr>
        <w:t>重大关联交易</w:t>
      </w:r>
    </w:p>
    <w:p>
      <w:pPr>
        <w:pStyle w:val="4"/>
        <w:numPr>
          <w:ilvl w:val="2"/>
          <w:numId w:val="5"/>
        </w:numPr>
        <w:rPr>
          <w:szCs w:val="21"/>
        </w:rPr>
      </w:pPr>
      <w:bookmarkStart w:id="130" w:name="_Toc342565953"/>
      <w:bookmarkStart w:id="131" w:name="_Toc342491961"/>
      <w:r>
        <w:rPr>
          <w:rFonts w:hint="eastAsia"/>
          <w:szCs w:val="21"/>
        </w:rPr>
        <w:t>与日常经营相关的关联交易</w:t>
      </w:r>
      <w:bookmarkEnd w:id="130"/>
      <w:bookmarkEnd w:id="131"/>
    </w:p>
    <w:p>
      <w:pPr>
        <w:pStyle w:val="5"/>
        <w:numPr>
          <w:ilvl w:val="2"/>
          <w:numId w:val="34"/>
        </w:numPr>
        <w:rPr>
          <w:rFonts w:hint="eastAsia"/>
        </w:rPr>
      </w:pPr>
      <w:r>
        <w:t>已在临时公告披露且后续实施无进展或变化的事项</w:t>
      </w:r>
    </w:p>
    <w:sdt>
      <w:sdtPr>
        <w:alias w:val="是否适用：已在临时公告披露且后续实施无进展或变化的事项_与日常经营相关的关联交易[双击切换]"/>
        <w:tag w:val="_GBC_6194ac6d54054fcc9f40dc3e35772780"/>
        <w:id w:val="6246"/>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
        <w:numPr>
          <w:ilvl w:val="2"/>
          <w:numId w:val="34"/>
        </w:numPr>
        <w:rPr>
          <w:rFonts w:hint="eastAsia"/>
        </w:rPr>
      </w:pPr>
      <w:r>
        <w:t>已在临时公告披露，但有后续实施的进展或变化的事项</w:t>
      </w:r>
    </w:p>
    <w:sdt>
      <w:sdtPr>
        <w:rPr>
          <w:rFonts w:hint="eastAsia"/>
          <w:szCs w:val="21"/>
        </w:rPr>
        <w:alias w:val="是否适用：已在临时公告披露，但有后续实施的进展或变化的事项_与日常经营相关的关联交易[双击切换]"/>
        <w:tag w:val="_GBC_19ed12f3e7b5456b8509a0a5457f26b3"/>
        <w:id w:val="6247"/>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5"/>
        <w:numPr>
          <w:ilvl w:val="2"/>
          <w:numId w:val="34"/>
        </w:numPr>
        <w:rPr>
          <w:rFonts w:hint="eastAsia"/>
        </w:rPr>
      </w:pPr>
      <w:bookmarkStart w:id="132" w:name="_Toc342491964"/>
      <w:bookmarkStart w:id="133" w:name="_Toc342565956"/>
      <w:r>
        <w:rPr>
          <w:rFonts w:hint="eastAsia"/>
        </w:rPr>
        <w:t>临时公告未披露的事</w:t>
      </w:r>
      <w:bookmarkEnd w:id="132"/>
      <w:bookmarkEnd w:id="133"/>
      <w:r>
        <w:rPr>
          <w:rFonts w:hint="eastAsia"/>
        </w:rPr>
        <w:t>项</w:t>
      </w:r>
    </w:p>
    <w:sdt>
      <w:sdtPr>
        <w:alias w:val="是否适用：与日常经营相关的关联交易_临时公告未披露的事项[双击切换]"/>
        <w:tag w:val="_GBC_3f1135e0d6d440e6a4af283441bd65d2"/>
        <w:id w:val="6248"/>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4"/>
        <w:numPr>
          <w:ilvl w:val="2"/>
          <w:numId w:val="5"/>
        </w:numPr>
        <w:tabs>
          <w:tab w:val="left" w:pos="426"/>
        </w:tabs>
        <w:rPr>
          <w:rFonts w:hint="eastAsia" w:ascii="宋体" w:hAnsi="宋体"/>
          <w:szCs w:val="21"/>
        </w:rPr>
      </w:pPr>
      <w:r>
        <w:rPr>
          <w:szCs w:val="21"/>
        </w:rPr>
        <w:t>资产</w:t>
      </w:r>
      <w:r>
        <w:rPr>
          <w:rFonts w:hint="eastAsia"/>
          <w:szCs w:val="21"/>
        </w:rPr>
        <w:t>或股权</w:t>
      </w:r>
      <w:r>
        <w:rPr>
          <w:szCs w:val="21"/>
        </w:rPr>
        <w:t>收购、出售发生的关联交易</w:t>
      </w:r>
    </w:p>
    <w:p>
      <w:pPr>
        <w:pStyle w:val="5"/>
        <w:numPr>
          <w:ilvl w:val="0"/>
          <w:numId w:val="35"/>
        </w:numPr>
        <w:rPr>
          <w:rFonts w:hint="eastAsia"/>
        </w:rPr>
      </w:pPr>
      <w:r>
        <w:t>已在临时公告披露且后续实施无进展或变化的事项</w:t>
      </w:r>
    </w:p>
    <w:sdt>
      <w:sdtPr>
        <w:alias w:val="是否适用：已在临时公告披露且后续实施无进展或变化的事项_资产或股权收购、出售发生的关联交易[双击切换]"/>
        <w:tag w:val="_GBC_543ebf3bec89495c98a461a0509a331d"/>
        <w:id w:val="6249"/>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
        <w:numPr>
          <w:ilvl w:val="0"/>
          <w:numId w:val="35"/>
        </w:numPr>
        <w:rPr>
          <w:rFonts w:hint="eastAsia"/>
        </w:rPr>
      </w:pPr>
      <w:bookmarkStart w:id="134" w:name="_Hlk90309315"/>
      <w:r>
        <w:t>已在临时公告披露，但有后续实施的进展或变化的事项</w:t>
      </w:r>
    </w:p>
    <w:sdt>
      <w:sdtPr>
        <w:rPr>
          <w:rFonts w:hint="eastAsia"/>
          <w:szCs w:val="21"/>
        </w:rPr>
        <w:alias w:val="是否适用：已在临时公告披露，但有后续实施的进展或变化的事项_资产或股权收购、出售发生的关联交易[双击切换]"/>
        <w:tag w:val="_GBC_f85ce314be044952b84cb0c7825e3be3"/>
        <w:id w:val="6250"/>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bookmarkEnd w:id="134"/>
    <w:p>
      <w:pPr>
        <w:rPr>
          <w:szCs w:val="21"/>
        </w:rPr>
      </w:pPr>
    </w:p>
    <w:p>
      <w:pPr>
        <w:pStyle w:val="5"/>
        <w:numPr>
          <w:ilvl w:val="0"/>
          <w:numId w:val="35"/>
        </w:numPr>
        <w:rPr>
          <w:rFonts w:hint="eastAsia"/>
        </w:rPr>
      </w:pPr>
      <w:r>
        <w:t>临时公告未披露的事项</w:t>
      </w:r>
    </w:p>
    <w:sdt>
      <w:sdtPr>
        <w:alias w:val="是否适用：资产收购、出售发生的关联交易_临时公告未披露的事项[双击切换]"/>
        <w:tag w:val="_GBC_c2403e21caad4498842c2f1cf3384c0d"/>
        <w:id w:val="6251"/>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
        <w:numPr>
          <w:ilvl w:val="0"/>
          <w:numId w:val="35"/>
        </w:numPr>
        <w:rPr>
          <w:rFonts w:hint="eastAsia"/>
        </w:rPr>
      </w:pPr>
      <w:r>
        <w:rPr>
          <w:rFonts w:hint="eastAsia"/>
        </w:rPr>
        <w:t>涉及业绩约定的，应当披露报告期内的业绩实现情况</w:t>
      </w:r>
    </w:p>
    <w:sdt>
      <w:sdtPr>
        <w:rPr>
          <w:rFonts w:hint="eastAsia"/>
        </w:rPr>
        <w:alias w:val="是否适用：涉及业绩约定的，应当披露报告期内的业绩实现情况[双击切换]"/>
        <w:tag w:val="_GBC_fa913cf2ab9c4bd9bb424b63073fb9b5"/>
        <w:id w:val="6252"/>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4"/>
        <w:numPr>
          <w:ilvl w:val="2"/>
          <w:numId w:val="5"/>
        </w:numPr>
        <w:rPr>
          <w:szCs w:val="21"/>
        </w:rPr>
      </w:pPr>
      <w:r>
        <w:rPr>
          <w:szCs w:val="21"/>
        </w:rPr>
        <w:t>共同对外投资的重大关联交易</w:t>
      </w:r>
    </w:p>
    <w:p>
      <w:pPr>
        <w:pStyle w:val="5"/>
        <w:numPr>
          <w:ilvl w:val="0"/>
          <w:numId w:val="36"/>
        </w:numPr>
        <w:rPr>
          <w:rFonts w:hint="eastAsia"/>
        </w:rPr>
      </w:pPr>
      <w:r>
        <w:t>已在临时公告披露且后续实施无进展或变化的事项</w:t>
      </w:r>
    </w:p>
    <w:sdt>
      <w:sdtPr>
        <w:alias w:val="是否适用：已在临时公告披露且后续实施无进展或变化的事项_共同对外投资的重大关联交易[双击切换]"/>
        <w:tag w:val="_GBC_7eea3c6d3d6245c4a1388637f61fccce"/>
        <w:id w:val="6253"/>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4"/>
        <w:gridCol w:w="4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4" w:type="dxa"/>
            <w:vAlign w:val="center"/>
          </w:tcPr>
          <w:sdt>
            <w:sdtPr>
              <w:tag w:val="_PLD_aaa8429c16f947df8bb3958de8573ffd"/>
              <w:id w:val="6254"/>
            </w:sdtPr>
            <w:sdtContent>
              <w:p>
                <w:pPr>
                  <w:widowControl w:val="0"/>
                  <w:jc w:val="center"/>
                  <w:rPr>
                    <w:szCs w:val="21"/>
                  </w:rPr>
                </w:pPr>
                <w:r>
                  <w:rPr>
                    <w:szCs w:val="21"/>
                  </w:rPr>
                  <w:t>事项概述</w:t>
                </w:r>
              </w:p>
            </w:sdtContent>
          </w:sdt>
        </w:tc>
        <w:tc>
          <w:tcPr>
            <w:tcW w:w="4524" w:type="dxa"/>
            <w:vAlign w:val="center"/>
          </w:tcPr>
          <w:sdt>
            <w:sdtPr>
              <w:tag w:val="_PLD_cf6e4516bf28449d8c20ba66687eaace"/>
              <w:id w:val="6255"/>
            </w:sdtPr>
            <w:sdtContent>
              <w:p>
                <w:pPr>
                  <w:widowControl w:val="0"/>
                  <w:jc w:val="center"/>
                  <w:rPr>
                    <w:szCs w:val="21"/>
                  </w:rPr>
                </w:pPr>
                <w:r>
                  <w:rPr>
                    <w:szCs w:val="21"/>
                  </w:rPr>
                  <w:t>查询索引</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4" w:type="dxa"/>
            <w:vAlign w:val="center"/>
          </w:tcPr>
          <w:p>
            <w:pPr>
              <w:widowControl w:val="0"/>
              <w:jc w:val="both"/>
              <w:rPr>
                <w:szCs w:val="21"/>
              </w:rPr>
            </w:pPr>
            <w:r>
              <w:rPr>
                <w:rFonts w:hint="eastAsia"/>
                <w:color w:val="auto"/>
              </w:rPr>
              <w:t>2024年10月12日，公司披露了《关于参与设立产业基金暨关联交易的公告》，公司拟与控股股东广西柳州市产业投资发展集团有限公司全资子公司柳州市产业引导基金投资管理有限公司及其他合伙人共同出资设立柳州两面针民生大健康产业基金合伙企业（有限合伙）。该合伙企业总规模为人民币5亿元，公司拟以货币方式认缴出资15,000万元 ，持股占比30%。</w:t>
            </w:r>
          </w:p>
        </w:tc>
        <w:tc>
          <w:tcPr>
            <w:tcW w:w="4524" w:type="dxa"/>
            <w:vAlign w:val="center"/>
          </w:tcPr>
          <w:p>
            <w:pPr>
              <w:widowControl w:val="0"/>
              <w:jc w:val="both"/>
              <w:rPr>
                <w:szCs w:val="21"/>
              </w:rPr>
            </w:pPr>
            <w:r>
              <w:rPr>
                <w:rFonts w:hint="eastAsia"/>
                <w:color w:val="auto"/>
              </w:rPr>
              <w:t>本次交易的具体情况详见上海证券交易所网站（http://www.sse.com.cn/）发布的相关公告，公告编号2024-021、公告编号2024-026。</w:t>
            </w:r>
          </w:p>
        </w:tc>
      </w:tr>
    </w:tbl>
    <w:p/>
    <w:p>
      <w:pPr>
        <w:pStyle w:val="5"/>
        <w:numPr>
          <w:ilvl w:val="0"/>
          <w:numId w:val="36"/>
        </w:numPr>
        <w:rPr>
          <w:rFonts w:hint="eastAsia"/>
        </w:rPr>
      </w:pPr>
      <w:r>
        <w:t>已在临时公告披露，但有后续实施的进展或变化的事项</w:t>
      </w:r>
    </w:p>
    <w:sdt>
      <w:sdtPr>
        <w:rPr>
          <w:rFonts w:hint="eastAsia"/>
          <w:szCs w:val="21"/>
        </w:rPr>
        <w:alias w:val="是否适用：已在临时公告披露，但有后续实施的进展或变化的事项_共同对外投资的重大关联交易[双击切换]"/>
        <w:tag w:val="_GBC_5d21c9b653cf41df993294ab4dfbca74"/>
        <w:id w:val="6256"/>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Pr>
        <w:pStyle w:val="5"/>
        <w:numPr>
          <w:ilvl w:val="0"/>
          <w:numId w:val="36"/>
        </w:numPr>
        <w:rPr>
          <w:rFonts w:hint="eastAsia"/>
        </w:rPr>
      </w:pPr>
      <w:r>
        <w:t>临时公告未披露的事项</w:t>
      </w:r>
    </w:p>
    <w:sdt>
      <w:sdtPr>
        <w:alias w:val="是否适用：共同对外投资的重大关联交易_临时公告未披露的事项[双击切换]"/>
        <w:tag w:val="_GBC_0a8e93fe81464e209d3619d1be6a3349"/>
        <w:id w:val="6257"/>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pStyle w:val="4"/>
        <w:numPr>
          <w:ilvl w:val="2"/>
          <w:numId w:val="5"/>
        </w:numPr>
        <w:rPr>
          <w:szCs w:val="21"/>
        </w:rPr>
      </w:pPr>
      <w:r>
        <w:rPr>
          <w:rFonts w:hint="eastAsia"/>
          <w:szCs w:val="21"/>
        </w:rPr>
        <w:t>关联债权债务往来</w:t>
      </w:r>
    </w:p>
    <w:p>
      <w:pPr>
        <w:pStyle w:val="5"/>
        <w:numPr>
          <w:ilvl w:val="0"/>
          <w:numId w:val="37"/>
        </w:numPr>
        <w:rPr>
          <w:rFonts w:hint="eastAsia"/>
        </w:rPr>
      </w:pPr>
      <w:r>
        <w:t>已在临时公告披露且后续实施无进展或变化的事项</w:t>
      </w:r>
    </w:p>
    <w:sdt>
      <w:sdtPr>
        <w:alias w:val="是否适用：已在临时公告披露且后续实施无进展或变化的事项_关联债权债务往来[双击切换]"/>
        <w:tag w:val="_GBC_7465d4a4508a455591694c4e59f1f59b"/>
        <w:id w:val="6258"/>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
        <w:numPr>
          <w:ilvl w:val="0"/>
          <w:numId w:val="37"/>
        </w:numPr>
        <w:rPr>
          <w:rFonts w:hint="eastAsia"/>
        </w:rPr>
      </w:pPr>
      <w:r>
        <w:t>已在临时公告披露，但有后续实施的进展或变化的事项</w:t>
      </w:r>
    </w:p>
    <w:sdt>
      <w:sdtPr>
        <w:rPr>
          <w:rFonts w:hint="eastAsia"/>
          <w:szCs w:val="21"/>
        </w:rPr>
        <w:alias w:val="是否适用：已在临时公告披露，但有后续实施的进展或变化的事项_关联债权债务往来[双击切换]"/>
        <w:tag w:val="_GBC_fe8fc12ee5c547d690bcc3fb3f1f4e32"/>
        <w:id w:val="6259"/>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Pr>
        <w:pStyle w:val="5"/>
        <w:numPr>
          <w:ilvl w:val="0"/>
          <w:numId w:val="37"/>
        </w:numPr>
        <w:rPr>
          <w:rFonts w:hint="eastAsia"/>
        </w:rPr>
      </w:pPr>
      <w:r>
        <w:rPr>
          <w:rFonts w:hint="eastAsia"/>
        </w:rPr>
        <w:t>临时公告未披露的事项</w:t>
      </w:r>
    </w:p>
    <w:sdt>
      <w:sdtPr>
        <w:alias w:val="是否适用：关联债权债务往来_临时公告未披露的事项[双击切换]"/>
        <w:tag w:val="_GBC_d9a88c6705ef48d49848c2b93cb503f2"/>
        <w:id w:val="626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rFonts w:hint="eastAsia" w:asciiTheme="minorEastAsia" w:hAnsiTheme="minorEastAsia"/>
          <w:szCs w:val="21"/>
        </w:rPr>
      </w:pPr>
    </w:p>
    <w:p>
      <w:pPr>
        <w:pStyle w:val="4"/>
        <w:numPr>
          <w:ilvl w:val="2"/>
          <w:numId w:val="5"/>
        </w:numPr>
        <w:rPr>
          <w:rFonts w:hint="eastAsia" w:ascii="宋体" w:hAnsi="宋体"/>
        </w:rPr>
      </w:pPr>
      <w:bookmarkStart w:id="135" w:name="_Hlk89953756"/>
      <w:bookmarkStart w:id="136" w:name="_Hlk89346519"/>
      <w:r>
        <w:rPr>
          <w:rFonts w:ascii="宋体" w:hAnsi="宋体"/>
        </w:rPr>
        <w:t>公司与存在关联关系的财务公司、公司控股财务公司与关联方之间的金融业务</w:t>
      </w:r>
    </w:p>
    <w:sdt>
      <w:sdtPr>
        <w:alias w:val="是否适用：公司与存在关联关系的财务公司、公司控股财务公司与关联方之间的金融业务 [双击切换]"/>
        <w:tag w:val="_GBC_5a345568387542318c17a9fa2dcc2dbc"/>
        <w:id w:val="6261"/>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135"/>
    <w:bookmarkEnd w:id="136"/>
    <w:p>
      <w:pPr>
        <w:pStyle w:val="4"/>
        <w:numPr>
          <w:ilvl w:val="2"/>
          <w:numId w:val="5"/>
        </w:numPr>
        <w:rPr>
          <w:szCs w:val="21"/>
        </w:rPr>
      </w:pPr>
      <w:bookmarkStart w:id="137" w:name="_Hlk41316022"/>
      <w:bookmarkEnd w:id="137"/>
      <w:bookmarkStart w:id="138" w:name="_Hlk41316014"/>
      <w:bookmarkEnd w:id="138"/>
      <w:r>
        <w:rPr>
          <w:rFonts w:hint="eastAsia"/>
          <w:szCs w:val="21"/>
        </w:rPr>
        <w:t>其他</w:t>
      </w:r>
    </w:p>
    <w:sdt>
      <w:sdtPr>
        <w:rPr>
          <w:rFonts w:hint="eastAsia" w:asciiTheme="minorEastAsia" w:hAnsiTheme="minorEastAsia" w:eastAsiaTheme="minorEastAsia"/>
          <w:szCs w:val="21"/>
        </w:rPr>
        <w:alias w:val="是否适用：重大关联交易其他说明[双击切换]"/>
        <w:tag w:val="_GBC_49b04883b7a84a83b6a8bfec05cbb445"/>
        <w:id w:val="6262"/>
        <w:placeholder>
          <w:docPart w:val="GBC22222222222222222222222222222"/>
        </w:placeholder>
      </w:sdtPr>
      <w:sdtEndPr>
        <w:rPr>
          <w:rFonts w:hint="eastAsia" w:asciiTheme="minorEastAsia" w:hAnsiTheme="minorEastAsia" w:eastAsiaTheme="minorEastAsia"/>
          <w:szCs w:val="21"/>
        </w:rPr>
      </w:sdtEndPr>
      <w:sdtContent>
        <w:p>
          <w:pPr>
            <w:rPr>
              <w:rFonts w:hint="eastAsia" w:asciiTheme="minorEastAsia" w:hAnsiTheme="minorEastAsia" w:eastAsiaTheme="minorEastAsia"/>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sdt>
      <w:sdtPr>
        <w:tag w:val="_PLD_1c6199c0c10b41c6af14a78f37773297"/>
        <w:id w:val="6263"/>
      </w:sdtPr>
      <w:sdtContent>
        <w:p>
          <w:pPr>
            <w:pStyle w:val="3"/>
            <w:numPr>
              <w:ilvl w:val="0"/>
              <w:numId w:val="30"/>
            </w:numPr>
          </w:pPr>
          <w:r>
            <w:rPr>
              <w:rFonts w:hint="eastAsia"/>
            </w:rPr>
            <w:t>重大合同及其履行情况</w:t>
          </w:r>
        </w:p>
      </w:sdtContent>
    </w:sdt>
    <w:p>
      <w:pPr>
        <w:pStyle w:val="4"/>
        <w:numPr>
          <w:ilvl w:val="0"/>
          <w:numId w:val="38"/>
        </w:numPr>
        <w:rPr>
          <w:szCs w:val="21"/>
        </w:rPr>
      </w:pPr>
      <w:r>
        <w:rPr>
          <w:szCs w:val="21"/>
        </w:rPr>
        <w:t>托管、承包、租赁事项</w:t>
      </w:r>
    </w:p>
    <w:p>
      <w:pPr>
        <w:pStyle w:val="5"/>
        <w:numPr>
          <w:ilvl w:val="0"/>
          <w:numId w:val="39"/>
        </w:numPr>
        <w:rPr>
          <w:rFonts w:hint="eastAsia"/>
        </w:rPr>
      </w:pPr>
      <w:r>
        <w:rPr>
          <w:rFonts w:hint="eastAsia"/>
        </w:rPr>
        <w:t>托管情况</w:t>
      </w:r>
    </w:p>
    <w:sdt>
      <w:sdtPr>
        <w:alias w:val="是否适用：托管情况[双击切换]"/>
        <w:tag w:val="_GBC_f528f5eedb9346f6b0fbdbe3967882e7"/>
        <w:id w:val="626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pStyle w:val="5"/>
        <w:numPr>
          <w:ilvl w:val="0"/>
          <w:numId w:val="39"/>
        </w:numPr>
        <w:rPr>
          <w:rFonts w:hint="eastAsia"/>
        </w:rPr>
      </w:pPr>
      <w:r>
        <w:t>承包情况</w:t>
      </w:r>
    </w:p>
    <w:sdt>
      <w:sdtPr>
        <w:alias w:val="是否适用：承包情况[双击切换]"/>
        <w:tag w:val="_GBC_ef45025eb2d84c78907511abec2bd222"/>
        <w:id w:val="6265"/>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pStyle w:val="5"/>
        <w:numPr>
          <w:ilvl w:val="0"/>
          <w:numId w:val="39"/>
        </w:numPr>
        <w:rPr>
          <w:rFonts w:hint="eastAsia"/>
        </w:rPr>
      </w:pPr>
      <w:r>
        <w:t>租赁情况</w:t>
      </w:r>
    </w:p>
    <w:sdt>
      <w:sdtPr>
        <w:alias w:val="是否适用：租赁情况[双击切换]"/>
        <w:tag w:val="_GBC_c1d0d78a63af4d48a7427277c2db3ac5"/>
        <w:id w:val="6266"/>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rPr>
          <w:szCs w:val="21"/>
        </w:rPr>
        <w:sectPr>
          <w:pgSz w:w="11906" w:h="16838"/>
          <w:pgMar w:top="1525" w:right="1276" w:bottom="1440" w:left="1797" w:header="855" w:footer="992" w:gutter="0"/>
          <w:cols w:space="425" w:num="1"/>
          <w:docGrid w:linePitch="312" w:charSpace="0"/>
        </w:sectPr>
      </w:pPr>
    </w:p>
    <w:p>
      <w:pPr>
        <w:pStyle w:val="4"/>
        <w:numPr>
          <w:ilvl w:val="0"/>
          <w:numId w:val="38"/>
        </w:numPr>
        <w:rPr>
          <w:szCs w:val="21"/>
        </w:rPr>
      </w:pPr>
      <w:bookmarkStart w:id="139" w:name="_Toc342565974"/>
      <w:bookmarkStart w:id="140" w:name="_Toc342491982"/>
      <w:bookmarkStart w:id="141" w:name="OLE_LINK3"/>
      <w:bookmarkStart w:id="142" w:name="OLE_LINK2"/>
      <w:r>
        <w:rPr>
          <w:rFonts w:hint="eastAsia"/>
          <w:szCs w:val="21"/>
        </w:rPr>
        <w:t>担保情况</w:t>
      </w:r>
      <w:bookmarkEnd w:id="139"/>
      <w:bookmarkEnd w:id="140"/>
    </w:p>
    <w:bookmarkEnd w:id="141"/>
    <w:bookmarkEnd w:id="142"/>
    <w:sdt>
      <w:sdtPr>
        <w:rPr>
          <w:szCs w:val="21"/>
        </w:rPr>
        <w:alias w:val="是否适用：担保情况[双击切换]"/>
        <w:tag w:val="_GBC_b799a3ac65f846e088fcfb2dd2591ede"/>
        <w:id w:val="6267"/>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jc w:val="right"/>
        <w:rPr>
          <w:szCs w:val="21"/>
        </w:rPr>
      </w:pPr>
      <w:r>
        <w:rPr>
          <w:rFonts w:hint="eastAsia"/>
          <w:szCs w:val="21"/>
        </w:rPr>
        <w:t>单位</w:t>
      </w:r>
      <w:r>
        <w:rPr>
          <w:szCs w:val="21"/>
        </w:rPr>
        <w:t>：</w:t>
      </w:r>
      <w:sdt>
        <w:sdtPr>
          <w:rPr>
            <w:szCs w:val="21"/>
          </w:rPr>
          <w:alias w:val="单位：担保情况"/>
          <w:tag w:val="_GBC_c5b429695c6d4556a9d11f55a5e736d3"/>
          <w:id w:val="626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szCs w:val="21"/>
          </w:rPr>
        </w:sdtEndPr>
        <w:sdtContent>
          <w:r>
            <w:rPr>
              <w:szCs w:val="21"/>
            </w:rPr>
            <w:t>万元</w:t>
          </w:r>
        </w:sdtContent>
      </w:sdt>
      <w:r>
        <w:rPr>
          <w:rFonts w:hint="eastAsia"/>
          <w:szCs w:val="21"/>
        </w:rPr>
        <w:t xml:space="preserve">  币种</w:t>
      </w:r>
      <w:r>
        <w:rPr>
          <w:szCs w:val="21"/>
        </w:rPr>
        <w:t>：</w:t>
      </w:r>
      <w:sdt>
        <w:sdtPr>
          <w:rPr>
            <w:szCs w:val="21"/>
          </w:rPr>
          <w:alias w:val="币种：担保情况"/>
          <w:tag w:val="_GBC_bbefcb25022447d5a0413d1c31ffdf65"/>
          <w:id w:val="626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szCs w:val="21"/>
          </w:rPr>
        </w:sdtEndPr>
        <w:sdtContent>
          <w:r>
            <w:rPr>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0" w:type="dxa"/>
          <w:bottom w:w="0" w:type="dxa"/>
          <w:right w:w="30" w:type="dxa"/>
        </w:tblCellMar>
      </w:tblPr>
      <w:tblGrid>
        <w:gridCol w:w="883"/>
        <w:gridCol w:w="922"/>
        <w:gridCol w:w="916"/>
        <w:gridCol w:w="1022"/>
        <w:gridCol w:w="919"/>
        <w:gridCol w:w="919"/>
        <w:gridCol w:w="396"/>
        <w:gridCol w:w="518"/>
        <w:gridCol w:w="919"/>
        <w:gridCol w:w="919"/>
        <w:gridCol w:w="919"/>
        <w:gridCol w:w="916"/>
        <w:gridCol w:w="1022"/>
        <w:gridCol w:w="916"/>
        <w:gridCol w:w="919"/>
        <w:gridCol w:w="89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13933" w:type="dxa"/>
            <w:gridSpan w:val="16"/>
            <w:tcBorders>
              <w:top w:val="single" w:color="auto" w:sz="4" w:space="0"/>
              <w:bottom w:val="single" w:color="auto" w:sz="4" w:space="0"/>
            </w:tcBorders>
            <w:vAlign w:val="center"/>
          </w:tcPr>
          <w:sdt>
            <w:sdtPr>
              <w:tag w:val="_PLD_47382e1239d84f6f9f6c6d4b5423c108"/>
              <w:id w:val="6270"/>
            </w:sdtPr>
            <w:sdtContent>
              <w:p>
                <w:pPr>
                  <w:autoSpaceDE w:val="0"/>
                  <w:autoSpaceDN w:val="0"/>
                  <w:adjustRightInd w:val="0"/>
                  <w:jc w:val="center"/>
                  <w:rPr>
                    <w:szCs w:val="21"/>
                  </w:rPr>
                </w:pPr>
                <w:bookmarkStart w:id="143" w:name="_Hlk89953992"/>
                <w:r>
                  <w:rPr>
                    <w:rFonts w:hint="eastAsia"/>
                    <w:szCs w:val="21"/>
                  </w:rPr>
                  <w:t>公司对外担保情况（不包括对子公司的担保）</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293" w:hRule="atLeast"/>
        </w:trPr>
        <w:tc>
          <w:tcPr>
            <w:tcW w:w="883" w:type="dxa"/>
            <w:tcBorders>
              <w:top w:val="single" w:color="auto" w:sz="4" w:space="0"/>
              <w:bottom w:val="single" w:color="auto" w:sz="4" w:space="0"/>
              <w:right w:val="single" w:color="auto" w:sz="4" w:space="0"/>
            </w:tcBorders>
            <w:vAlign w:val="center"/>
          </w:tcPr>
          <w:sdt>
            <w:sdtPr>
              <w:tag w:val="_PLD_09b2f27e560e48058fd68a7522d4a21e"/>
              <w:id w:val="6271"/>
            </w:sdtPr>
            <w:sdtContent>
              <w:p>
                <w:pPr>
                  <w:autoSpaceDE w:val="0"/>
                  <w:autoSpaceDN w:val="0"/>
                  <w:adjustRightInd w:val="0"/>
                  <w:jc w:val="center"/>
                  <w:rPr>
                    <w:szCs w:val="21"/>
                  </w:rPr>
                </w:pPr>
                <w:r>
                  <w:rPr>
                    <w:rFonts w:hint="eastAsia"/>
                    <w:szCs w:val="21"/>
                  </w:rPr>
                  <w:t>担保方</w:t>
                </w:r>
              </w:p>
            </w:sdtContent>
          </w:sdt>
        </w:tc>
        <w:tc>
          <w:tcPr>
            <w:tcW w:w="922" w:type="dxa"/>
            <w:tcBorders>
              <w:top w:val="single" w:color="auto" w:sz="4" w:space="0"/>
              <w:left w:val="single" w:color="auto" w:sz="4" w:space="0"/>
              <w:bottom w:val="single" w:color="auto" w:sz="4" w:space="0"/>
              <w:right w:val="single" w:color="auto" w:sz="4" w:space="0"/>
            </w:tcBorders>
            <w:vAlign w:val="center"/>
          </w:tcPr>
          <w:sdt>
            <w:sdtPr>
              <w:tag w:val="_PLD_3052f673b3b345d3a7af649302ea170a"/>
              <w:id w:val="6272"/>
            </w:sdtPr>
            <w:sdtContent>
              <w:p>
                <w:pPr>
                  <w:autoSpaceDE w:val="0"/>
                  <w:autoSpaceDN w:val="0"/>
                  <w:adjustRightInd w:val="0"/>
                  <w:jc w:val="center"/>
                  <w:rPr>
                    <w:szCs w:val="21"/>
                  </w:rPr>
                </w:pPr>
                <w:r>
                  <w:rPr>
                    <w:rFonts w:hint="eastAsia"/>
                    <w:szCs w:val="21"/>
                  </w:rPr>
                  <w:t>担保方与上市公司的关系</w:t>
                </w:r>
              </w:p>
            </w:sdtContent>
          </w:sdt>
        </w:tc>
        <w:tc>
          <w:tcPr>
            <w:tcW w:w="916" w:type="dxa"/>
            <w:tcBorders>
              <w:top w:val="single" w:color="auto" w:sz="4" w:space="0"/>
              <w:left w:val="single" w:color="auto" w:sz="4" w:space="0"/>
              <w:bottom w:val="single" w:color="auto" w:sz="4" w:space="0"/>
              <w:right w:val="single" w:color="auto" w:sz="4" w:space="0"/>
            </w:tcBorders>
            <w:vAlign w:val="center"/>
          </w:tcPr>
          <w:sdt>
            <w:sdtPr>
              <w:tag w:val="_PLD_fb4029fae7cf48a79a41443b882f9109"/>
              <w:id w:val="6273"/>
            </w:sdtPr>
            <w:sdtContent>
              <w:p>
                <w:pPr>
                  <w:autoSpaceDE w:val="0"/>
                  <w:autoSpaceDN w:val="0"/>
                  <w:adjustRightInd w:val="0"/>
                  <w:jc w:val="center"/>
                  <w:rPr>
                    <w:szCs w:val="21"/>
                  </w:rPr>
                </w:pPr>
                <w:r>
                  <w:rPr>
                    <w:rFonts w:hint="eastAsia"/>
                    <w:szCs w:val="21"/>
                  </w:rPr>
                  <w:t>被担保方</w:t>
                </w:r>
              </w:p>
            </w:sdtContent>
          </w:sdt>
        </w:tc>
        <w:tc>
          <w:tcPr>
            <w:tcW w:w="1022" w:type="dxa"/>
            <w:tcBorders>
              <w:top w:val="single" w:color="auto" w:sz="4" w:space="0"/>
              <w:left w:val="single" w:color="auto" w:sz="4" w:space="0"/>
              <w:bottom w:val="single" w:color="auto" w:sz="4" w:space="0"/>
              <w:right w:val="single" w:color="auto" w:sz="4" w:space="0"/>
            </w:tcBorders>
            <w:vAlign w:val="center"/>
          </w:tcPr>
          <w:sdt>
            <w:sdtPr>
              <w:tag w:val="_PLD_f9cf7e1836e34488ac32b6e51fd66dc5"/>
              <w:id w:val="6274"/>
            </w:sdtPr>
            <w:sdtContent>
              <w:p>
                <w:pPr>
                  <w:autoSpaceDE w:val="0"/>
                  <w:autoSpaceDN w:val="0"/>
                  <w:adjustRightInd w:val="0"/>
                  <w:jc w:val="center"/>
                  <w:rPr>
                    <w:szCs w:val="21"/>
                  </w:rPr>
                </w:pPr>
                <w:r>
                  <w:rPr>
                    <w:rFonts w:hint="eastAsia"/>
                    <w:szCs w:val="21"/>
                  </w:rPr>
                  <w:t>担保金额</w:t>
                </w:r>
              </w:p>
            </w:sdtContent>
          </w:sdt>
        </w:tc>
        <w:tc>
          <w:tcPr>
            <w:tcW w:w="919" w:type="dxa"/>
            <w:tcBorders>
              <w:top w:val="single" w:color="auto" w:sz="4" w:space="0"/>
              <w:left w:val="single" w:color="auto" w:sz="4" w:space="0"/>
              <w:bottom w:val="single" w:color="auto" w:sz="4" w:space="0"/>
              <w:right w:val="single" w:color="auto" w:sz="4" w:space="0"/>
            </w:tcBorders>
            <w:vAlign w:val="center"/>
          </w:tcPr>
          <w:sdt>
            <w:sdtPr>
              <w:tag w:val="_PLD_2605894e64924e1c948143543497b30d"/>
              <w:id w:val="6275"/>
            </w:sdtPr>
            <w:sdtContent>
              <w:p>
                <w:pPr>
                  <w:autoSpaceDE w:val="0"/>
                  <w:autoSpaceDN w:val="0"/>
                  <w:adjustRightInd w:val="0"/>
                  <w:jc w:val="center"/>
                  <w:rPr>
                    <w:szCs w:val="21"/>
                  </w:rPr>
                </w:pPr>
                <w:r>
                  <w:rPr>
                    <w:rFonts w:hint="eastAsia"/>
                    <w:szCs w:val="21"/>
                  </w:rPr>
                  <w:t>担保发生日期</w:t>
                </w:r>
                <w:r>
                  <w:rPr>
                    <w:szCs w:val="21"/>
                  </w:rPr>
                  <w:t>(</w:t>
                </w:r>
                <w:r>
                  <w:rPr>
                    <w:rFonts w:hint="eastAsia"/>
                    <w:szCs w:val="21"/>
                  </w:rPr>
                  <w:t>协议签署日</w:t>
                </w:r>
                <w:r>
                  <w:rPr>
                    <w:szCs w:val="21"/>
                  </w:rPr>
                  <w:t>)</w:t>
                </w:r>
              </w:p>
            </w:sdtContent>
          </w:sdt>
        </w:tc>
        <w:tc>
          <w:tcPr>
            <w:tcW w:w="919" w:type="dxa"/>
            <w:tcBorders>
              <w:top w:val="single" w:color="auto" w:sz="4" w:space="0"/>
              <w:left w:val="single" w:color="auto" w:sz="4" w:space="0"/>
              <w:bottom w:val="single" w:color="auto" w:sz="4" w:space="0"/>
              <w:right w:val="single" w:color="auto" w:sz="4" w:space="0"/>
            </w:tcBorders>
            <w:vAlign w:val="center"/>
          </w:tcPr>
          <w:sdt>
            <w:sdtPr>
              <w:tag w:val="_PLD_360b2c68827a4d0ca9316c3726b16cc0"/>
              <w:id w:val="6276"/>
            </w:sdtPr>
            <w:sdtContent>
              <w:p>
                <w:pPr>
                  <w:autoSpaceDE w:val="0"/>
                  <w:autoSpaceDN w:val="0"/>
                  <w:adjustRightInd w:val="0"/>
                  <w:jc w:val="center"/>
                  <w:rPr>
                    <w:szCs w:val="21"/>
                  </w:rPr>
                </w:pPr>
                <w:r>
                  <w:rPr>
                    <w:rFonts w:hint="eastAsia"/>
                    <w:szCs w:val="21"/>
                  </w:rPr>
                  <w:t>担保</w:t>
                </w:r>
              </w:p>
              <w:p>
                <w:pPr>
                  <w:autoSpaceDE w:val="0"/>
                  <w:autoSpaceDN w:val="0"/>
                  <w:adjustRightInd w:val="0"/>
                  <w:jc w:val="center"/>
                  <w:rPr>
                    <w:szCs w:val="21"/>
                  </w:rPr>
                </w:pPr>
                <w:r>
                  <w:rPr>
                    <w:rFonts w:hint="eastAsia"/>
                    <w:szCs w:val="21"/>
                  </w:rPr>
                  <w:t>起始日</w:t>
                </w:r>
              </w:p>
            </w:sdtContent>
          </w:sdt>
        </w:tc>
        <w:tc>
          <w:tcPr>
            <w:tcW w:w="914" w:type="dxa"/>
            <w:gridSpan w:val="2"/>
            <w:tcBorders>
              <w:top w:val="single" w:color="auto" w:sz="4" w:space="0"/>
              <w:left w:val="single" w:color="auto" w:sz="4" w:space="0"/>
              <w:bottom w:val="single" w:color="auto" w:sz="4" w:space="0"/>
              <w:right w:val="single" w:color="auto" w:sz="4" w:space="0"/>
            </w:tcBorders>
            <w:vAlign w:val="center"/>
          </w:tcPr>
          <w:sdt>
            <w:sdtPr>
              <w:tag w:val="_PLD_6e343c1dd4c74b69b0e199f26aa0fc9a"/>
              <w:id w:val="6277"/>
            </w:sdtPr>
            <w:sdtContent>
              <w:p>
                <w:pPr>
                  <w:autoSpaceDE w:val="0"/>
                  <w:autoSpaceDN w:val="0"/>
                  <w:adjustRightInd w:val="0"/>
                  <w:jc w:val="center"/>
                  <w:rPr>
                    <w:szCs w:val="21"/>
                  </w:rPr>
                </w:pPr>
                <w:r>
                  <w:rPr>
                    <w:rFonts w:hint="eastAsia"/>
                    <w:szCs w:val="21"/>
                  </w:rPr>
                  <w:t>担保</w:t>
                </w:r>
              </w:p>
              <w:p>
                <w:pPr>
                  <w:autoSpaceDE w:val="0"/>
                  <w:autoSpaceDN w:val="0"/>
                  <w:adjustRightInd w:val="0"/>
                  <w:jc w:val="center"/>
                  <w:rPr>
                    <w:szCs w:val="21"/>
                  </w:rPr>
                </w:pPr>
                <w:r>
                  <w:rPr>
                    <w:rFonts w:hint="eastAsia"/>
                    <w:szCs w:val="21"/>
                  </w:rPr>
                  <w:t>到期日</w:t>
                </w:r>
              </w:p>
            </w:sdtContent>
          </w:sdt>
        </w:tc>
        <w:tc>
          <w:tcPr>
            <w:tcW w:w="919" w:type="dxa"/>
            <w:tcBorders>
              <w:top w:val="single" w:color="auto" w:sz="4" w:space="0"/>
              <w:left w:val="single" w:color="auto" w:sz="4" w:space="0"/>
              <w:bottom w:val="single" w:color="auto" w:sz="4" w:space="0"/>
              <w:right w:val="single" w:color="auto" w:sz="4" w:space="0"/>
            </w:tcBorders>
            <w:vAlign w:val="center"/>
          </w:tcPr>
          <w:sdt>
            <w:sdtPr>
              <w:tag w:val="_PLD_85aaff970e8f4025937e66f170fc0506"/>
              <w:id w:val="6278"/>
            </w:sdtPr>
            <w:sdtContent>
              <w:p>
                <w:pPr>
                  <w:autoSpaceDE w:val="0"/>
                  <w:autoSpaceDN w:val="0"/>
                  <w:adjustRightInd w:val="0"/>
                  <w:jc w:val="center"/>
                  <w:rPr>
                    <w:szCs w:val="21"/>
                  </w:rPr>
                </w:pPr>
                <w:r>
                  <w:rPr>
                    <w:rFonts w:hint="eastAsia"/>
                    <w:szCs w:val="21"/>
                  </w:rPr>
                  <w:t>担保类型</w:t>
                </w:r>
              </w:p>
            </w:sdtContent>
          </w:sdt>
        </w:tc>
        <w:tc>
          <w:tcPr>
            <w:tcW w:w="919" w:type="dxa"/>
            <w:tcBorders>
              <w:top w:val="single" w:color="auto" w:sz="4" w:space="0"/>
              <w:left w:val="single" w:color="auto" w:sz="4" w:space="0"/>
              <w:bottom w:val="single" w:color="auto" w:sz="4" w:space="0"/>
              <w:right w:val="single" w:color="auto" w:sz="4" w:space="0"/>
            </w:tcBorders>
            <w:vAlign w:val="center"/>
          </w:tcPr>
          <w:sdt>
            <w:sdtPr>
              <w:tag w:val="_PLD_d3fba9513b1742aeaf3cc03df939c3a6"/>
              <w:id w:val="6279"/>
            </w:sdtPr>
            <w:sdtContent>
              <w:p>
                <w:pPr>
                  <w:autoSpaceDE w:val="0"/>
                  <w:autoSpaceDN w:val="0"/>
                  <w:adjustRightInd w:val="0"/>
                  <w:jc w:val="center"/>
                </w:pPr>
                <w:r>
                  <w:rPr>
                    <w:rFonts w:hint="eastAsia"/>
                  </w:rPr>
                  <w:t>担保物（如有）</w:t>
                </w:r>
              </w:p>
            </w:sdtContent>
          </w:sdt>
        </w:tc>
        <w:tc>
          <w:tcPr>
            <w:tcW w:w="919" w:type="dxa"/>
            <w:tcBorders>
              <w:top w:val="single" w:color="auto" w:sz="4" w:space="0"/>
              <w:left w:val="single" w:color="auto" w:sz="4" w:space="0"/>
              <w:bottom w:val="single" w:color="auto" w:sz="4" w:space="0"/>
              <w:right w:val="single" w:color="auto" w:sz="4" w:space="0"/>
            </w:tcBorders>
            <w:vAlign w:val="center"/>
          </w:tcPr>
          <w:sdt>
            <w:sdtPr>
              <w:tag w:val="_PLD_fad806f6aed64969a9f500fc55be69bf"/>
              <w:id w:val="6280"/>
            </w:sdtPr>
            <w:sdtContent>
              <w:p>
                <w:pPr>
                  <w:autoSpaceDE w:val="0"/>
                  <w:autoSpaceDN w:val="0"/>
                  <w:adjustRightInd w:val="0"/>
                  <w:jc w:val="center"/>
                  <w:rPr>
                    <w:szCs w:val="21"/>
                  </w:rPr>
                </w:pPr>
                <w:r>
                  <w:rPr>
                    <w:rFonts w:hint="eastAsia"/>
                    <w:szCs w:val="21"/>
                  </w:rPr>
                  <w:t>担保是否已经履行完毕</w:t>
                </w:r>
              </w:p>
            </w:sdtContent>
          </w:sdt>
        </w:tc>
        <w:tc>
          <w:tcPr>
            <w:tcW w:w="916" w:type="dxa"/>
            <w:tcBorders>
              <w:top w:val="single" w:color="auto" w:sz="4" w:space="0"/>
              <w:left w:val="single" w:color="auto" w:sz="4" w:space="0"/>
              <w:bottom w:val="single" w:color="auto" w:sz="4" w:space="0"/>
              <w:right w:val="single" w:color="auto" w:sz="4" w:space="0"/>
            </w:tcBorders>
            <w:vAlign w:val="center"/>
          </w:tcPr>
          <w:sdt>
            <w:sdtPr>
              <w:tag w:val="_PLD_355a8c82bc68409495d9bf25a926ed62"/>
              <w:id w:val="6281"/>
            </w:sdtPr>
            <w:sdtContent>
              <w:p>
                <w:pPr>
                  <w:autoSpaceDE w:val="0"/>
                  <w:autoSpaceDN w:val="0"/>
                  <w:adjustRightInd w:val="0"/>
                  <w:jc w:val="center"/>
                  <w:rPr>
                    <w:szCs w:val="21"/>
                  </w:rPr>
                </w:pPr>
                <w:r>
                  <w:rPr>
                    <w:rFonts w:hint="eastAsia"/>
                    <w:szCs w:val="21"/>
                  </w:rPr>
                  <w:t>担保是否逾期</w:t>
                </w:r>
              </w:p>
            </w:sdtContent>
          </w:sdt>
        </w:tc>
        <w:tc>
          <w:tcPr>
            <w:tcW w:w="1022" w:type="dxa"/>
            <w:tcBorders>
              <w:top w:val="single" w:color="auto" w:sz="4" w:space="0"/>
              <w:left w:val="single" w:color="auto" w:sz="4" w:space="0"/>
              <w:bottom w:val="single" w:color="auto" w:sz="4" w:space="0"/>
              <w:right w:val="single" w:color="auto" w:sz="4" w:space="0"/>
            </w:tcBorders>
            <w:vAlign w:val="center"/>
          </w:tcPr>
          <w:sdt>
            <w:sdtPr>
              <w:tag w:val="_PLD_e8056176e7db49139234d1df564f5c3a"/>
              <w:id w:val="6282"/>
            </w:sdtPr>
            <w:sdtContent>
              <w:p>
                <w:pPr>
                  <w:autoSpaceDE w:val="0"/>
                  <w:autoSpaceDN w:val="0"/>
                  <w:adjustRightInd w:val="0"/>
                  <w:jc w:val="center"/>
                  <w:rPr>
                    <w:szCs w:val="21"/>
                  </w:rPr>
                </w:pPr>
                <w:r>
                  <w:rPr>
                    <w:rFonts w:hint="eastAsia"/>
                    <w:szCs w:val="21"/>
                  </w:rPr>
                  <w:t>担保逾期金额</w:t>
                </w:r>
              </w:p>
            </w:sdtContent>
          </w:sdt>
        </w:tc>
        <w:tc>
          <w:tcPr>
            <w:tcW w:w="916" w:type="dxa"/>
            <w:tcBorders>
              <w:top w:val="single" w:color="auto" w:sz="4" w:space="0"/>
              <w:left w:val="single" w:color="auto" w:sz="4" w:space="0"/>
              <w:bottom w:val="single" w:color="auto" w:sz="4" w:space="0"/>
              <w:right w:val="single" w:color="auto" w:sz="4" w:space="0"/>
            </w:tcBorders>
            <w:vAlign w:val="center"/>
          </w:tcPr>
          <w:sdt>
            <w:sdtPr>
              <w:tag w:val="_PLD_5c3b131124fe44f69e4b80cf09f7c755"/>
              <w:id w:val="6283"/>
            </w:sdtPr>
            <w:sdtContent>
              <w:p>
                <w:pPr>
                  <w:autoSpaceDE w:val="0"/>
                  <w:autoSpaceDN w:val="0"/>
                  <w:adjustRightInd w:val="0"/>
                  <w:jc w:val="center"/>
                  <w:rPr>
                    <w:szCs w:val="21"/>
                  </w:rPr>
                </w:pPr>
                <w:r>
                  <w:rPr>
                    <w:rFonts w:hint="eastAsia"/>
                    <w:szCs w:val="21"/>
                  </w:rPr>
                  <w:t>反担保情况</w:t>
                </w:r>
              </w:p>
            </w:sdtContent>
          </w:sdt>
        </w:tc>
        <w:tc>
          <w:tcPr>
            <w:tcW w:w="919" w:type="dxa"/>
            <w:tcBorders>
              <w:top w:val="single" w:color="auto" w:sz="4" w:space="0"/>
              <w:left w:val="single" w:color="auto" w:sz="4" w:space="0"/>
              <w:bottom w:val="single" w:color="auto" w:sz="4" w:space="0"/>
              <w:right w:val="single" w:color="auto" w:sz="4" w:space="0"/>
            </w:tcBorders>
            <w:vAlign w:val="center"/>
          </w:tcPr>
          <w:sdt>
            <w:sdtPr>
              <w:tag w:val="_PLD_5a6bd2cf94e8411b88105a2190c5b4fb"/>
              <w:id w:val="6284"/>
            </w:sdtPr>
            <w:sdtContent>
              <w:p>
                <w:pPr>
                  <w:autoSpaceDE w:val="0"/>
                  <w:autoSpaceDN w:val="0"/>
                  <w:adjustRightInd w:val="0"/>
                  <w:jc w:val="center"/>
                  <w:rPr>
                    <w:szCs w:val="21"/>
                  </w:rPr>
                </w:pPr>
                <w:r>
                  <w:rPr>
                    <w:rFonts w:hint="eastAsia"/>
                    <w:szCs w:val="21"/>
                  </w:rPr>
                  <w:t>是否为关联方担保</w:t>
                </w:r>
              </w:p>
            </w:sdtContent>
          </w:sdt>
        </w:tc>
        <w:tc>
          <w:tcPr>
            <w:tcW w:w="897" w:type="dxa"/>
            <w:tcBorders>
              <w:top w:val="single" w:color="auto" w:sz="4" w:space="0"/>
              <w:left w:val="single" w:color="auto" w:sz="4" w:space="0"/>
              <w:bottom w:val="single" w:color="auto" w:sz="4" w:space="0"/>
            </w:tcBorders>
            <w:vAlign w:val="center"/>
          </w:tcPr>
          <w:sdt>
            <w:sdtPr>
              <w:tag w:val="_PLD_70390fe8c4804a7da41d8a62ace59586"/>
              <w:id w:val="6285"/>
            </w:sdtPr>
            <w:sdtContent>
              <w:p>
                <w:pPr>
                  <w:autoSpaceDE w:val="0"/>
                  <w:autoSpaceDN w:val="0"/>
                  <w:adjustRightInd w:val="0"/>
                  <w:jc w:val="center"/>
                  <w:rPr>
                    <w:szCs w:val="21"/>
                  </w:rPr>
                </w:pPr>
                <w:r>
                  <w:rPr>
                    <w:rFonts w:hint="eastAsia"/>
                    <w:szCs w:val="21"/>
                  </w:rPr>
                  <w:t>关联</w:t>
                </w:r>
              </w:p>
              <w:p>
                <w:pPr>
                  <w:autoSpaceDE w:val="0"/>
                  <w:autoSpaceDN w:val="0"/>
                  <w:adjustRightInd w:val="0"/>
                  <w:jc w:val="center"/>
                  <w:rPr>
                    <w:szCs w:val="21"/>
                  </w:rPr>
                </w:pPr>
                <w:r>
                  <w:rPr>
                    <w:rFonts w:hint="eastAsia"/>
                    <w:szCs w:val="21"/>
                  </w:rPr>
                  <w:t>关系</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308" w:hRule="atLeast"/>
        </w:trPr>
        <w:tc>
          <w:tcPr>
            <w:tcW w:w="13933" w:type="dxa"/>
            <w:gridSpan w:val="16"/>
            <w:tcBorders>
              <w:top w:val="single" w:color="auto" w:sz="4" w:space="0"/>
              <w:bottom w:val="single" w:color="auto" w:sz="4" w:space="0"/>
            </w:tcBorders>
            <w:vAlign w:val="center"/>
          </w:tcPr>
          <w:sdt>
            <w:sdtPr>
              <w:tag w:val="_PLD_0209e1df4d9c45da9415f0566332a134"/>
              <w:id w:val="6286"/>
            </w:sdtPr>
            <w:sdtContent>
              <w:p>
                <w:pPr>
                  <w:autoSpaceDE w:val="0"/>
                  <w:autoSpaceDN w:val="0"/>
                  <w:adjustRightInd w:val="0"/>
                  <w:ind w:right="84" w:rightChars="40"/>
                  <w:jc w:val="center"/>
                  <w:rPr>
                    <w:szCs w:val="21"/>
                  </w:rPr>
                </w:pPr>
                <w:r>
                  <w:rPr>
                    <w:rFonts w:hint="eastAsia"/>
                    <w:szCs w:val="21"/>
                  </w:rPr>
                  <w:t>公司及其子公司对子公司的担保情况</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308" w:hRule="atLeast"/>
        </w:trPr>
        <w:tc>
          <w:tcPr>
            <w:tcW w:w="5977" w:type="dxa"/>
            <w:gridSpan w:val="7"/>
            <w:tcBorders>
              <w:top w:val="single" w:color="auto" w:sz="4" w:space="0"/>
              <w:bottom w:val="single" w:color="auto" w:sz="4" w:space="0"/>
              <w:right w:val="single" w:color="auto" w:sz="4" w:space="0"/>
            </w:tcBorders>
            <w:vAlign w:val="center"/>
          </w:tcPr>
          <w:p>
            <w:pPr>
              <w:autoSpaceDE w:val="0"/>
              <w:autoSpaceDN w:val="0"/>
              <w:adjustRightInd w:val="0"/>
              <w:ind w:right="84" w:rightChars="40"/>
              <w:rPr>
                <w:color w:val="FF0000"/>
                <w:szCs w:val="21"/>
              </w:rPr>
            </w:pPr>
            <w:r>
              <w:rPr>
                <w:rFonts w:hint="eastAsia"/>
                <w:szCs w:val="21"/>
              </w:rPr>
              <w:t>报告期内对子公司担保发生额合计</w:t>
            </w:r>
          </w:p>
        </w:tc>
        <w:tc>
          <w:tcPr>
            <w:tcW w:w="7955" w:type="dxa"/>
            <w:gridSpan w:val="9"/>
            <w:tcBorders>
              <w:top w:val="single" w:color="auto" w:sz="4" w:space="0"/>
              <w:left w:val="single" w:color="auto" w:sz="4" w:space="0"/>
              <w:bottom w:val="single" w:color="auto" w:sz="4" w:space="0"/>
            </w:tcBorders>
            <w:vAlign w:val="center"/>
          </w:tcPr>
          <w:p>
            <w:pPr>
              <w:ind w:right="84" w:rightChars="40"/>
              <w:jc w:val="right"/>
              <w:rPr>
                <w:szCs w:val="21"/>
              </w:rPr>
            </w:pPr>
            <w:r>
              <w:rPr>
                <w:rFonts w:hint="eastAsia"/>
                <w:color w:val="auto"/>
              </w:rPr>
              <w:t>3,151.10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308" w:hRule="atLeast"/>
        </w:trPr>
        <w:tc>
          <w:tcPr>
            <w:tcW w:w="5977" w:type="dxa"/>
            <w:gridSpan w:val="7"/>
            <w:tcBorders>
              <w:top w:val="single" w:color="auto" w:sz="4" w:space="0"/>
              <w:bottom w:val="single" w:color="auto" w:sz="4" w:space="0"/>
              <w:right w:val="single" w:color="auto" w:sz="4" w:space="0"/>
            </w:tcBorders>
            <w:vAlign w:val="center"/>
          </w:tcPr>
          <w:p>
            <w:pPr>
              <w:autoSpaceDE w:val="0"/>
              <w:autoSpaceDN w:val="0"/>
              <w:adjustRightInd w:val="0"/>
              <w:ind w:right="84" w:rightChars="40"/>
              <w:rPr>
                <w:color w:val="FF0000"/>
                <w:szCs w:val="21"/>
              </w:rPr>
            </w:pPr>
            <w:r>
              <w:rPr>
                <w:rFonts w:hint="eastAsia"/>
                <w:szCs w:val="21"/>
              </w:rPr>
              <w:t>报告期末对子公司担保余额合计（</w:t>
            </w:r>
            <w:r>
              <w:rPr>
                <w:szCs w:val="21"/>
              </w:rPr>
              <w:t>B</w:t>
            </w:r>
            <w:r>
              <w:rPr>
                <w:rFonts w:hint="eastAsia"/>
                <w:szCs w:val="21"/>
              </w:rPr>
              <w:t>）</w:t>
            </w:r>
          </w:p>
        </w:tc>
        <w:tc>
          <w:tcPr>
            <w:tcW w:w="7955" w:type="dxa"/>
            <w:gridSpan w:val="9"/>
            <w:tcBorders>
              <w:top w:val="single" w:color="auto" w:sz="4" w:space="0"/>
              <w:left w:val="single" w:color="auto" w:sz="4" w:space="0"/>
              <w:bottom w:val="single" w:color="auto" w:sz="4" w:space="0"/>
            </w:tcBorders>
            <w:vAlign w:val="center"/>
          </w:tcPr>
          <w:p>
            <w:pPr>
              <w:autoSpaceDE w:val="0"/>
              <w:autoSpaceDN w:val="0"/>
              <w:adjustRightInd w:val="0"/>
              <w:ind w:right="84" w:rightChars="40"/>
              <w:jc w:val="right"/>
              <w:rPr>
                <w:szCs w:val="21"/>
              </w:rPr>
            </w:pPr>
            <w:r>
              <w:rPr>
                <w:rFonts w:hint="eastAsia"/>
                <w:color w:val="auto"/>
              </w:rPr>
              <w:t>3,151.10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308" w:hRule="atLeast"/>
        </w:trPr>
        <w:tc>
          <w:tcPr>
            <w:tcW w:w="13933" w:type="dxa"/>
            <w:gridSpan w:val="16"/>
            <w:tcBorders>
              <w:top w:val="single" w:color="auto" w:sz="4" w:space="0"/>
              <w:bottom w:val="single" w:color="auto" w:sz="4" w:space="0"/>
            </w:tcBorders>
            <w:vAlign w:val="center"/>
          </w:tcPr>
          <w:sdt>
            <w:sdtPr>
              <w:tag w:val="_PLD_b5d1fceb6fbd4fadb84d698d3eb35967"/>
              <w:id w:val="6287"/>
            </w:sdtPr>
            <w:sdtContent>
              <w:p>
                <w:pPr>
                  <w:autoSpaceDE w:val="0"/>
                  <w:autoSpaceDN w:val="0"/>
                  <w:adjustRightInd w:val="0"/>
                  <w:ind w:right="84" w:rightChars="40"/>
                  <w:jc w:val="center"/>
                  <w:rPr>
                    <w:szCs w:val="21"/>
                  </w:rPr>
                </w:pPr>
                <w:r>
                  <w:rPr>
                    <w:rFonts w:hint="eastAsia"/>
                    <w:szCs w:val="21"/>
                  </w:rPr>
                  <w:t>公司担保总额情况（包括对子公司的担保）</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470" w:hRule="atLeast"/>
        </w:trPr>
        <w:tc>
          <w:tcPr>
            <w:tcW w:w="5977" w:type="dxa"/>
            <w:gridSpan w:val="7"/>
            <w:tcBorders>
              <w:top w:val="single" w:color="auto" w:sz="4" w:space="0"/>
              <w:bottom w:val="single" w:color="auto" w:sz="4" w:space="0"/>
              <w:right w:val="single" w:color="auto" w:sz="4" w:space="0"/>
            </w:tcBorders>
            <w:vAlign w:val="center"/>
          </w:tcPr>
          <w:p>
            <w:pPr>
              <w:autoSpaceDE w:val="0"/>
              <w:autoSpaceDN w:val="0"/>
              <w:adjustRightInd w:val="0"/>
              <w:ind w:right="84" w:rightChars="40"/>
              <w:rPr>
                <w:szCs w:val="21"/>
              </w:rPr>
            </w:pPr>
            <w:r>
              <w:rPr>
                <w:rFonts w:hint="eastAsia"/>
                <w:szCs w:val="21"/>
              </w:rPr>
              <w:t>担保总额（</w:t>
            </w:r>
            <w:r>
              <w:rPr>
                <w:szCs w:val="21"/>
              </w:rPr>
              <w:t>A+B</w:t>
            </w:r>
            <w:r>
              <w:rPr>
                <w:rFonts w:hint="eastAsia"/>
                <w:szCs w:val="21"/>
              </w:rPr>
              <w:t>）</w:t>
            </w:r>
          </w:p>
        </w:tc>
        <w:tc>
          <w:tcPr>
            <w:tcW w:w="7955" w:type="dxa"/>
            <w:gridSpan w:val="9"/>
            <w:tcBorders>
              <w:top w:val="single" w:color="auto" w:sz="4" w:space="0"/>
              <w:left w:val="single" w:color="auto" w:sz="4" w:space="0"/>
              <w:bottom w:val="single" w:color="auto" w:sz="4" w:space="0"/>
            </w:tcBorders>
            <w:vAlign w:val="center"/>
          </w:tcPr>
          <w:p>
            <w:pPr>
              <w:autoSpaceDE w:val="0"/>
              <w:autoSpaceDN w:val="0"/>
              <w:adjustRightInd w:val="0"/>
              <w:ind w:right="84" w:rightChars="40"/>
              <w:jc w:val="right"/>
              <w:rPr>
                <w:szCs w:val="21"/>
              </w:rPr>
            </w:pPr>
            <w:r>
              <w:rPr>
                <w:rFonts w:hint="eastAsia"/>
                <w:color w:val="auto"/>
              </w:rPr>
              <w:t>3,151.10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308" w:hRule="atLeast"/>
        </w:trPr>
        <w:tc>
          <w:tcPr>
            <w:tcW w:w="5977" w:type="dxa"/>
            <w:gridSpan w:val="7"/>
            <w:tcBorders>
              <w:top w:val="single" w:color="auto" w:sz="4" w:space="0"/>
              <w:bottom w:val="single" w:color="auto" w:sz="4" w:space="0"/>
              <w:right w:val="single" w:color="auto" w:sz="4" w:space="0"/>
            </w:tcBorders>
            <w:vAlign w:val="center"/>
          </w:tcPr>
          <w:p>
            <w:pPr>
              <w:autoSpaceDE w:val="0"/>
              <w:autoSpaceDN w:val="0"/>
              <w:adjustRightInd w:val="0"/>
              <w:ind w:right="84" w:rightChars="40"/>
              <w:rPr>
                <w:szCs w:val="21"/>
              </w:rPr>
            </w:pPr>
            <w:r>
              <w:rPr>
                <w:rFonts w:hint="eastAsia"/>
                <w:szCs w:val="21"/>
              </w:rPr>
              <w:t>担保总额占公司净资产的比例</w:t>
            </w:r>
            <w:r>
              <w:rPr>
                <w:szCs w:val="21"/>
              </w:rPr>
              <w:t>(%)</w:t>
            </w:r>
          </w:p>
        </w:tc>
        <w:tc>
          <w:tcPr>
            <w:tcW w:w="7955" w:type="dxa"/>
            <w:gridSpan w:val="9"/>
            <w:tcBorders>
              <w:top w:val="single" w:color="auto" w:sz="4" w:space="0"/>
              <w:left w:val="single" w:color="auto" w:sz="4" w:space="0"/>
              <w:bottom w:val="single" w:color="auto" w:sz="4" w:space="0"/>
            </w:tcBorders>
            <w:vAlign w:val="center"/>
          </w:tcPr>
          <w:p>
            <w:pPr>
              <w:autoSpaceDE w:val="0"/>
              <w:autoSpaceDN w:val="0"/>
              <w:adjustRightInd w:val="0"/>
              <w:ind w:right="84" w:rightChars="40"/>
              <w:jc w:val="right"/>
              <w:rPr>
                <w:szCs w:val="21"/>
              </w:rPr>
            </w:pPr>
            <w:r>
              <w:rPr>
                <w:rFonts w:hint="eastAsia"/>
                <w:color w:val="auto"/>
              </w:rPr>
              <w:t>1.45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0" w:type="dxa"/>
            <w:bottom w:w="0" w:type="dxa"/>
            <w:right w:w="30" w:type="dxa"/>
          </w:tblCellMar>
        </w:tblPrEx>
        <w:trPr>
          <w:trHeight w:val="308" w:hRule="atLeast"/>
        </w:trPr>
        <w:tc>
          <w:tcPr>
            <w:tcW w:w="5977" w:type="dxa"/>
            <w:gridSpan w:val="7"/>
            <w:tcBorders>
              <w:top w:val="single" w:color="auto" w:sz="4" w:space="0"/>
              <w:bottom w:val="single" w:color="auto" w:sz="4" w:space="0"/>
              <w:right w:val="single" w:color="auto" w:sz="4" w:space="0"/>
            </w:tcBorders>
            <w:vAlign w:val="center"/>
          </w:tcPr>
          <w:p>
            <w:pPr>
              <w:autoSpaceDE w:val="0"/>
              <w:autoSpaceDN w:val="0"/>
              <w:adjustRightInd w:val="0"/>
              <w:rPr>
                <w:szCs w:val="21"/>
              </w:rPr>
            </w:pPr>
            <w:r>
              <w:rPr>
                <w:rFonts w:hint="eastAsia"/>
                <w:szCs w:val="21"/>
              </w:rPr>
              <w:t>上述三项担保金额合计（</w:t>
            </w:r>
            <w:r>
              <w:rPr>
                <w:szCs w:val="21"/>
              </w:rPr>
              <w:t>C+D+E</w:t>
            </w:r>
            <w:r>
              <w:rPr>
                <w:rFonts w:hint="eastAsia"/>
                <w:szCs w:val="21"/>
              </w:rPr>
              <w:t>）</w:t>
            </w:r>
          </w:p>
        </w:tc>
        <w:tc>
          <w:tcPr>
            <w:tcW w:w="7955" w:type="dxa"/>
            <w:gridSpan w:val="9"/>
            <w:tcBorders>
              <w:top w:val="single" w:color="auto" w:sz="4" w:space="0"/>
              <w:left w:val="single" w:color="auto" w:sz="4" w:space="0"/>
              <w:bottom w:val="single" w:color="auto" w:sz="4" w:space="0"/>
            </w:tcBorders>
            <w:vAlign w:val="center"/>
          </w:tcPr>
          <w:p>
            <w:pPr>
              <w:autoSpaceDE w:val="0"/>
              <w:autoSpaceDN w:val="0"/>
              <w:adjustRightInd w:val="0"/>
              <w:ind w:right="84" w:rightChars="40"/>
              <w:jc w:val="right"/>
              <w:rPr>
                <w:szCs w:val="21"/>
              </w:rPr>
            </w:pPr>
          </w:p>
        </w:tc>
      </w:tr>
      <w:bookmarkEnd w:id="143"/>
    </w:tbl>
    <w:p/>
    <w:p>
      <w:pPr>
        <w:rPr>
          <w:rFonts w:hint="eastAsia" w:asciiTheme="minorEastAsia" w:hAnsiTheme="minorEastAsia" w:eastAsiaTheme="minorEastAsia"/>
          <w:szCs w:val="21"/>
        </w:rPr>
      </w:pPr>
    </w:p>
    <w:p>
      <w:pPr>
        <w:pStyle w:val="4"/>
        <w:numPr>
          <w:ilvl w:val="0"/>
          <w:numId w:val="38"/>
        </w:numPr>
        <w:rPr>
          <w:szCs w:val="21"/>
        </w:rPr>
      </w:pPr>
      <w:r>
        <w:rPr>
          <w:rFonts w:hint="eastAsia"/>
          <w:szCs w:val="21"/>
        </w:rPr>
        <w:t>委托他人进行现金资产管理的情况</w:t>
      </w:r>
    </w:p>
    <w:p>
      <w:pPr>
        <w:pStyle w:val="5"/>
        <w:numPr>
          <w:ilvl w:val="0"/>
          <w:numId w:val="40"/>
        </w:numPr>
        <w:rPr>
          <w:rFonts w:hint="eastAsia"/>
        </w:rPr>
      </w:pPr>
      <w:r>
        <w:rPr>
          <w:rFonts w:hint="eastAsia"/>
        </w:rPr>
        <w:t>委托理财情况</w:t>
      </w:r>
    </w:p>
    <w:p>
      <w:pPr>
        <w:pStyle w:val="6"/>
        <w:numPr>
          <w:ilvl w:val="0"/>
          <w:numId w:val="41"/>
        </w:numPr>
        <w:ind w:left="357" w:leftChars="0" w:hanging="357"/>
      </w:pPr>
      <w:r>
        <w:t>委托理财总体情况</w:t>
      </w:r>
    </w:p>
    <w:sdt>
      <w:sdtPr>
        <w:rPr>
          <w:rFonts w:hint="eastAsia"/>
        </w:rPr>
        <w:alias w:val="是否适用：委托理财总体情况[双击切换]"/>
        <w:tag w:val="_GBC_939edce711f74cc3bede852019388a3e"/>
        <w:id w:val="6288"/>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rPr>
          <w:bCs/>
        </w:rPr>
      </w:pPr>
      <w:r>
        <w:rPr>
          <w:rFonts w:hint="eastAsia"/>
          <w:bCs/>
        </w:rPr>
        <w:t>其他情况</w:t>
      </w:r>
    </w:p>
    <w:sdt>
      <w:sdtPr>
        <w:rPr>
          <w:rFonts w:hint="eastAsia"/>
        </w:rPr>
        <w:alias w:val="是否适用：委托理财总体其他情况[双击切换]"/>
        <w:tag w:val="_GBC_4fb72032e5bd4642bf5eb2d83d5ca874"/>
        <w:id w:val="6289"/>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ectPr>
          <w:pgSz w:w="16838" w:h="11906" w:orient="landscape"/>
          <w:pgMar w:top="1797" w:right="1525" w:bottom="1276" w:left="1440" w:header="856" w:footer="992" w:gutter="0"/>
          <w:cols w:space="425" w:num="1"/>
          <w:docGrid w:linePitch="312" w:charSpace="0"/>
        </w:sectPr>
      </w:pPr>
    </w:p>
    <w:p>
      <w:pPr>
        <w:pStyle w:val="6"/>
        <w:numPr>
          <w:ilvl w:val="0"/>
          <w:numId w:val="41"/>
        </w:numPr>
        <w:ind w:left="357" w:leftChars="0" w:hanging="357"/>
      </w:pPr>
      <w:r>
        <w:t>单项委托理财情况</w:t>
      </w:r>
    </w:p>
    <w:sdt>
      <w:sdtPr>
        <w:rPr>
          <w:rFonts w:hint="eastAsia"/>
        </w:rPr>
        <w:alias w:val="是否适用：单项委托理财情况[双击切换]"/>
        <w:tag w:val="_GBC_049960b74e79480d8781c2d7d6a997dc"/>
        <w:id w:val="6290"/>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rPr>
          <w:bCs/>
        </w:rPr>
      </w:pPr>
      <w:r>
        <w:rPr>
          <w:rFonts w:hint="eastAsia"/>
          <w:bCs/>
        </w:rPr>
        <w:t>其他情况</w:t>
      </w:r>
    </w:p>
    <w:sdt>
      <w:sdtPr>
        <w:rPr>
          <w:rFonts w:hint="eastAsia"/>
        </w:rPr>
        <w:alias w:val="是否适用：单项委托理财其他情况[双击切换]"/>
        <w:tag w:val="_GBC_627c77e5ab674442a3b768741f653602"/>
        <w:id w:val="6291"/>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6"/>
        <w:numPr>
          <w:ilvl w:val="0"/>
          <w:numId w:val="41"/>
        </w:numPr>
        <w:ind w:left="357" w:leftChars="0" w:hanging="357"/>
      </w:pPr>
      <w:r>
        <w:t>委托理财减值准备</w:t>
      </w:r>
    </w:p>
    <w:sdt>
      <w:sdtPr>
        <w:rPr>
          <w:rFonts w:hint="eastAsia"/>
        </w:rPr>
        <w:alias w:val="是否适用：委托理财减值准备[双击切换]"/>
        <w:tag w:val="_GBC_8db4f6600a6746739610ffaaa34abeac"/>
        <w:id w:val="6292"/>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
        <w:numPr>
          <w:ilvl w:val="0"/>
          <w:numId w:val="40"/>
        </w:numPr>
        <w:rPr>
          <w:rFonts w:hint="eastAsia"/>
        </w:rPr>
      </w:pPr>
      <w:r>
        <w:t>委托贷款情况</w:t>
      </w:r>
    </w:p>
    <w:p>
      <w:pPr>
        <w:pStyle w:val="6"/>
        <w:numPr>
          <w:ilvl w:val="0"/>
          <w:numId w:val="42"/>
        </w:numPr>
        <w:ind w:leftChars="0"/>
        <w:rPr>
          <w:rFonts w:hint="eastAsia" w:ascii="宋体" w:hAnsi="宋体" w:cs="宋体"/>
          <w:kern w:val="0"/>
          <w:szCs w:val="24"/>
        </w:rPr>
      </w:pPr>
      <w:r>
        <w:rPr>
          <w:rFonts w:ascii="宋体" w:hAnsi="宋体" w:cs="宋体"/>
          <w:kern w:val="0"/>
          <w:szCs w:val="24"/>
        </w:rPr>
        <w:t>委托贷款总体情况</w:t>
      </w:r>
    </w:p>
    <w:sdt>
      <w:sdtPr>
        <w:rPr>
          <w:rFonts w:hint="eastAsia"/>
        </w:rPr>
        <w:alias w:val="是否适用：委托贷款总体情况[双击切换]"/>
        <w:tag w:val="_GBC_6f663504a9e74d5c978e23554b4b84e4"/>
        <w:id w:val="6293"/>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rPr>
          <w:bCs/>
        </w:rPr>
      </w:pPr>
      <w:r>
        <w:rPr>
          <w:rFonts w:hint="eastAsia"/>
          <w:bCs/>
        </w:rPr>
        <w:t>其他情况</w:t>
      </w:r>
    </w:p>
    <w:sdt>
      <w:sdtPr>
        <w:rPr>
          <w:rFonts w:hint="eastAsia"/>
        </w:rPr>
        <w:alias w:val="是否适用：委托贷款总体其他情况[双击切换]"/>
        <w:tag w:val="_GBC_a071e3ce40374c6bb1b2f2dc2158413e"/>
        <w:id w:val="6294"/>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6"/>
        <w:numPr>
          <w:ilvl w:val="0"/>
          <w:numId w:val="42"/>
        </w:numPr>
        <w:ind w:leftChars="0"/>
        <w:rPr>
          <w:rFonts w:hint="eastAsia" w:ascii="宋体" w:hAnsi="宋体" w:cs="宋体"/>
          <w:kern w:val="0"/>
          <w:szCs w:val="24"/>
        </w:rPr>
      </w:pPr>
      <w:r>
        <w:rPr>
          <w:rFonts w:ascii="宋体" w:hAnsi="宋体" w:cs="宋体"/>
          <w:kern w:val="0"/>
          <w:szCs w:val="24"/>
        </w:rPr>
        <w:t>单项委托贷款情况</w:t>
      </w:r>
    </w:p>
    <w:sdt>
      <w:sdtPr>
        <w:rPr>
          <w:rFonts w:hint="eastAsia"/>
        </w:rPr>
        <w:alias w:val="是否适用：单项委托贷款情况[双击切换]"/>
        <w:tag w:val="_GBC_30b7c4837f704dff80c05190f23d6f3e"/>
        <w:id w:val="6295"/>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rPr>
          <w:bCs/>
        </w:rPr>
      </w:pPr>
      <w:r>
        <w:rPr>
          <w:rFonts w:hint="eastAsia"/>
          <w:bCs/>
        </w:rPr>
        <w:t>其他情况</w:t>
      </w:r>
    </w:p>
    <w:sdt>
      <w:sdtPr>
        <w:rPr>
          <w:rFonts w:hint="eastAsia"/>
        </w:rPr>
        <w:alias w:val="是否适用：单项委托贷款其他情况[双击切换]"/>
        <w:tag w:val="_GBC_7fbd63dcaf8a4899bcd830951796a261"/>
        <w:id w:val="6296"/>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6"/>
        <w:numPr>
          <w:ilvl w:val="0"/>
          <w:numId w:val="42"/>
        </w:numPr>
        <w:ind w:leftChars="0"/>
        <w:rPr>
          <w:rFonts w:hint="eastAsia" w:ascii="宋体" w:hAnsi="宋体" w:cs="宋体"/>
          <w:kern w:val="0"/>
          <w:szCs w:val="24"/>
        </w:rPr>
      </w:pPr>
      <w:r>
        <w:rPr>
          <w:rFonts w:ascii="宋体" w:hAnsi="宋体" w:cs="宋体"/>
          <w:kern w:val="0"/>
          <w:szCs w:val="24"/>
        </w:rPr>
        <w:t>委托贷款减值</w:t>
      </w:r>
      <w:r>
        <w:rPr>
          <w:rFonts w:hint="eastAsia" w:ascii="宋体" w:hAnsi="宋体" w:cs="宋体"/>
          <w:kern w:val="0"/>
          <w:szCs w:val="24"/>
        </w:rPr>
        <w:t>准备</w:t>
      </w:r>
    </w:p>
    <w:sdt>
      <w:sdtPr>
        <w:rPr>
          <w:rFonts w:hint="eastAsia"/>
        </w:rPr>
        <w:alias w:val="是否适用：委托贷款减值准备[双击切换]"/>
        <w:tag w:val="_GBC_72dc10eff44f4851bd80447a1199a033"/>
        <w:id w:val="6297"/>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
        <w:numPr>
          <w:ilvl w:val="0"/>
          <w:numId w:val="40"/>
        </w:numPr>
        <w:rPr>
          <w:rFonts w:hint="eastAsia"/>
        </w:rPr>
      </w:pPr>
      <w:r>
        <w:t>其他</w:t>
      </w:r>
      <w:r>
        <w:rPr>
          <w:rFonts w:hint="eastAsia"/>
        </w:rPr>
        <w:t>情况</w:t>
      </w:r>
    </w:p>
    <w:sdt>
      <w:sdtPr>
        <w:rPr>
          <w:rFonts w:hint="eastAsia"/>
        </w:rPr>
        <w:alias w:val="是否适用：委托他人进行现金资产管理的其他情况[双击切换]"/>
        <w:tag w:val="_GBC_c408f1ecbaff4ed08e4dcfbbac8e0ccd"/>
        <w:id w:val="6298"/>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4"/>
        <w:numPr>
          <w:ilvl w:val="0"/>
          <w:numId w:val="38"/>
        </w:numPr>
        <w:rPr>
          <w:szCs w:val="21"/>
        </w:rPr>
      </w:pPr>
      <w:r>
        <w:rPr>
          <w:szCs w:val="21"/>
        </w:rPr>
        <w:t>其他重大合同</w:t>
      </w:r>
    </w:p>
    <w:sdt>
      <w:sdtPr>
        <w:rPr>
          <w:rFonts w:hint="eastAsia"/>
          <w:szCs w:val="21"/>
        </w:rPr>
        <w:alias w:val="是否适用：其他重大合同[双击切换]"/>
        <w:tag w:val="_GBC_541dd80939ae4bafb641675f942c4c14"/>
        <w:id w:val="6299"/>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sdt>
      <w:sdtPr>
        <w:tag w:val="_PLD_5455ec6e159c4498a7bdf9dced38370b"/>
        <w:id w:val="6300"/>
      </w:sdtPr>
      <w:sdtContent>
        <w:p>
          <w:pPr>
            <w:pStyle w:val="3"/>
            <w:numPr>
              <w:ilvl w:val="0"/>
              <w:numId w:val="30"/>
            </w:numPr>
          </w:pPr>
          <w:bookmarkStart w:id="144" w:name="_Hlk182989663"/>
          <w:bookmarkStart w:id="145" w:name="_Hlk170206295"/>
          <w:bookmarkStart w:id="146" w:name="_Hlk170215658"/>
          <w:r>
            <w:rPr>
              <w:rFonts w:hint="eastAsia"/>
            </w:rPr>
            <w:t>募集资金使用进展说明</w:t>
          </w:r>
        </w:p>
      </w:sdtContent>
    </w:sdt>
    <w:sdt>
      <w:sdtPr>
        <w:rPr>
          <w:color w:val="000000" w:themeColor="text1"/>
          <w14:textFill>
            <w14:solidFill>
              <w14:schemeClr w14:val="tx1"/>
            </w14:solidFill>
          </w14:textFill>
        </w:rPr>
        <w:alias w:val="是否适用：募集资金使用进展说明[双击切换]"/>
        <w:tag w:val="_GBC_4a9b3f05f0c443b28b4863d3686af0a7"/>
        <w:id w:val="6301"/>
        <w:placeholder>
          <w:docPart w:val="GBC22222222222222222222222222222"/>
        </w:placeholder>
      </w:sdtPr>
      <w:sdtEndPr>
        <w:rPr>
          <w:color w:val="000000" w:themeColor="text1"/>
          <w14:textFill>
            <w14:solidFill>
              <w14:schemeClr w14:val="tx1"/>
            </w14:solidFill>
          </w14:textFill>
        </w:rPr>
      </w:sdtEndPr>
      <w:sdtContent>
        <w:p>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p>
          <w:pPr>
            <w:rPr>
              <w:color w:val="000000" w:themeColor="text1"/>
              <w14:textFill>
                <w14:solidFill>
                  <w14:schemeClr w14:val="tx1"/>
                </w14:solidFill>
              </w14:textFill>
            </w:rPr>
          </w:pPr>
        </w:p>
      </w:sdtContent>
    </w:sdt>
    <w:bookmarkEnd w:id="144"/>
    <w:bookmarkEnd w:id="145"/>
    <w:bookmarkEnd w:id="146"/>
    <w:p>
      <w:pPr>
        <w:pStyle w:val="3"/>
        <w:numPr>
          <w:ilvl w:val="0"/>
          <w:numId w:val="30"/>
        </w:numPr>
      </w:pPr>
      <w:r>
        <w:rPr>
          <w:rFonts w:hint="eastAsia"/>
        </w:rPr>
        <w:t>其</w:t>
      </w:r>
      <w:r>
        <w:t>他</w:t>
      </w:r>
      <w:r>
        <w:rPr>
          <w:rFonts w:hint="eastAsia"/>
        </w:rPr>
        <w:t>对投资者作出价值判断和投资决策有重大影响的重大事项的说明</w:t>
      </w:r>
    </w:p>
    <w:sdt>
      <w:sdtPr>
        <w:rPr>
          <w:szCs w:val="21"/>
        </w:rPr>
        <w:alias w:val="是否适用：其他对投资者作出价值判断和投资决策有重大影响的重大事项的说明[双击切换]"/>
        <w:tag w:val="_GBC_a560f17fa4c7429db7d87dca59f4df08"/>
        <w:id w:val="9698"/>
        <w:placeholder>
          <w:docPart w:val="{9fc1567f-3937-4f6d-bdbb-b74416bb8306}"/>
        </w:placeholder>
      </w:sdtPr>
      <w:sdtEndPr>
        <w:rPr>
          <w:szCs w:val="21"/>
        </w:rPr>
      </w:sdtEndPr>
      <w:sdtContent>
        <w:p>
          <w:pPr>
            <w:outlineLvl w:val="9"/>
          </w:pPr>
          <w:r>
            <w:rPr>
              <w:rFonts w:ascii="宋体" w:hAnsi="宋体"/>
              <w:szCs w:val="21"/>
            </w:rPr>
            <w:fldChar w:fldCharType="begin"/>
          </w:r>
          <w:r>
            <w:rPr>
              <w:rFonts w:hint="eastAsia" w:ascii="宋体" w:hAnsi="宋体"/>
              <w:szCs w:val="21"/>
              <w:lang w:eastAsia="zh-CN"/>
            </w:rPr>
            <w:instrText xml:space="preserve">MACROBUTTON SnrToggleCheckbox □适用 </w:instrText>
          </w:r>
          <w:r>
            <w:rPr>
              <w:rFonts w:ascii="宋体" w:hAnsi="宋体"/>
              <w:szCs w:val="21"/>
            </w:rPr>
            <w:fldChar w:fldCharType="end"/>
          </w:r>
          <w:r>
            <w:rPr>
              <w:rFonts w:ascii="宋体" w:hAnsi="宋体"/>
              <w:szCs w:val="21"/>
            </w:rPr>
            <w:fldChar w:fldCharType="begin"/>
          </w:r>
          <w:r>
            <w:rPr>
              <w:rFonts w:hint="eastAsia" w:ascii="宋体" w:hAnsi="宋体"/>
              <w:szCs w:val="21"/>
              <w:lang w:eastAsia="zh-CN"/>
            </w:rPr>
            <w:instrText xml:space="preserve">MACROBUTTON  SnrToggleCheckbox √不适用 </w:instrText>
          </w:r>
          <w:r>
            <w:rPr>
              <w:rFonts w:ascii="宋体" w:hAnsi="宋体"/>
              <w:szCs w:val="21"/>
            </w:rPr>
            <w:fldChar w:fldCharType="end"/>
          </w:r>
        </w:p>
      </w:sdtContent>
    </w:sdt>
    <w:p>
      <w:pPr>
        <w:rPr>
          <w:szCs w:val="21"/>
        </w:rPr>
      </w:pPr>
    </w:p>
    <w:p>
      <w:pPr>
        <w:rPr>
          <w:szCs w:val="21"/>
        </w:rPr>
        <w:sectPr>
          <w:pgSz w:w="11906" w:h="16838"/>
          <w:pgMar w:top="1525" w:right="1276" w:bottom="1440" w:left="1797" w:header="855" w:footer="992" w:gutter="0"/>
          <w:cols w:space="425" w:num="1"/>
          <w:docGrid w:linePitch="312" w:charSpace="0"/>
        </w:sectPr>
      </w:pPr>
    </w:p>
    <w:bookmarkEnd w:id="116"/>
    <w:p/>
    <w:sdt>
      <w:sdtPr>
        <w:tag w:val="_PLD_dca3ff76416b4a5a900d34828d562c32"/>
        <w:id w:val="6303"/>
      </w:sdtPr>
      <w:sdtContent>
        <w:p>
          <w:pPr>
            <w:pStyle w:val="2"/>
            <w:numPr>
              <w:ilvl w:val="0"/>
              <w:numId w:val="2"/>
            </w:numPr>
            <w:rPr>
              <w:szCs w:val="28"/>
            </w:rPr>
          </w:pPr>
          <w:bookmarkStart w:id="147" w:name="_Toc437440713"/>
          <w:bookmarkStart w:id="148" w:name="_Toc409437607"/>
          <w:bookmarkStart w:id="149" w:name="_Toc191024261"/>
          <w:r>
            <w:rPr>
              <w:rFonts w:hint="eastAsia"/>
              <w:szCs w:val="28"/>
            </w:rPr>
            <w:t>股份变动及股东情况</w:t>
          </w:r>
        </w:p>
      </w:sdtContent>
    </w:sdt>
    <w:bookmarkEnd w:id="147"/>
    <w:bookmarkEnd w:id="148"/>
    <w:bookmarkEnd w:id="149"/>
    <w:p/>
    <w:p>
      <w:pPr>
        <w:pStyle w:val="3"/>
        <w:numPr>
          <w:ilvl w:val="0"/>
          <w:numId w:val="43"/>
        </w:numPr>
      </w:pPr>
      <w:bookmarkStart w:id="150" w:name="_Toc342565989"/>
      <w:bookmarkStart w:id="151" w:name="_Toc342059476"/>
      <w:r>
        <w:t>股</w:t>
      </w:r>
      <w:r>
        <w:rPr>
          <w:rFonts w:hint="eastAsia"/>
        </w:rPr>
        <w:t>本变动情况</w:t>
      </w:r>
      <w:bookmarkEnd w:id="150"/>
      <w:bookmarkEnd w:id="151"/>
    </w:p>
    <w:p>
      <w:pPr>
        <w:pStyle w:val="4"/>
        <w:numPr>
          <w:ilvl w:val="1"/>
          <w:numId w:val="44"/>
        </w:numPr>
        <w:rPr>
          <w:szCs w:val="21"/>
        </w:rPr>
      </w:pPr>
      <w:bookmarkStart w:id="152" w:name="_Toc342059477"/>
      <w:bookmarkStart w:id="153" w:name="_Toc342565990"/>
      <w:r>
        <w:rPr>
          <w:rFonts w:hint="eastAsia"/>
          <w:szCs w:val="21"/>
        </w:rPr>
        <w:t>股份变动情况表</w:t>
      </w:r>
      <w:bookmarkEnd w:id="152"/>
      <w:bookmarkEnd w:id="153"/>
    </w:p>
    <w:p>
      <w:pPr>
        <w:pStyle w:val="5"/>
        <w:numPr>
          <w:ilvl w:val="2"/>
          <w:numId w:val="45"/>
        </w:numPr>
        <w:rPr>
          <w:rFonts w:hint="eastAsia"/>
        </w:rPr>
      </w:pPr>
      <w:r>
        <w:rPr>
          <w:rFonts w:hint="eastAsia"/>
        </w:rPr>
        <w:t>股份变动情况表</w:t>
      </w:r>
    </w:p>
    <w:sdt>
      <w:sdtPr>
        <w:rPr>
          <w:rFonts w:hint="eastAsia"/>
          <w:szCs w:val="21"/>
        </w:rPr>
        <w:alias w:val="选项模块:报告期内，公司股份总数及股本结构未发生变化"/>
        <w:tag w:val="_SEC_a2a63736db144f209cddfd7a97491880"/>
        <w:id w:val="6304"/>
        <w:placeholder>
          <w:docPart w:val="GBC22222222222222222222222222222"/>
        </w:placeholder>
      </w:sdtPr>
      <w:sdtEndPr>
        <w:rPr>
          <w:rFonts w:hint="eastAsia"/>
          <w:szCs w:val="21"/>
        </w:rPr>
      </w:sdtEndPr>
      <w:sdtContent>
        <w:p>
          <w:pPr>
            <w:rPr>
              <w:szCs w:val="21"/>
            </w:rPr>
          </w:pPr>
          <w:r>
            <w:rPr>
              <w:rFonts w:hint="eastAsia"/>
              <w:szCs w:val="21"/>
            </w:rPr>
            <w:t>报告期内，</w:t>
          </w:r>
          <w:sdt>
            <w:sdtPr>
              <w:tag w:val="_PLD_303fb4c9f7d142ca90d4294a294b610e"/>
              <w:id w:val="6305"/>
            </w:sdtPr>
            <w:sdtContent>
              <w:r>
                <w:rPr>
                  <w:rFonts w:hint="eastAsia"/>
                  <w:szCs w:val="21"/>
                </w:rPr>
                <w:t>公司股份总数及股本结构未发生变化。</w:t>
              </w:r>
            </w:sdtContent>
          </w:sdt>
        </w:p>
      </w:sdtContent>
    </w:sdt>
    <w:p>
      <w:pPr>
        <w:rPr>
          <w:szCs w:val="21"/>
        </w:rPr>
      </w:pPr>
    </w:p>
    <w:p>
      <w:pPr>
        <w:pStyle w:val="5"/>
        <w:numPr>
          <w:ilvl w:val="2"/>
          <w:numId w:val="45"/>
        </w:numPr>
        <w:rPr>
          <w:rFonts w:hint="eastAsia"/>
        </w:rPr>
      </w:pPr>
      <w:r>
        <w:t>股份变动情况说明</w:t>
      </w:r>
    </w:p>
    <w:sdt>
      <w:sdtPr>
        <w:rPr>
          <w:rFonts w:hint="eastAsia"/>
          <w:szCs w:val="21"/>
        </w:rPr>
        <w:alias w:val="是否适用：普通股股份变动情况说明[双击切换]"/>
        <w:tag w:val="_GBC_b52413c1d37b456ba72aa8b8840cb9d8"/>
        <w:id w:val="6306"/>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pStyle w:val="5"/>
        <w:numPr>
          <w:ilvl w:val="2"/>
          <w:numId w:val="45"/>
        </w:numPr>
        <w:rPr>
          <w:rFonts w:hint="eastAsia"/>
        </w:rPr>
      </w:pPr>
      <w:r>
        <w:rPr>
          <w:rFonts w:hint="eastAsia"/>
        </w:rPr>
        <w:t>股份变动对最近一年和最近一期</w:t>
      </w:r>
      <w:r>
        <w:t>每股收益、每股净资产等财务指标的影响</w:t>
      </w:r>
    </w:p>
    <w:sdt>
      <w:sdtPr>
        <w:rPr>
          <w:rFonts w:hint="eastAsia"/>
          <w:szCs w:val="21"/>
        </w:rPr>
        <w:alias w:val="是否适用：普通股股份变动对最近一年和最近一期每股收益、每股净资产等财务指标的影响[双击切换]"/>
        <w:tag w:val="_GBC_f6d6c5b3580241f5b23493659505a79e"/>
        <w:id w:val="6307"/>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pStyle w:val="5"/>
        <w:numPr>
          <w:ilvl w:val="2"/>
          <w:numId w:val="45"/>
        </w:numPr>
        <w:rPr>
          <w:rFonts w:hint="eastAsia"/>
        </w:rPr>
      </w:pPr>
      <w:r>
        <w:t>公司认为必要或证券监管机构要求披露的其他内容</w:t>
      </w:r>
    </w:p>
    <w:sdt>
      <w:sdtPr>
        <w:rPr>
          <w:rFonts w:hint="eastAsia"/>
          <w:szCs w:val="21"/>
        </w:rPr>
        <w:alias w:val="是否适用：公司认为必要或证券监管机构要求披露的其他内容[双击切换]"/>
        <w:tag w:val="_GBC_b944a9eaa1de4bf49df496a2cfe2824e"/>
        <w:id w:val="6308"/>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pStyle w:val="4"/>
        <w:numPr>
          <w:ilvl w:val="1"/>
          <w:numId w:val="44"/>
        </w:numPr>
        <w:rPr>
          <w:szCs w:val="21"/>
        </w:rPr>
      </w:pPr>
      <w:r>
        <w:rPr>
          <w:szCs w:val="21"/>
        </w:rPr>
        <w:t>限售股份变动情况</w:t>
      </w:r>
    </w:p>
    <w:sdt>
      <w:sdtPr>
        <w:alias w:val="是否适用：限售股份变动情况表[双击切换]"/>
        <w:tag w:val="_GBC_c7cc39830d364bf68db1ac8777908a9e"/>
        <w:id w:val="6309"/>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pStyle w:val="3"/>
        <w:numPr>
          <w:ilvl w:val="0"/>
          <w:numId w:val="43"/>
        </w:numPr>
      </w:pPr>
      <w:r>
        <w:t>证券发行与上市情况</w:t>
      </w:r>
    </w:p>
    <w:p>
      <w:pPr>
        <w:pStyle w:val="4"/>
        <w:numPr>
          <w:ilvl w:val="0"/>
          <w:numId w:val="46"/>
        </w:numPr>
      </w:pPr>
      <w:bookmarkStart w:id="154" w:name="_Hlk89954403"/>
      <w:r>
        <w:t>截至</w:t>
      </w:r>
      <w:r>
        <w:rPr>
          <w:rFonts w:hint="eastAsia"/>
        </w:rPr>
        <w:t>报告期内</w:t>
      </w:r>
      <w:r>
        <w:t>证券发行情况</w:t>
      </w:r>
    </w:p>
    <w:sdt>
      <w:sdtPr>
        <w:alias w:val="是否适用：截至报告期内证券发行情况[双击切换]"/>
        <w:tag w:val="_GBC_a9b53137ff4442baa307fbc68ebc8cbc"/>
        <w:id w:val="631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rPr>
          <w:szCs w:val="21"/>
        </w:rPr>
      </w:pPr>
      <w:r>
        <w:rPr>
          <w:szCs w:val="21"/>
        </w:rPr>
        <w:t>截至</w:t>
      </w:r>
      <w:r>
        <w:rPr>
          <w:rFonts w:hint="eastAsia"/>
          <w:szCs w:val="21"/>
        </w:rPr>
        <w:t>报告期内</w:t>
      </w:r>
      <w:r>
        <w:rPr>
          <w:szCs w:val="21"/>
        </w:rPr>
        <w:t>证券发行情况的说明（存续期内利率不同的债券，请分别说明）：</w:t>
      </w:r>
    </w:p>
    <w:sdt>
      <w:sdtPr>
        <w:rPr>
          <w:rFonts w:hint="eastAsia"/>
          <w:szCs w:val="21"/>
        </w:rPr>
        <w:alias w:val="是否适用：截至报告期内证券发行情况的说明[双击切换]"/>
        <w:tag w:val="_GBC_41eee01683bd43189dc24a776753e295"/>
        <w:id w:val="6311"/>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bookmarkEnd w:id="154"/>
    <w:p>
      <w:pPr>
        <w:rPr>
          <w:szCs w:val="21"/>
        </w:rPr>
      </w:pPr>
    </w:p>
    <w:p>
      <w:pPr>
        <w:pStyle w:val="4"/>
        <w:numPr>
          <w:ilvl w:val="0"/>
          <w:numId w:val="46"/>
        </w:numPr>
        <w:rPr>
          <w:szCs w:val="21"/>
        </w:rPr>
      </w:pPr>
      <w:r>
        <w:rPr>
          <w:rFonts w:hint="eastAsia"/>
          <w:szCs w:val="21"/>
        </w:rPr>
        <w:t>公司股份总数及股东结构变动及公司资产和负债结构的变动情况</w:t>
      </w:r>
    </w:p>
    <w:sdt>
      <w:sdtPr>
        <w:rPr>
          <w:rFonts w:hint="eastAsia"/>
          <w:szCs w:val="21"/>
        </w:rPr>
        <w:alias w:val="是否适用：公司普通股股份总数及股东结构变动及公司资产和负债结构的变动情况[双击切换]"/>
        <w:tag w:val="_GBC_fb36c697d5b04775a7cf181dc8c2e9c2"/>
        <w:id w:val="6312"/>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4"/>
        <w:numPr>
          <w:ilvl w:val="0"/>
          <w:numId w:val="46"/>
        </w:numPr>
        <w:rPr>
          <w:szCs w:val="21"/>
        </w:rPr>
      </w:pPr>
      <w:r>
        <w:rPr>
          <w:rFonts w:hint="eastAsia"/>
          <w:szCs w:val="21"/>
        </w:rPr>
        <w:t>现存的内部职工股情况</w:t>
      </w:r>
    </w:p>
    <w:sdt>
      <w:sdtPr>
        <w:alias w:val="是否适用：现存的内部职工股情况[双击切换]"/>
        <w:tag w:val="_GBC_fa5e90226e14408b891f1c5a9dbbf2c5"/>
        <w:id w:val="6313"/>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3"/>
        <w:numPr>
          <w:ilvl w:val="0"/>
          <w:numId w:val="43"/>
        </w:numPr>
      </w:pPr>
      <w:r>
        <w:t>股东</w:t>
      </w:r>
      <w:r>
        <w:rPr>
          <w:rFonts w:hint="eastAsia"/>
        </w:rPr>
        <w:t>和实际控制人</w:t>
      </w:r>
      <w:r>
        <w:t>情况</w:t>
      </w:r>
    </w:p>
    <w:p>
      <w:pPr>
        <w:pStyle w:val="4"/>
        <w:numPr>
          <w:ilvl w:val="1"/>
          <w:numId w:val="47"/>
        </w:numPr>
        <w:tabs>
          <w:tab w:val="left" w:pos="851"/>
        </w:tabs>
        <w:ind w:left="426" w:hanging="426"/>
        <w:rPr>
          <w:szCs w:val="21"/>
        </w:rPr>
      </w:pPr>
      <w:r>
        <w:rPr>
          <w:rFonts w:hint="eastAsia"/>
          <w:szCs w:val="21"/>
        </w:rPr>
        <w:t>股东总数</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0"/>
        <w:gridCol w:w="3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0" w:type="dxa"/>
            <w:vAlign w:val="center"/>
          </w:tcPr>
          <w:sdt>
            <w:sdtPr>
              <w:tag w:val="_PLD_34738880649c43ac9597effd663adc10"/>
              <w:id w:val="6314"/>
            </w:sdtPr>
            <w:sdtContent>
              <w:p>
                <w:pPr>
                  <w:widowControl w:val="0"/>
                  <w:jc w:val="both"/>
                  <w:rPr>
                    <w:szCs w:val="21"/>
                  </w:rPr>
                </w:pPr>
                <w:r>
                  <w:rPr>
                    <w:szCs w:val="21"/>
                  </w:rPr>
                  <w:t>截</w:t>
                </w:r>
                <w:r>
                  <w:rPr>
                    <w:rFonts w:hint="eastAsia"/>
                    <w:szCs w:val="21"/>
                  </w:rPr>
                  <w:t>至</w:t>
                </w:r>
                <w:r>
                  <w:rPr>
                    <w:szCs w:val="21"/>
                  </w:rPr>
                  <w:t>报告期末</w:t>
                </w:r>
                <w:r>
                  <w:rPr>
                    <w:rFonts w:hint="eastAsia"/>
                    <w:szCs w:val="21"/>
                  </w:rPr>
                  <w:t>普通股</w:t>
                </w:r>
                <w:r>
                  <w:rPr>
                    <w:szCs w:val="21"/>
                  </w:rPr>
                  <w:t>股东总数(户)</w:t>
                </w:r>
              </w:p>
            </w:sdtContent>
          </w:sdt>
        </w:tc>
        <w:tc>
          <w:tcPr>
            <w:tcW w:w="3098" w:type="dxa"/>
            <w:vAlign w:val="center"/>
          </w:tcPr>
          <w:sdt>
            <w:sdtPr>
              <w:rPr>
                <w:szCs w:val="21"/>
              </w:rPr>
              <w:alias w:val="报告期末股东总数"/>
              <w:tag w:val="_GBC_510087fb1e024fb293d32127713e45f8"/>
              <w:id w:val="6315"/>
            </w:sdtPr>
            <w:sdtEndPr>
              <w:rPr>
                <w:szCs w:val="21"/>
              </w:rPr>
            </w:sdtEndPr>
            <w:sdtContent>
              <w:p>
                <w:pPr>
                  <w:widowControl w:val="0"/>
                  <w:jc w:val="right"/>
                  <w:rPr>
                    <w:szCs w:val="21"/>
                  </w:rPr>
                </w:pPr>
                <w:r>
                  <w:rPr>
                    <w:rFonts w:hint="eastAsia"/>
                    <w:szCs w:val="21"/>
                  </w:rPr>
                  <w:t>40,276</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0" w:type="dxa"/>
            <w:vAlign w:val="center"/>
          </w:tcPr>
          <w:p>
            <w:pPr>
              <w:widowControl w:val="0"/>
              <w:jc w:val="both"/>
              <w:rPr>
                <w:szCs w:val="21"/>
              </w:rPr>
            </w:pPr>
            <w:r>
              <w:rPr>
                <w:rFonts w:hint="eastAsia"/>
                <w:szCs w:val="21"/>
              </w:rPr>
              <w:t>年度报告披露日前上一月末的普通股股东总数</w:t>
            </w:r>
            <w:r>
              <w:rPr>
                <w:szCs w:val="21"/>
              </w:rPr>
              <w:t>(户)</w:t>
            </w:r>
          </w:p>
        </w:tc>
        <w:tc>
          <w:tcPr>
            <w:tcW w:w="3098" w:type="dxa"/>
            <w:vAlign w:val="center"/>
          </w:tcPr>
          <w:p>
            <w:pPr>
              <w:widowControl w:val="0"/>
              <w:jc w:val="right"/>
              <w:rPr>
                <w:szCs w:val="21"/>
              </w:rPr>
            </w:pPr>
            <w:r>
              <w:rPr>
                <w:rFonts w:hint="eastAsia"/>
                <w:color w:val="auto"/>
                <w:szCs w:val="21"/>
              </w:rPr>
              <w:t>38,590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0" w:type="dxa"/>
            <w:vAlign w:val="center"/>
          </w:tcPr>
          <w:p>
            <w:pPr>
              <w:widowControl w:val="0"/>
              <w:jc w:val="both"/>
              <w:rPr>
                <w:szCs w:val="21"/>
              </w:rPr>
            </w:pPr>
            <w:r>
              <w:rPr>
                <w:rFonts w:hint="eastAsia"/>
                <w:szCs w:val="21"/>
              </w:rPr>
              <w:t>截至报告期末表决权恢复的优先股股东总数（户）</w:t>
            </w:r>
          </w:p>
        </w:tc>
        <w:tc>
          <w:tcPr>
            <w:tcW w:w="3098" w:type="dxa"/>
            <w:vAlign w:val="center"/>
          </w:tcPr>
          <w:p>
            <w:pPr>
              <w:widowControl w:val="0"/>
              <w:jc w:val="right"/>
              <w:rPr>
                <w:szCs w:val="21"/>
              </w:rPr>
            </w:pPr>
            <w:r>
              <w:rPr>
                <w:rFonts w:hint="eastAsia"/>
                <w:color w:val="auto"/>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0" w:type="dxa"/>
            <w:vAlign w:val="center"/>
          </w:tcPr>
          <w:p>
            <w:pPr>
              <w:widowControl w:val="0"/>
              <w:jc w:val="both"/>
              <w:rPr>
                <w:szCs w:val="21"/>
              </w:rPr>
            </w:pPr>
            <w:r>
              <w:rPr>
                <w:rFonts w:hint="eastAsia"/>
                <w:szCs w:val="21"/>
              </w:rPr>
              <w:t>年度报告披露日前上一月末表决权恢复的优先股股东总数（户）</w:t>
            </w:r>
          </w:p>
        </w:tc>
        <w:tc>
          <w:tcPr>
            <w:tcW w:w="3098" w:type="dxa"/>
            <w:vAlign w:val="center"/>
          </w:tcPr>
          <w:p>
            <w:pPr>
              <w:widowControl w:val="0"/>
              <w:jc w:val="right"/>
              <w:rPr>
                <w:szCs w:val="21"/>
              </w:rPr>
            </w:pPr>
            <w:r>
              <w:rPr>
                <w:rFonts w:hint="eastAsia"/>
                <w:color w:val="auto"/>
              </w:rPr>
              <w:t>0</w:t>
            </w:r>
          </w:p>
        </w:tc>
      </w:tr>
    </w:tbl>
    <w:p>
      <w:pPr>
        <w:rPr>
          <w:szCs w:val="21"/>
        </w:rPr>
      </w:pPr>
    </w:p>
    <w:sdt>
      <w:sdtPr>
        <w:rPr>
          <w:rFonts w:hint="eastAsia" w:ascii="宋体" w:hAnsi="宋体" w:cs="宋体"/>
          <w:b w:val="0"/>
          <w:bCs w:val="0"/>
          <w:kern w:val="0"/>
          <w:szCs w:val="21"/>
        </w:rPr>
        <w:alias w:val="选项模块:前十名股东持股情况(已完成或不涉及股改)"/>
        <w:tag w:val="_SEC_d9db6c6917154808b6f7ad2acf2aa094"/>
        <w:id w:val="6316"/>
        <w:placeholder>
          <w:docPart w:val="GBC22222222222222222222222222222"/>
        </w:placeholder>
      </w:sdtPr>
      <w:sdtEndPr>
        <w:rPr>
          <w:rFonts w:hint="default" w:ascii="Times New Roman" w:hAnsi="Times New Roman" w:cs="Times New Roman"/>
          <w:b w:val="0"/>
          <w:bCs w:val="0"/>
          <w:kern w:val="0"/>
          <w:szCs w:val="21"/>
        </w:rPr>
      </w:sdtEndPr>
      <w:sdtContent>
        <w:p>
          <w:pPr>
            <w:pStyle w:val="4"/>
            <w:numPr>
              <w:ilvl w:val="1"/>
              <w:numId w:val="47"/>
            </w:numPr>
            <w:ind w:left="426" w:hanging="426"/>
          </w:pPr>
          <w:bookmarkStart w:id="155" w:name="_Toc342565998"/>
          <w:bookmarkStart w:id="156" w:name="_Toc342059485"/>
          <w:r>
            <w:rPr>
              <w:rFonts w:hint="eastAsia"/>
              <w:szCs w:val="21"/>
            </w:rPr>
            <w:t>截至报告期末前十名股东、前十名流通股东（或无限售条件股东）持股情况表</w:t>
          </w:r>
        </w:p>
        <w:bookmarkEnd w:id="155"/>
        <w:bookmarkEnd w:id="156"/>
        <w:p>
          <w:pPr>
            <w:jc w:val="right"/>
            <w:rPr>
              <w:szCs w:val="21"/>
            </w:rPr>
          </w:pPr>
          <w:bookmarkStart w:id="157" w:name="_Hlk27487213"/>
          <w:r>
            <w:rPr>
              <w:bCs/>
              <w:szCs w:val="21"/>
            </w:rPr>
            <w:t>单位：</w:t>
          </w:r>
          <w:sdt>
            <w:sdtPr>
              <w:rPr>
                <w:bCs/>
                <w:szCs w:val="21"/>
              </w:rPr>
              <w:alias w:val="单位：前十名股东持股情况"/>
              <w:tag w:val="_GBC_b59e95c09d914c83b42ae5b68d0d6987"/>
              <w:id w:val="6317"/>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rPr>
                <w:bCs/>
                <w:szCs w:val="21"/>
              </w:rPr>
            </w:sdtEndPr>
            <w:sdtContent>
              <w:r>
                <w:rPr>
                  <w:bCs/>
                  <w:szCs w:val="21"/>
                </w:rPr>
                <w:t>股</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1292"/>
            <w:gridCol w:w="1316"/>
            <w:gridCol w:w="905"/>
            <w:gridCol w:w="957"/>
            <w:gridCol w:w="788"/>
            <w:gridCol w:w="742"/>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31" w:type="dxa"/>
                <w:gridSpan w:val="8"/>
                <w:vAlign w:val="center"/>
              </w:tcPr>
              <w:sdt>
                <w:sdtPr>
                  <w:tag w:val="_PLD_12180439b5ff4b00a01ff1f87b70f1de"/>
                  <w:id w:val="6318"/>
                </w:sdtPr>
                <w:sdtContent>
                  <w:p>
                    <w:pPr>
                      <w:pStyle w:val="15"/>
                      <w:jc w:val="center"/>
                      <w:rPr>
                        <w:rFonts w:hint="eastAsia" w:ascii="宋体" w:hAnsi="宋体"/>
                      </w:rPr>
                    </w:pPr>
                    <w:r>
                      <w:rPr>
                        <w:rFonts w:ascii="宋体" w:hAnsi="宋体"/>
                      </w:rPr>
                      <w:t>前十名股东持股情况</w:t>
                    </w:r>
                    <w:r>
                      <w:rPr>
                        <w:rFonts w:hint="eastAsia" w:ascii="宋体" w:hAnsi="宋体"/>
                      </w:rPr>
                      <w:t>（不含通过转融通出借股份）</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95" w:type="dxa"/>
                <w:vMerge w:val="restart"/>
                <w:vAlign w:val="center"/>
              </w:tcPr>
              <w:sdt>
                <w:sdtPr>
                  <w:tag w:val="_PLD_4e40ad86e5ee4c0cb28f819aa3924fb2"/>
                  <w:id w:val="6319"/>
                </w:sdtPr>
                <w:sdtContent>
                  <w:p>
                    <w:pPr>
                      <w:jc w:val="center"/>
                      <w:rPr>
                        <w:szCs w:val="21"/>
                      </w:rPr>
                    </w:pPr>
                    <w:r>
                      <w:rPr>
                        <w:szCs w:val="21"/>
                      </w:rPr>
                      <w:t>股东名称</w:t>
                    </w:r>
                  </w:p>
                  <w:p>
                    <w:pPr>
                      <w:jc w:val="center"/>
                      <w:rPr>
                        <w:szCs w:val="21"/>
                      </w:rPr>
                    </w:pPr>
                    <w:r>
                      <w:rPr>
                        <w:rFonts w:hint="eastAsia"/>
                        <w:szCs w:val="21"/>
                      </w:rPr>
                      <w:t>（全称）</w:t>
                    </w:r>
                  </w:p>
                </w:sdtContent>
              </w:sdt>
            </w:tc>
            <w:tc>
              <w:tcPr>
                <w:tcW w:w="1292" w:type="dxa"/>
                <w:vMerge w:val="restart"/>
                <w:vAlign w:val="center"/>
              </w:tcPr>
              <w:sdt>
                <w:sdtPr>
                  <w:tag w:val="_PLD_587b672a54ed4481b14f0963f010aefb"/>
                  <w:id w:val="6320"/>
                </w:sdtPr>
                <w:sdtContent>
                  <w:p>
                    <w:pPr>
                      <w:jc w:val="center"/>
                      <w:rPr>
                        <w:szCs w:val="21"/>
                      </w:rPr>
                    </w:pPr>
                    <w:r>
                      <w:rPr>
                        <w:szCs w:val="21"/>
                      </w:rPr>
                      <w:t>报告期内增减</w:t>
                    </w:r>
                  </w:p>
                </w:sdtContent>
              </w:sdt>
            </w:tc>
            <w:tc>
              <w:tcPr>
                <w:tcW w:w="1316" w:type="dxa"/>
                <w:vMerge w:val="restart"/>
                <w:vAlign w:val="center"/>
              </w:tcPr>
              <w:sdt>
                <w:sdtPr>
                  <w:tag w:val="_PLD_580f25e9dfa24c1d91f3845b6a6a42e5"/>
                  <w:id w:val="6321"/>
                </w:sdtPr>
                <w:sdtContent>
                  <w:p>
                    <w:pPr>
                      <w:jc w:val="center"/>
                      <w:rPr>
                        <w:szCs w:val="21"/>
                      </w:rPr>
                    </w:pPr>
                    <w:r>
                      <w:rPr>
                        <w:szCs w:val="21"/>
                      </w:rPr>
                      <w:t>期末持股数量</w:t>
                    </w:r>
                  </w:p>
                </w:sdtContent>
              </w:sdt>
            </w:tc>
            <w:tc>
              <w:tcPr>
                <w:tcW w:w="905" w:type="dxa"/>
                <w:vMerge w:val="restart"/>
                <w:vAlign w:val="center"/>
              </w:tcPr>
              <w:sdt>
                <w:sdtPr>
                  <w:tag w:val="_PLD_e80658c5388c4bb0871489372e62334d"/>
                  <w:id w:val="6322"/>
                </w:sdtPr>
                <w:sdtContent>
                  <w:p>
                    <w:pPr>
                      <w:jc w:val="center"/>
                      <w:rPr>
                        <w:szCs w:val="21"/>
                      </w:rPr>
                    </w:pPr>
                    <w:r>
                      <w:rPr>
                        <w:szCs w:val="21"/>
                      </w:rPr>
                      <w:t>比例(%)</w:t>
                    </w:r>
                  </w:p>
                </w:sdtContent>
              </w:sdt>
            </w:tc>
            <w:tc>
              <w:tcPr>
                <w:tcW w:w="957" w:type="dxa"/>
                <w:vMerge w:val="restart"/>
                <w:vAlign w:val="center"/>
              </w:tcPr>
              <w:sdt>
                <w:sdtPr>
                  <w:tag w:val="_PLD_0ed52eb839784cb0ab83b1692dc8b283"/>
                  <w:id w:val="6323"/>
                </w:sdtPr>
                <w:sdtContent>
                  <w:p>
                    <w:pPr>
                      <w:pStyle w:val="10"/>
                      <w:rPr>
                        <w:rFonts w:hint="eastAsia" w:ascii="宋体" w:hAnsi="宋体"/>
                        <w:bCs/>
                        <w:color w:val="00B050"/>
                      </w:rPr>
                    </w:pPr>
                    <w:r>
                      <w:rPr>
                        <w:rFonts w:ascii="宋体" w:hAnsi="宋体"/>
                        <w:bCs/>
                      </w:rPr>
                      <w:t>持有有限售条件股份数量</w:t>
                    </w:r>
                  </w:p>
                </w:sdtContent>
              </w:sdt>
            </w:tc>
            <w:tc>
              <w:tcPr>
                <w:tcW w:w="1530" w:type="dxa"/>
                <w:gridSpan w:val="2"/>
                <w:vAlign w:val="center"/>
              </w:tcPr>
              <w:sdt>
                <w:sdtPr>
                  <w:tag w:val="_PLD_6d0fce9e7c914a578f4702348340f346"/>
                  <w:id w:val="6324"/>
                </w:sdtPr>
                <w:sdtContent>
                  <w:p>
                    <w:pPr>
                      <w:jc w:val="center"/>
                      <w:rPr>
                        <w:szCs w:val="21"/>
                      </w:rPr>
                    </w:pPr>
                    <w:r>
                      <w:rPr>
                        <w:szCs w:val="21"/>
                      </w:rPr>
                      <w:t>质押</w:t>
                    </w:r>
                    <w:r>
                      <w:rPr>
                        <w:rFonts w:hint="eastAsia"/>
                        <w:szCs w:val="21"/>
                      </w:rPr>
                      <w:t>、标记</w:t>
                    </w:r>
                    <w:r>
                      <w:rPr>
                        <w:szCs w:val="21"/>
                      </w:rPr>
                      <w:t>或冻结情况</w:t>
                    </w:r>
                  </w:p>
                </w:sdtContent>
              </w:sdt>
            </w:tc>
            <w:tc>
              <w:tcPr>
                <w:tcW w:w="1436" w:type="dxa"/>
                <w:vMerge w:val="restart"/>
                <w:vAlign w:val="center"/>
              </w:tcPr>
              <w:sdt>
                <w:sdtPr>
                  <w:tag w:val="_PLD_57b1e0d0ab2d4113aada0c0394d1589d"/>
                  <w:id w:val="6325"/>
                </w:sdtPr>
                <w:sdtContent>
                  <w:p>
                    <w:pPr>
                      <w:jc w:val="center"/>
                      <w:rPr>
                        <w:szCs w:val="21"/>
                      </w:rPr>
                    </w:pPr>
                    <w:r>
                      <w:rPr>
                        <w:szCs w:val="21"/>
                      </w:rPr>
                      <w:t>股东性质</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95" w:type="dxa"/>
                <w:vMerge w:val="continue"/>
                <w:tcBorders>
                  <w:bottom w:val="single" w:color="auto" w:sz="4" w:space="0"/>
                </w:tcBorders>
                <w:vAlign w:val="center"/>
              </w:tcPr>
              <w:p>
                <w:pPr>
                  <w:jc w:val="center"/>
                  <w:rPr>
                    <w:szCs w:val="21"/>
                  </w:rPr>
                </w:pPr>
              </w:p>
            </w:tc>
            <w:tc>
              <w:tcPr>
                <w:tcW w:w="1292" w:type="dxa"/>
                <w:vMerge w:val="continue"/>
                <w:tcBorders>
                  <w:bottom w:val="single" w:color="auto" w:sz="4" w:space="0"/>
                </w:tcBorders>
                <w:vAlign w:val="center"/>
              </w:tcPr>
              <w:p>
                <w:pPr>
                  <w:jc w:val="center"/>
                  <w:rPr>
                    <w:szCs w:val="21"/>
                  </w:rPr>
                </w:pPr>
              </w:p>
            </w:tc>
            <w:tc>
              <w:tcPr>
                <w:tcW w:w="1316" w:type="dxa"/>
                <w:vMerge w:val="continue"/>
                <w:tcBorders>
                  <w:bottom w:val="single" w:color="auto" w:sz="4" w:space="0"/>
                </w:tcBorders>
                <w:vAlign w:val="center"/>
              </w:tcPr>
              <w:p>
                <w:pPr>
                  <w:jc w:val="center"/>
                  <w:rPr>
                    <w:szCs w:val="21"/>
                  </w:rPr>
                </w:pPr>
              </w:p>
            </w:tc>
            <w:tc>
              <w:tcPr>
                <w:tcW w:w="905" w:type="dxa"/>
                <w:vMerge w:val="continue"/>
                <w:tcBorders>
                  <w:bottom w:val="single" w:color="auto" w:sz="4" w:space="0"/>
                </w:tcBorders>
                <w:vAlign w:val="center"/>
              </w:tcPr>
              <w:p>
                <w:pPr>
                  <w:jc w:val="center"/>
                  <w:rPr>
                    <w:szCs w:val="21"/>
                  </w:rPr>
                </w:pPr>
              </w:p>
            </w:tc>
            <w:tc>
              <w:tcPr>
                <w:tcW w:w="957" w:type="dxa"/>
                <w:vMerge w:val="continue"/>
                <w:tcBorders>
                  <w:bottom w:val="single" w:color="auto" w:sz="4" w:space="0"/>
                </w:tcBorders>
                <w:vAlign w:val="center"/>
              </w:tcPr>
              <w:p>
                <w:pPr>
                  <w:jc w:val="center"/>
                  <w:rPr>
                    <w:szCs w:val="21"/>
                  </w:rPr>
                </w:pPr>
              </w:p>
            </w:tc>
            <w:tc>
              <w:tcPr>
                <w:tcW w:w="788" w:type="dxa"/>
                <w:tcBorders>
                  <w:bottom w:val="single" w:color="auto" w:sz="4" w:space="0"/>
                </w:tcBorders>
                <w:vAlign w:val="center"/>
              </w:tcPr>
              <w:sdt>
                <w:sdtPr>
                  <w:tag w:val="_PLD_72b090b1925c46349c7beb3ca6c0032f"/>
                  <w:id w:val="6326"/>
                </w:sdtPr>
                <w:sdtContent>
                  <w:p>
                    <w:pPr>
                      <w:jc w:val="center"/>
                      <w:rPr>
                        <w:szCs w:val="21"/>
                      </w:rPr>
                    </w:pPr>
                    <w:r>
                      <w:rPr>
                        <w:szCs w:val="21"/>
                      </w:rPr>
                      <w:t>股份状态</w:t>
                    </w:r>
                  </w:p>
                </w:sdtContent>
              </w:sdt>
            </w:tc>
            <w:tc>
              <w:tcPr>
                <w:tcW w:w="742" w:type="dxa"/>
                <w:tcBorders>
                  <w:bottom w:val="single" w:color="auto" w:sz="4" w:space="0"/>
                </w:tcBorders>
                <w:vAlign w:val="center"/>
              </w:tcPr>
              <w:sdt>
                <w:sdtPr>
                  <w:tag w:val="_PLD_76e0ca0392384ff795b7613d764041da"/>
                  <w:id w:val="6327"/>
                </w:sdtPr>
                <w:sdtContent>
                  <w:p>
                    <w:pPr>
                      <w:jc w:val="center"/>
                      <w:rPr>
                        <w:szCs w:val="21"/>
                      </w:rPr>
                    </w:pPr>
                    <w:r>
                      <w:rPr>
                        <w:szCs w:val="21"/>
                      </w:rPr>
                      <w:t>数量</w:t>
                    </w:r>
                  </w:p>
                </w:sdtContent>
              </w:sdt>
            </w:tc>
            <w:tc>
              <w:tcPr>
                <w:tcW w:w="1436" w:type="dxa"/>
                <w:vMerge w:val="continue"/>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95" w:type="dxa"/>
                <w:vAlign w:val="center"/>
              </w:tcPr>
              <w:p>
                <w:pPr>
                  <w:jc w:val="center"/>
                  <w:rPr>
                    <w:szCs w:val="21"/>
                  </w:rPr>
                </w:pPr>
                <w:r>
                  <w:rPr>
                    <w:rFonts w:hint="eastAsia"/>
                    <w:szCs w:val="21"/>
                  </w:rPr>
                  <w:t>广西柳州市产业投资发展集团有限公司</w:t>
                </w:r>
              </w:p>
            </w:tc>
            <w:tc>
              <w:tcPr>
                <w:tcW w:w="1292" w:type="dxa"/>
                <w:vAlign w:val="center"/>
              </w:tcPr>
              <w:p>
                <w:pPr>
                  <w:jc w:val="center"/>
                  <w:rPr>
                    <w:szCs w:val="21"/>
                  </w:rPr>
                </w:pPr>
                <w:r>
                  <w:rPr>
                    <w:rFonts w:hint="eastAsia"/>
                    <w:color w:val="auto"/>
                  </w:rPr>
                  <w:t>0</w:t>
                </w:r>
              </w:p>
            </w:tc>
            <w:tc>
              <w:tcPr>
                <w:tcW w:w="1316" w:type="dxa"/>
                <w:vAlign w:val="center"/>
              </w:tcPr>
              <w:p>
                <w:pPr>
                  <w:jc w:val="center"/>
                  <w:rPr>
                    <w:szCs w:val="21"/>
                  </w:rPr>
                </w:pPr>
                <w:r>
                  <w:rPr>
                    <w:rFonts w:hint="eastAsia"/>
                    <w:color w:val="auto"/>
                  </w:rPr>
                  <w:t>183,360,652</w:t>
                </w:r>
              </w:p>
            </w:tc>
            <w:tc>
              <w:tcPr>
                <w:tcW w:w="905" w:type="dxa"/>
                <w:vAlign w:val="center"/>
              </w:tcPr>
              <w:p>
                <w:pPr>
                  <w:jc w:val="center"/>
                  <w:rPr>
                    <w:szCs w:val="21"/>
                  </w:rPr>
                </w:pPr>
                <w:r>
                  <w:rPr>
                    <w:rFonts w:hint="eastAsia"/>
                    <w:color w:val="auto"/>
                  </w:rPr>
                  <w:t>33.34</w:t>
                </w:r>
              </w:p>
            </w:tc>
            <w:tc>
              <w:tcPr>
                <w:tcW w:w="957" w:type="dxa"/>
                <w:vAlign w:val="center"/>
              </w:tcPr>
              <w:p>
                <w:pPr>
                  <w:jc w:val="center"/>
                  <w:rPr>
                    <w:szCs w:val="21"/>
                  </w:rPr>
                </w:pPr>
                <w:r>
                  <w:rPr>
                    <w:rFonts w:hint="eastAsia"/>
                    <w:color w:val="auto"/>
                  </w:rPr>
                  <w:t>0</w:t>
                </w:r>
              </w:p>
            </w:tc>
            <w:tc>
              <w:tcPr>
                <w:tcW w:w="788" w:type="dxa"/>
                <w:vAlign w:val="center"/>
              </w:tcPr>
              <w:sdt>
                <w:sdtPr>
                  <w:rPr>
                    <w:szCs w:val="21"/>
                  </w:rPr>
                  <w:alias w:val="前十名股东持有股份状态"/>
                  <w:tag w:val="_GBC_46a2e2b7fded452b84eec75a5e47296b"/>
                  <w:id w:val="6328"/>
                  <w:comboBox>
                    <w:listItem w:displayText="无" w:value="无"/>
                    <w:listItem w:displayText="质押" w:value="质押"/>
                    <w:listItem w:displayText="标记" w:value="标记"/>
                    <w:listItem w:displayText="冻结" w:value="冻结"/>
                    <w:listItem w:displayText="未知" w:value="未知"/>
                  </w:comboBox>
                </w:sdtPr>
                <w:sdtEndPr>
                  <w:rPr>
                    <w:szCs w:val="21"/>
                  </w:rPr>
                </w:sdtEndPr>
                <w:sdtContent>
                  <w:p>
                    <w:pPr>
                      <w:jc w:val="center"/>
                      <w:rPr>
                        <w:color w:val="FF9900"/>
                        <w:szCs w:val="21"/>
                      </w:rPr>
                    </w:pPr>
                    <w:r>
                      <w:rPr>
                        <w:rFonts w:hint="eastAsia"/>
                        <w:szCs w:val="21"/>
                      </w:rPr>
                      <w:t>无</w:t>
                    </w:r>
                  </w:p>
                </w:sdtContent>
              </w:sdt>
            </w:tc>
            <w:tc>
              <w:tcPr>
                <w:tcW w:w="742" w:type="dxa"/>
                <w:vAlign w:val="center"/>
              </w:tcPr>
              <w:p>
                <w:pPr>
                  <w:jc w:val="center"/>
                  <w:rPr>
                    <w:szCs w:val="21"/>
                  </w:rPr>
                </w:pPr>
                <w:r>
                  <w:rPr>
                    <w:rFonts w:hint="eastAsia"/>
                    <w:color w:val="auto"/>
                  </w:rPr>
                  <w:t>0</w:t>
                </w:r>
              </w:p>
            </w:tc>
            <w:tc>
              <w:tcPr>
                <w:tcW w:w="1436" w:type="dxa"/>
                <w:vAlign w:val="center"/>
              </w:tcPr>
              <w:sdt>
                <w:sdtPr>
                  <w:rPr>
                    <w:szCs w:val="21"/>
                  </w:rPr>
                  <w:alias w:val="前十名股东的股东性质"/>
                  <w:tag w:val="_GBC_84391eccdbd14aa7bbd07a260ff9d747"/>
                  <w:id w:val="6329"/>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rPr>
                    <w:szCs w:val="21"/>
                  </w:rPr>
                </w:sdtEndPr>
                <w:sdtContent>
                  <w:p>
                    <w:pPr>
                      <w:jc w:val="center"/>
                      <w:rPr>
                        <w:color w:val="FF9900"/>
                        <w:szCs w:val="21"/>
                      </w:rPr>
                    </w:pPr>
                    <w:r>
                      <w:rPr>
                        <w:rFonts w:hint="eastAsia"/>
                        <w:szCs w:val="21"/>
                      </w:rPr>
                      <w:t>国有法人</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95" w:type="dxa"/>
                <w:vAlign w:val="center"/>
              </w:tcPr>
              <w:p>
                <w:pPr>
                  <w:jc w:val="center"/>
                  <w:rPr>
                    <w:szCs w:val="21"/>
                  </w:rPr>
                </w:pPr>
                <w:r>
                  <w:rPr>
                    <w:rFonts w:hint="eastAsia"/>
                    <w:szCs w:val="21"/>
                  </w:rPr>
                  <w:t>柳州市经发投资有限责任公司</w:t>
                </w:r>
              </w:p>
            </w:tc>
            <w:tc>
              <w:tcPr>
                <w:tcW w:w="1292" w:type="dxa"/>
                <w:vAlign w:val="center"/>
              </w:tcPr>
              <w:p>
                <w:pPr>
                  <w:jc w:val="center"/>
                  <w:rPr>
                    <w:szCs w:val="21"/>
                  </w:rPr>
                </w:pPr>
                <w:r>
                  <w:rPr>
                    <w:rFonts w:hint="eastAsia"/>
                    <w:color w:val="auto"/>
                  </w:rPr>
                  <w:t>-19,474,700</w:t>
                </w:r>
              </w:p>
            </w:tc>
            <w:tc>
              <w:tcPr>
                <w:tcW w:w="1316" w:type="dxa"/>
                <w:vAlign w:val="center"/>
              </w:tcPr>
              <w:p>
                <w:pPr>
                  <w:jc w:val="center"/>
                  <w:rPr>
                    <w:szCs w:val="21"/>
                  </w:rPr>
                </w:pPr>
                <w:r>
                  <w:rPr>
                    <w:rFonts w:hint="eastAsia"/>
                    <w:color w:val="auto"/>
                  </w:rPr>
                  <w:t>10,959,167</w:t>
                </w:r>
              </w:p>
            </w:tc>
            <w:tc>
              <w:tcPr>
                <w:tcW w:w="905" w:type="dxa"/>
                <w:vAlign w:val="center"/>
              </w:tcPr>
              <w:p>
                <w:pPr>
                  <w:jc w:val="center"/>
                  <w:rPr>
                    <w:szCs w:val="21"/>
                  </w:rPr>
                </w:pPr>
                <w:r>
                  <w:rPr>
                    <w:rFonts w:hint="eastAsia"/>
                    <w:color w:val="auto"/>
                  </w:rPr>
                  <w:t>1.99</w:t>
                </w:r>
              </w:p>
            </w:tc>
            <w:tc>
              <w:tcPr>
                <w:tcW w:w="957" w:type="dxa"/>
                <w:vAlign w:val="center"/>
              </w:tcPr>
              <w:p>
                <w:pPr>
                  <w:jc w:val="center"/>
                  <w:rPr>
                    <w:szCs w:val="21"/>
                  </w:rPr>
                </w:pPr>
                <w:r>
                  <w:rPr>
                    <w:rFonts w:hint="eastAsia"/>
                    <w:color w:val="auto"/>
                  </w:rPr>
                  <w:t>0</w:t>
                </w:r>
              </w:p>
            </w:tc>
            <w:tc>
              <w:tcPr>
                <w:tcW w:w="788" w:type="dxa"/>
                <w:vAlign w:val="center"/>
              </w:tcPr>
              <w:p>
                <w:pPr>
                  <w:jc w:val="center"/>
                  <w:rPr>
                    <w:color w:val="FF9900"/>
                    <w:szCs w:val="21"/>
                  </w:rPr>
                </w:pPr>
                <w:r>
                  <w:rPr>
                    <w:rFonts w:hint="eastAsia"/>
                    <w:szCs w:val="21"/>
                  </w:rPr>
                  <w:t>无</w:t>
                </w:r>
              </w:p>
            </w:tc>
            <w:tc>
              <w:tcPr>
                <w:tcW w:w="742" w:type="dxa"/>
                <w:vAlign w:val="center"/>
              </w:tcPr>
              <w:p>
                <w:pPr>
                  <w:jc w:val="center"/>
                  <w:rPr>
                    <w:szCs w:val="21"/>
                  </w:rPr>
                </w:pPr>
                <w:r>
                  <w:rPr>
                    <w:rFonts w:hint="eastAsia"/>
                    <w:color w:val="auto"/>
                  </w:rPr>
                  <w:t>0</w:t>
                </w:r>
              </w:p>
            </w:tc>
            <w:tc>
              <w:tcPr>
                <w:tcW w:w="1436" w:type="dxa"/>
                <w:vAlign w:val="center"/>
              </w:tcPr>
              <w:p>
                <w:pPr>
                  <w:jc w:val="center"/>
                  <w:rPr>
                    <w:color w:val="FF9900"/>
                    <w:szCs w:val="21"/>
                  </w:rPr>
                </w:pPr>
                <w:r>
                  <w:rPr>
                    <w:rFonts w:hint="eastAsia"/>
                    <w:szCs w:val="21"/>
                  </w:rPr>
                  <w:t>国有法人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95" w:type="dxa"/>
                <w:vAlign w:val="center"/>
              </w:tcPr>
              <w:p>
                <w:pPr>
                  <w:jc w:val="center"/>
                  <w:rPr>
                    <w:szCs w:val="21"/>
                  </w:rPr>
                </w:pPr>
                <w:r>
                  <w:rPr>
                    <w:rFonts w:hint="eastAsia"/>
                    <w:szCs w:val="21"/>
                  </w:rPr>
                  <w:t>广西产投资本运营集团有限公司</w:t>
                </w:r>
              </w:p>
            </w:tc>
            <w:tc>
              <w:tcPr>
                <w:tcW w:w="1292" w:type="dxa"/>
                <w:vAlign w:val="center"/>
              </w:tcPr>
              <w:p>
                <w:pPr>
                  <w:jc w:val="center"/>
                  <w:rPr>
                    <w:szCs w:val="21"/>
                  </w:rPr>
                </w:pPr>
                <w:r>
                  <w:rPr>
                    <w:rFonts w:hint="eastAsia"/>
                    <w:color w:val="auto"/>
                  </w:rPr>
                  <w:t>8,766,133</w:t>
                </w:r>
              </w:p>
            </w:tc>
            <w:tc>
              <w:tcPr>
                <w:tcW w:w="1316" w:type="dxa"/>
                <w:vAlign w:val="center"/>
              </w:tcPr>
              <w:p>
                <w:pPr>
                  <w:jc w:val="center"/>
                  <w:rPr>
                    <w:szCs w:val="21"/>
                  </w:rPr>
                </w:pPr>
                <w:r>
                  <w:rPr>
                    <w:rFonts w:hint="eastAsia"/>
                    <w:color w:val="auto"/>
                  </w:rPr>
                  <w:t>8,766,133</w:t>
                </w:r>
              </w:p>
            </w:tc>
            <w:tc>
              <w:tcPr>
                <w:tcW w:w="905" w:type="dxa"/>
                <w:vAlign w:val="center"/>
              </w:tcPr>
              <w:p>
                <w:pPr>
                  <w:jc w:val="center"/>
                  <w:rPr>
                    <w:szCs w:val="21"/>
                  </w:rPr>
                </w:pPr>
                <w:r>
                  <w:rPr>
                    <w:rFonts w:hint="eastAsia"/>
                    <w:color w:val="auto"/>
                  </w:rPr>
                  <w:t>1.59</w:t>
                </w:r>
              </w:p>
            </w:tc>
            <w:tc>
              <w:tcPr>
                <w:tcW w:w="957" w:type="dxa"/>
                <w:vAlign w:val="center"/>
              </w:tcPr>
              <w:p>
                <w:pPr>
                  <w:jc w:val="center"/>
                  <w:rPr>
                    <w:szCs w:val="21"/>
                  </w:rPr>
                </w:pPr>
                <w:r>
                  <w:rPr>
                    <w:rFonts w:hint="eastAsia"/>
                    <w:color w:val="auto"/>
                  </w:rPr>
                  <w:t>0</w:t>
                </w:r>
              </w:p>
            </w:tc>
            <w:tc>
              <w:tcPr>
                <w:tcW w:w="788" w:type="dxa"/>
                <w:vAlign w:val="center"/>
              </w:tcPr>
              <w:p>
                <w:pPr>
                  <w:jc w:val="center"/>
                  <w:rPr>
                    <w:color w:val="FF9900"/>
                    <w:szCs w:val="21"/>
                  </w:rPr>
                </w:pPr>
                <w:r>
                  <w:rPr>
                    <w:rFonts w:hint="eastAsia"/>
                    <w:szCs w:val="21"/>
                  </w:rPr>
                  <w:t>无</w:t>
                </w:r>
              </w:p>
            </w:tc>
            <w:tc>
              <w:tcPr>
                <w:tcW w:w="742" w:type="dxa"/>
                <w:vAlign w:val="center"/>
              </w:tcPr>
              <w:p>
                <w:pPr>
                  <w:jc w:val="center"/>
                  <w:rPr>
                    <w:szCs w:val="21"/>
                  </w:rPr>
                </w:pPr>
                <w:r>
                  <w:rPr>
                    <w:rFonts w:hint="eastAsia"/>
                    <w:color w:val="auto"/>
                  </w:rPr>
                  <w:t>0</w:t>
                </w:r>
              </w:p>
            </w:tc>
            <w:tc>
              <w:tcPr>
                <w:tcW w:w="1436" w:type="dxa"/>
                <w:vAlign w:val="center"/>
              </w:tcPr>
              <w:p>
                <w:pPr>
                  <w:jc w:val="center"/>
                  <w:rPr>
                    <w:color w:val="FF9900"/>
                    <w:szCs w:val="21"/>
                  </w:rPr>
                </w:pPr>
                <w:r>
                  <w:rPr>
                    <w:rFonts w:hint="eastAsia"/>
                    <w:szCs w:val="21"/>
                  </w:rPr>
                  <w:t>国有法人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95" w:type="dxa"/>
                <w:vAlign w:val="center"/>
              </w:tcPr>
              <w:p>
                <w:pPr>
                  <w:jc w:val="center"/>
                  <w:rPr>
                    <w:szCs w:val="21"/>
                  </w:rPr>
                </w:pPr>
                <w:r>
                  <w:rPr>
                    <w:rFonts w:hint="eastAsia"/>
                    <w:szCs w:val="21"/>
                  </w:rPr>
                  <w:t>高盛国际</w:t>
                </w:r>
              </w:p>
            </w:tc>
            <w:tc>
              <w:tcPr>
                <w:tcW w:w="1292" w:type="dxa"/>
                <w:vAlign w:val="center"/>
              </w:tcPr>
              <w:p>
                <w:pPr>
                  <w:jc w:val="center"/>
                  <w:rPr>
                    <w:szCs w:val="21"/>
                  </w:rPr>
                </w:pPr>
                <w:r>
                  <w:rPr>
                    <w:rFonts w:hint="eastAsia"/>
                    <w:color w:val="auto"/>
                  </w:rPr>
                  <w:t>4,177,854</w:t>
                </w:r>
              </w:p>
            </w:tc>
            <w:tc>
              <w:tcPr>
                <w:tcW w:w="1316" w:type="dxa"/>
                <w:vAlign w:val="center"/>
              </w:tcPr>
              <w:p>
                <w:pPr>
                  <w:jc w:val="center"/>
                  <w:rPr>
                    <w:szCs w:val="21"/>
                  </w:rPr>
                </w:pPr>
                <w:r>
                  <w:rPr>
                    <w:rFonts w:hint="eastAsia"/>
                    <w:color w:val="auto"/>
                  </w:rPr>
                  <w:t>4,177,854</w:t>
                </w:r>
              </w:p>
            </w:tc>
            <w:tc>
              <w:tcPr>
                <w:tcW w:w="905" w:type="dxa"/>
                <w:vAlign w:val="center"/>
              </w:tcPr>
              <w:p>
                <w:pPr>
                  <w:jc w:val="center"/>
                  <w:rPr>
                    <w:szCs w:val="21"/>
                  </w:rPr>
                </w:pPr>
                <w:r>
                  <w:rPr>
                    <w:rFonts w:hint="eastAsia"/>
                    <w:color w:val="auto"/>
                  </w:rPr>
                  <w:t>0.76</w:t>
                </w:r>
              </w:p>
            </w:tc>
            <w:tc>
              <w:tcPr>
                <w:tcW w:w="957" w:type="dxa"/>
                <w:vAlign w:val="center"/>
              </w:tcPr>
              <w:p>
                <w:pPr>
                  <w:jc w:val="center"/>
                  <w:rPr>
                    <w:szCs w:val="21"/>
                  </w:rPr>
                </w:pPr>
                <w:r>
                  <w:rPr>
                    <w:rFonts w:hint="eastAsia"/>
                    <w:color w:val="auto"/>
                  </w:rPr>
                  <w:t>0</w:t>
                </w:r>
              </w:p>
            </w:tc>
            <w:tc>
              <w:tcPr>
                <w:tcW w:w="788" w:type="dxa"/>
                <w:vAlign w:val="center"/>
              </w:tcPr>
              <w:p>
                <w:pPr>
                  <w:jc w:val="center"/>
                  <w:rPr>
                    <w:color w:val="FF9900"/>
                    <w:szCs w:val="21"/>
                  </w:rPr>
                </w:pPr>
                <w:r>
                  <w:rPr>
                    <w:rFonts w:hint="eastAsia"/>
                    <w:szCs w:val="21"/>
                  </w:rPr>
                  <w:t>无</w:t>
                </w:r>
              </w:p>
            </w:tc>
            <w:tc>
              <w:tcPr>
                <w:tcW w:w="742" w:type="dxa"/>
                <w:vAlign w:val="center"/>
              </w:tcPr>
              <w:p>
                <w:pPr>
                  <w:jc w:val="center"/>
                  <w:rPr>
                    <w:szCs w:val="21"/>
                  </w:rPr>
                </w:pPr>
                <w:r>
                  <w:rPr>
                    <w:rFonts w:hint="eastAsia"/>
                    <w:color w:val="auto"/>
                  </w:rPr>
                  <w:t>0</w:t>
                </w:r>
              </w:p>
            </w:tc>
            <w:tc>
              <w:tcPr>
                <w:tcW w:w="1436" w:type="dxa"/>
                <w:vAlign w:val="center"/>
              </w:tcPr>
              <w:p>
                <w:pPr>
                  <w:jc w:val="center"/>
                  <w:rPr>
                    <w:color w:val="FF9900"/>
                    <w:szCs w:val="21"/>
                  </w:rPr>
                </w:pPr>
                <w:r>
                  <w:rPr>
                    <w:rFonts w:hint="eastAsia"/>
                    <w:szCs w:val="21"/>
                  </w:rPr>
                  <w:t>境外法人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95" w:type="dxa"/>
                <w:vAlign w:val="center"/>
              </w:tcPr>
              <w:p>
                <w:pPr>
                  <w:jc w:val="center"/>
                  <w:rPr>
                    <w:szCs w:val="21"/>
                  </w:rPr>
                </w:pPr>
                <w:r>
                  <w:rPr>
                    <w:rFonts w:hint="eastAsia"/>
                    <w:szCs w:val="21"/>
                  </w:rPr>
                  <w:t>徐如</w:t>
                </w:r>
              </w:p>
            </w:tc>
            <w:tc>
              <w:tcPr>
                <w:tcW w:w="1292" w:type="dxa"/>
                <w:vAlign w:val="center"/>
              </w:tcPr>
              <w:p>
                <w:pPr>
                  <w:jc w:val="center"/>
                  <w:rPr>
                    <w:szCs w:val="21"/>
                  </w:rPr>
                </w:pPr>
                <w:r>
                  <w:rPr>
                    <w:rFonts w:hint="eastAsia"/>
                    <w:color w:val="auto"/>
                  </w:rPr>
                  <w:t>1,894,500</w:t>
                </w:r>
              </w:p>
            </w:tc>
            <w:tc>
              <w:tcPr>
                <w:tcW w:w="1316" w:type="dxa"/>
                <w:vAlign w:val="center"/>
              </w:tcPr>
              <w:p>
                <w:pPr>
                  <w:jc w:val="center"/>
                  <w:rPr>
                    <w:szCs w:val="21"/>
                  </w:rPr>
                </w:pPr>
                <w:r>
                  <w:rPr>
                    <w:rFonts w:hint="eastAsia"/>
                    <w:color w:val="auto"/>
                  </w:rPr>
                  <w:t>3,301,200</w:t>
                </w:r>
              </w:p>
            </w:tc>
            <w:tc>
              <w:tcPr>
                <w:tcW w:w="905" w:type="dxa"/>
                <w:vAlign w:val="center"/>
              </w:tcPr>
              <w:p>
                <w:pPr>
                  <w:jc w:val="center"/>
                  <w:rPr>
                    <w:szCs w:val="21"/>
                  </w:rPr>
                </w:pPr>
                <w:r>
                  <w:rPr>
                    <w:rFonts w:hint="eastAsia"/>
                    <w:color w:val="auto"/>
                  </w:rPr>
                  <w:t>0.60</w:t>
                </w:r>
              </w:p>
            </w:tc>
            <w:tc>
              <w:tcPr>
                <w:tcW w:w="957" w:type="dxa"/>
                <w:vAlign w:val="center"/>
              </w:tcPr>
              <w:p>
                <w:pPr>
                  <w:jc w:val="center"/>
                  <w:rPr>
                    <w:szCs w:val="21"/>
                  </w:rPr>
                </w:pPr>
                <w:r>
                  <w:rPr>
                    <w:rFonts w:hint="eastAsia"/>
                    <w:color w:val="auto"/>
                  </w:rPr>
                  <w:t>0</w:t>
                </w:r>
              </w:p>
            </w:tc>
            <w:tc>
              <w:tcPr>
                <w:tcW w:w="788" w:type="dxa"/>
                <w:vAlign w:val="center"/>
              </w:tcPr>
              <w:p>
                <w:pPr>
                  <w:jc w:val="center"/>
                  <w:rPr>
                    <w:color w:val="FF9900"/>
                    <w:szCs w:val="21"/>
                  </w:rPr>
                </w:pPr>
                <w:r>
                  <w:rPr>
                    <w:rFonts w:hint="eastAsia"/>
                    <w:szCs w:val="21"/>
                  </w:rPr>
                  <w:t>无</w:t>
                </w:r>
              </w:p>
            </w:tc>
            <w:tc>
              <w:tcPr>
                <w:tcW w:w="742" w:type="dxa"/>
                <w:vAlign w:val="center"/>
              </w:tcPr>
              <w:p>
                <w:pPr>
                  <w:jc w:val="center"/>
                  <w:rPr>
                    <w:szCs w:val="21"/>
                  </w:rPr>
                </w:pPr>
                <w:r>
                  <w:rPr>
                    <w:rFonts w:hint="eastAsia"/>
                    <w:color w:val="auto"/>
                  </w:rPr>
                  <w:t>0</w:t>
                </w:r>
              </w:p>
            </w:tc>
            <w:tc>
              <w:tcPr>
                <w:tcW w:w="1436" w:type="dxa"/>
                <w:vAlign w:val="center"/>
              </w:tcPr>
              <w:p>
                <w:pPr>
                  <w:jc w:val="center"/>
                  <w:rPr>
                    <w:color w:val="FF9900"/>
                    <w:szCs w:val="21"/>
                  </w:rPr>
                </w:pPr>
                <w:r>
                  <w:rPr>
                    <w:rFonts w:hint="eastAsia"/>
                    <w:szCs w:val="21"/>
                  </w:rPr>
                  <w:t>境内自然人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95" w:type="dxa"/>
                <w:vAlign w:val="center"/>
              </w:tcPr>
              <w:p>
                <w:pPr>
                  <w:jc w:val="center"/>
                  <w:rPr>
                    <w:szCs w:val="21"/>
                  </w:rPr>
                </w:pPr>
                <w:r>
                  <w:rPr>
                    <w:rFonts w:hint="eastAsia"/>
                    <w:szCs w:val="21"/>
                  </w:rPr>
                  <w:t>冯文军</w:t>
                </w:r>
              </w:p>
            </w:tc>
            <w:tc>
              <w:tcPr>
                <w:tcW w:w="1292" w:type="dxa"/>
                <w:vAlign w:val="center"/>
              </w:tcPr>
              <w:p>
                <w:pPr>
                  <w:jc w:val="center"/>
                  <w:rPr>
                    <w:szCs w:val="21"/>
                  </w:rPr>
                </w:pPr>
                <w:r>
                  <w:rPr>
                    <w:rFonts w:hint="eastAsia"/>
                    <w:color w:val="auto"/>
                  </w:rPr>
                  <w:t>3,017,100</w:t>
                </w:r>
              </w:p>
            </w:tc>
            <w:tc>
              <w:tcPr>
                <w:tcW w:w="1316" w:type="dxa"/>
                <w:vAlign w:val="center"/>
              </w:tcPr>
              <w:p>
                <w:pPr>
                  <w:jc w:val="center"/>
                  <w:rPr>
                    <w:szCs w:val="21"/>
                  </w:rPr>
                </w:pPr>
                <w:r>
                  <w:rPr>
                    <w:rFonts w:hint="eastAsia"/>
                    <w:color w:val="auto"/>
                  </w:rPr>
                  <w:t>3,017,100</w:t>
                </w:r>
              </w:p>
            </w:tc>
            <w:tc>
              <w:tcPr>
                <w:tcW w:w="905" w:type="dxa"/>
                <w:vAlign w:val="center"/>
              </w:tcPr>
              <w:p>
                <w:pPr>
                  <w:jc w:val="center"/>
                  <w:rPr>
                    <w:szCs w:val="21"/>
                  </w:rPr>
                </w:pPr>
                <w:r>
                  <w:rPr>
                    <w:rFonts w:hint="eastAsia"/>
                    <w:color w:val="auto"/>
                  </w:rPr>
                  <w:t>0.55</w:t>
                </w:r>
              </w:p>
            </w:tc>
            <w:tc>
              <w:tcPr>
                <w:tcW w:w="957" w:type="dxa"/>
                <w:vAlign w:val="center"/>
              </w:tcPr>
              <w:p>
                <w:pPr>
                  <w:jc w:val="center"/>
                  <w:rPr>
                    <w:szCs w:val="21"/>
                  </w:rPr>
                </w:pPr>
                <w:r>
                  <w:rPr>
                    <w:rFonts w:hint="eastAsia"/>
                    <w:color w:val="auto"/>
                  </w:rPr>
                  <w:t>0</w:t>
                </w:r>
              </w:p>
            </w:tc>
            <w:tc>
              <w:tcPr>
                <w:tcW w:w="788" w:type="dxa"/>
                <w:vAlign w:val="center"/>
              </w:tcPr>
              <w:p>
                <w:pPr>
                  <w:jc w:val="center"/>
                  <w:rPr>
                    <w:color w:val="FF9900"/>
                    <w:szCs w:val="21"/>
                  </w:rPr>
                </w:pPr>
                <w:r>
                  <w:rPr>
                    <w:rFonts w:hint="eastAsia"/>
                    <w:szCs w:val="21"/>
                  </w:rPr>
                  <w:t>无</w:t>
                </w:r>
              </w:p>
            </w:tc>
            <w:tc>
              <w:tcPr>
                <w:tcW w:w="742" w:type="dxa"/>
                <w:vAlign w:val="center"/>
              </w:tcPr>
              <w:p>
                <w:pPr>
                  <w:jc w:val="center"/>
                  <w:rPr>
                    <w:szCs w:val="21"/>
                  </w:rPr>
                </w:pPr>
                <w:r>
                  <w:rPr>
                    <w:rFonts w:hint="eastAsia"/>
                    <w:color w:val="auto"/>
                  </w:rPr>
                  <w:t>0</w:t>
                </w:r>
              </w:p>
            </w:tc>
            <w:tc>
              <w:tcPr>
                <w:tcW w:w="1436" w:type="dxa"/>
                <w:vAlign w:val="center"/>
              </w:tcPr>
              <w:p>
                <w:pPr>
                  <w:jc w:val="center"/>
                  <w:rPr>
                    <w:color w:val="FF9900"/>
                    <w:szCs w:val="21"/>
                  </w:rPr>
                </w:pPr>
                <w:r>
                  <w:rPr>
                    <w:rFonts w:hint="eastAsia"/>
                    <w:szCs w:val="21"/>
                  </w:rPr>
                  <w:t>境内自然人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95" w:type="dxa"/>
                <w:vAlign w:val="center"/>
              </w:tcPr>
              <w:p>
                <w:pPr>
                  <w:jc w:val="center"/>
                  <w:rPr>
                    <w:szCs w:val="21"/>
                  </w:rPr>
                </w:pPr>
                <w:r>
                  <w:rPr>
                    <w:rFonts w:hint="eastAsia"/>
                    <w:szCs w:val="21"/>
                  </w:rPr>
                  <w:t>柳州市元宏投资发展有限公司</w:t>
                </w:r>
              </w:p>
            </w:tc>
            <w:tc>
              <w:tcPr>
                <w:tcW w:w="1292" w:type="dxa"/>
                <w:vAlign w:val="center"/>
              </w:tcPr>
              <w:p>
                <w:pPr>
                  <w:jc w:val="center"/>
                  <w:rPr>
                    <w:szCs w:val="21"/>
                  </w:rPr>
                </w:pPr>
                <w:r>
                  <w:rPr>
                    <w:rFonts w:hint="eastAsia"/>
                    <w:color w:val="auto"/>
                  </w:rPr>
                  <w:t>0</w:t>
                </w:r>
              </w:p>
            </w:tc>
            <w:tc>
              <w:tcPr>
                <w:tcW w:w="1316" w:type="dxa"/>
                <w:vAlign w:val="center"/>
              </w:tcPr>
              <w:p>
                <w:pPr>
                  <w:jc w:val="center"/>
                  <w:rPr>
                    <w:szCs w:val="21"/>
                  </w:rPr>
                </w:pPr>
                <w:r>
                  <w:rPr>
                    <w:rFonts w:hint="eastAsia"/>
                    <w:color w:val="auto"/>
                  </w:rPr>
                  <w:t>3,013,937</w:t>
                </w:r>
              </w:p>
            </w:tc>
            <w:tc>
              <w:tcPr>
                <w:tcW w:w="905" w:type="dxa"/>
                <w:vAlign w:val="center"/>
              </w:tcPr>
              <w:p>
                <w:pPr>
                  <w:jc w:val="center"/>
                  <w:rPr>
                    <w:szCs w:val="21"/>
                  </w:rPr>
                </w:pPr>
                <w:r>
                  <w:rPr>
                    <w:rFonts w:hint="eastAsia"/>
                    <w:color w:val="auto"/>
                  </w:rPr>
                  <w:t>0.55</w:t>
                </w:r>
              </w:p>
            </w:tc>
            <w:tc>
              <w:tcPr>
                <w:tcW w:w="957" w:type="dxa"/>
                <w:vAlign w:val="center"/>
              </w:tcPr>
              <w:p>
                <w:pPr>
                  <w:jc w:val="center"/>
                  <w:rPr>
                    <w:szCs w:val="21"/>
                  </w:rPr>
                </w:pPr>
                <w:r>
                  <w:rPr>
                    <w:rFonts w:hint="eastAsia"/>
                    <w:color w:val="auto"/>
                  </w:rPr>
                  <w:t>0</w:t>
                </w:r>
              </w:p>
            </w:tc>
            <w:tc>
              <w:tcPr>
                <w:tcW w:w="788" w:type="dxa"/>
                <w:vAlign w:val="center"/>
              </w:tcPr>
              <w:p>
                <w:pPr>
                  <w:jc w:val="center"/>
                  <w:rPr>
                    <w:color w:val="FF9900"/>
                    <w:szCs w:val="21"/>
                  </w:rPr>
                </w:pPr>
                <w:r>
                  <w:rPr>
                    <w:rFonts w:hint="eastAsia"/>
                    <w:szCs w:val="21"/>
                  </w:rPr>
                  <w:t>无</w:t>
                </w:r>
              </w:p>
            </w:tc>
            <w:tc>
              <w:tcPr>
                <w:tcW w:w="742" w:type="dxa"/>
                <w:vAlign w:val="center"/>
              </w:tcPr>
              <w:p>
                <w:pPr>
                  <w:jc w:val="center"/>
                  <w:rPr>
                    <w:szCs w:val="21"/>
                  </w:rPr>
                </w:pPr>
                <w:r>
                  <w:rPr>
                    <w:rFonts w:hint="eastAsia"/>
                    <w:color w:val="auto"/>
                  </w:rPr>
                  <w:t>0</w:t>
                </w:r>
              </w:p>
            </w:tc>
            <w:tc>
              <w:tcPr>
                <w:tcW w:w="1436" w:type="dxa"/>
                <w:vAlign w:val="center"/>
              </w:tcPr>
              <w:p>
                <w:pPr>
                  <w:jc w:val="center"/>
                  <w:rPr>
                    <w:color w:val="FF9900"/>
                    <w:szCs w:val="21"/>
                  </w:rPr>
                </w:pPr>
                <w:r>
                  <w:rPr>
                    <w:rFonts w:hint="eastAsia"/>
                    <w:szCs w:val="21"/>
                  </w:rPr>
                  <w:t>国有法人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95" w:type="dxa"/>
                <w:vAlign w:val="center"/>
              </w:tcPr>
              <w:p>
                <w:pPr>
                  <w:jc w:val="center"/>
                  <w:rPr>
                    <w:szCs w:val="21"/>
                  </w:rPr>
                </w:pPr>
                <w:r>
                  <w:rPr>
                    <w:rFonts w:hint="eastAsia"/>
                    <w:szCs w:val="21"/>
                  </w:rPr>
                  <w:t>阮云</w:t>
                </w:r>
              </w:p>
            </w:tc>
            <w:tc>
              <w:tcPr>
                <w:tcW w:w="1292" w:type="dxa"/>
                <w:vAlign w:val="center"/>
              </w:tcPr>
              <w:p>
                <w:pPr>
                  <w:jc w:val="center"/>
                  <w:rPr>
                    <w:szCs w:val="21"/>
                  </w:rPr>
                </w:pPr>
                <w:r>
                  <w:rPr>
                    <w:rFonts w:hint="eastAsia"/>
                    <w:color w:val="auto"/>
                  </w:rPr>
                  <w:t>459,800</w:t>
                </w:r>
              </w:p>
            </w:tc>
            <w:tc>
              <w:tcPr>
                <w:tcW w:w="1316" w:type="dxa"/>
                <w:vAlign w:val="center"/>
              </w:tcPr>
              <w:p>
                <w:pPr>
                  <w:jc w:val="center"/>
                  <w:rPr>
                    <w:szCs w:val="21"/>
                  </w:rPr>
                </w:pPr>
                <w:r>
                  <w:rPr>
                    <w:rFonts w:hint="eastAsia"/>
                    <w:color w:val="auto"/>
                  </w:rPr>
                  <w:t>2,425,700</w:t>
                </w:r>
              </w:p>
            </w:tc>
            <w:tc>
              <w:tcPr>
                <w:tcW w:w="905" w:type="dxa"/>
                <w:vAlign w:val="center"/>
              </w:tcPr>
              <w:p>
                <w:pPr>
                  <w:jc w:val="center"/>
                  <w:rPr>
                    <w:szCs w:val="21"/>
                  </w:rPr>
                </w:pPr>
                <w:r>
                  <w:rPr>
                    <w:rFonts w:hint="eastAsia"/>
                    <w:color w:val="auto"/>
                  </w:rPr>
                  <w:t>0.44</w:t>
                </w:r>
              </w:p>
            </w:tc>
            <w:tc>
              <w:tcPr>
                <w:tcW w:w="957" w:type="dxa"/>
                <w:vAlign w:val="center"/>
              </w:tcPr>
              <w:p>
                <w:pPr>
                  <w:jc w:val="center"/>
                  <w:rPr>
                    <w:szCs w:val="21"/>
                  </w:rPr>
                </w:pPr>
                <w:r>
                  <w:rPr>
                    <w:rFonts w:hint="eastAsia"/>
                    <w:color w:val="auto"/>
                  </w:rPr>
                  <w:t>0</w:t>
                </w:r>
              </w:p>
            </w:tc>
            <w:tc>
              <w:tcPr>
                <w:tcW w:w="788" w:type="dxa"/>
                <w:vAlign w:val="center"/>
              </w:tcPr>
              <w:p>
                <w:pPr>
                  <w:jc w:val="center"/>
                  <w:rPr>
                    <w:color w:val="FF9900"/>
                    <w:szCs w:val="21"/>
                  </w:rPr>
                </w:pPr>
                <w:r>
                  <w:rPr>
                    <w:rFonts w:hint="eastAsia"/>
                    <w:szCs w:val="21"/>
                  </w:rPr>
                  <w:t>无</w:t>
                </w:r>
              </w:p>
            </w:tc>
            <w:tc>
              <w:tcPr>
                <w:tcW w:w="742" w:type="dxa"/>
                <w:vAlign w:val="center"/>
              </w:tcPr>
              <w:p>
                <w:pPr>
                  <w:jc w:val="center"/>
                  <w:rPr>
                    <w:szCs w:val="21"/>
                  </w:rPr>
                </w:pPr>
                <w:r>
                  <w:rPr>
                    <w:rFonts w:hint="eastAsia"/>
                    <w:color w:val="auto"/>
                  </w:rPr>
                  <w:t>0</w:t>
                </w:r>
              </w:p>
            </w:tc>
            <w:tc>
              <w:tcPr>
                <w:tcW w:w="1436" w:type="dxa"/>
                <w:vAlign w:val="center"/>
              </w:tcPr>
              <w:p>
                <w:pPr>
                  <w:jc w:val="center"/>
                  <w:rPr>
                    <w:color w:val="FF9900"/>
                    <w:szCs w:val="21"/>
                  </w:rPr>
                </w:pPr>
                <w:r>
                  <w:rPr>
                    <w:rFonts w:hint="eastAsia"/>
                    <w:szCs w:val="21"/>
                  </w:rPr>
                  <w:t>境内自然人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95" w:type="dxa"/>
                <w:vAlign w:val="center"/>
              </w:tcPr>
              <w:p>
                <w:pPr>
                  <w:jc w:val="center"/>
                  <w:rPr>
                    <w:szCs w:val="21"/>
                  </w:rPr>
                </w:pPr>
                <w:r>
                  <w:rPr>
                    <w:rFonts w:hint="eastAsia"/>
                    <w:szCs w:val="21"/>
                  </w:rPr>
                  <w:t>刘洋</w:t>
                </w:r>
              </w:p>
            </w:tc>
            <w:tc>
              <w:tcPr>
                <w:tcW w:w="1292" w:type="dxa"/>
                <w:vAlign w:val="center"/>
              </w:tcPr>
              <w:p>
                <w:pPr>
                  <w:jc w:val="center"/>
                  <w:rPr>
                    <w:szCs w:val="21"/>
                  </w:rPr>
                </w:pPr>
                <w:r>
                  <w:rPr>
                    <w:rFonts w:hint="eastAsia"/>
                    <w:color w:val="auto"/>
                  </w:rPr>
                  <w:t>403,800</w:t>
                </w:r>
              </w:p>
            </w:tc>
            <w:tc>
              <w:tcPr>
                <w:tcW w:w="1316" w:type="dxa"/>
                <w:vAlign w:val="center"/>
              </w:tcPr>
              <w:p>
                <w:pPr>
                  <w:jc w:val="center"/>
                  <w:rPr>
                    <w:szCs w:val="21"/>
                  </w:rPr>
                </w:pPr>
                <w:r>
                  <w:rPr>
                    <w:rFonts w:hint="eastAsia"/>
                    <w:color w:val="auto"/>
                  </w:rPr>
                  <w:t>2,305,800</w:t>
                </w:r>
              </w:p>
            </w:tc>
            <w:tc>
              <w:tcPr>
                <w:tcW w:w="905" w:type="dxa"/>
                <w:vAlign w:val="center"/>
              </w:tcPr>
              <w:p>
                <w:pPr>
                  <w:jc w:val="center"/>
                  <w:rPr>
                    <w:szCs w:val="21"/>
                  </w:rPr>
                </w:pPr>
                <w:r>
                  <w:rPr>
                    <w:rFonts w:hint="eastAsia"/>
                    <w:color w:val="auto"/>
                  </w:rPr>
                  <w:t>0.42</w:t>
                </w:r>
              </w:p>
            </w:tc>
            <w:tc>
              <w:tcPr>
                <w:tcW w:w="957" w:type="dxa"/>
                <w:vAlign w:val="center"/>
              </w:tcPr>
              <w:p>
                <w:pPr>
                  <w:jc w:val="center"/>
                  <w:rPr>
                    <w:szCs w:val="21"/>
                  </w:rPr>
                </w:pPr>
                <w:r>
                  <w:rPr>
                    <w:rFonts w:hint="eastAsia"/>
                    <w:color w:val="auto"/>
                  </w:rPr>
                  <w:t>0</w:t>
                </w:r>
              </w:p>
            </w:tc>
            <w:tc>
              <w:tcPr>
                <w:tcW w:w="788" w:type="dxa"/>
                <w:vAlign w:val="center"/>
              </w:tcPr>
              <w:p>
                <w:pPr>
                  <w:jc w:val="center"/>
                  <w:rPr>
                    <w:color w:val="FF9900"/>
                    <w:szCs w:val="21"/>
                  </w:rPr>
                </w:pPr>
                <w:r>
                  <w:rPr>
                    <w:rFonts w:hint="eastAsia"/>
                    <w:szCs w:val="21"/>
                  </w:rPr>
                  <w:t>无</w:t>
                </w:r>
              </w:p>
            </w:tc>
            <w:tc>
              <w:tcPr>
                <w:tcW w:w="742" w:type="dxa"/>
                <w:vAlign w:val="center"/>
              </w:tcPr>
              <w:p>
                <w:pPr>
                  <w:jc w:val="center"/>
                  <w:rPr>
                    <w:szCs w:val="21"/>
                  </w:rPr>
                </w:pPr>
                <w:r>
                  <w:rPr>
                    <w:rFonts w:hint="eastAsia"/>
                    <w:color w:val="auto"/>
                  </w:rPr>
                  <w:t>0</w:t>
                </w:r>
              </w:p>
            </w:tc>
            <w:tc>
              <w:tcPr>
                <w:tcW w:w="1436" w:type="dxa"/>
                <w:vAlign w:val="center"/>
              </w:tcPr>
              <w:p>
                <w:pPr>
                  <w:jc w:val="center"/>
                  <w:rPr>
                    <w:color w:val="FF9900"/>
                    <w:szCs w:val="21"/>
                  </w:rPr>
                </w:pPr>
                <w:r>
                  <w:rPr>
                    <w:rFonts w:hint="eastAsia"/>
                    <w:szCs w:val="21"/>
                  </w:rPr>
                  <w:t>境内自然人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95" w:type="dxa"/>
                <w:vAlign w:val="center"/>
              </w:tcPr>
              <w:p>
                <w:pPr>
                  <w:jc w:val="center"/>
                  <w:rPr>
                    <w:szCs w:val="21"/>
                  </w:rPr>
                </w:pPr>
                <w:r>
                  <w:rPr>
                    <w:rFonts w:hint="eastAsia"/>
                    <w:szCs w:val="21"/>
                  </w:rPr>
                  <w:t>李斌</w:t>
                </w:r>
              </w:p>
            </w:tc>
            <w:tc>
              <w:tcPr>
                <w:tcW w:w="1292" w:type="dxa"/>
                <w:vAlign w:val="center"/>
              </w:tcPr>
              <w:p>
                <w:pPr>
                  <w:jc w:val="center"/>
                  <w:rPr>
                    <w:szCs w:val="21"/>
                  </w:rPr>
                </w:pPr>
                <w:r>
                  <w:rPr>
                    <w:rFonts w:hint="eastAsia"/>
                    <w:color w:val="auto"/>
                  </w:rPr>
                  <w:t>257,200</w:t>
                </w:r>
              </w:p>
            </w:tc>
            <w:tc>
              <w:tcPr>
                <w:tcW w:w="1316" w:type="dxa"/>
                <w:vAlign w:val="center"/>
              </w:tcPr>
              <w:p>
                <w:pPr>
                  <w:jc w:val="center"/>
                  <w:rPr>
                    <w:szCs w:val="21"/>
                  </w:rPr>
                </w:pPr>
                <w:r>
                  <w:rPr>
                    <w:rFonts w:hint="eastAsia"/>
                    <w:color w:val="auto"/>
                  </w:rPr>
                  <w:t>2,069,000</w:t>
                </w:r>
              </w:p>
            </w:tc>
            <w:tc>
              <w:tcPr>
                <w:tcW w:w="905" w:type="dxa"/>
                <w:vAlign w:val="center"/>
              </w:tcPr>
              <w:p>
                <w:pPr>
                  <w:jc w:val="center"/>
                  <w:rPr>
                    <w:szCs w:val="21"/>
                  </w:rPr>
                </w:pPr>
                <w:r>
                  <w:rPr>
                    <w:rFonts w:hint="eastAsia"/>
                    <w:color w:val="auto"/>
                  </w:rPr>
                  <w:t>0.38</w:t>
                </w:r>
              </w:p>
            </w:tc>
            <w:tc>
              <w:tcPr>
                <w:tcW w:w="957" w:type="dxa"/>
                <w:vAlign w:val="center"/>
              </w:tcPr>
              <w:p>
                <w:pPr>
                  <w:jc w:val="center"/>
                  <w:rPr>
                    <w:szCs w:val="21"/>
                  </w:rPr>
                </w:pPr>
                <w:r>
                  <w:rPr>
                    <w:rFonts w:hint="eastAsia"/>
                    <w:color w:val="auto"/>
                  </w:rPr>
                  <w:t>0</w:t>
                </w:r>
              </w:p>
            </w:tc>
            <w:tc>
              <w:tcPr>
                <w:tcW w:w="788" w:type="dxa"/>
                <w:vAlign w:val="center"/>
              </w:tcPr>
              <w:p>
                <w:pPr>
                  <w:jc w:val="center"/>
                  <w:rPr>
                    <w:color w:val="FF9900"/>
                    <w:szCs w:val="21"/>
                  </w:rPr>
                </w:pPr>
                <w:r>
                  <w:rPr>
                    <w:rFonts w:hint="eastAsia"/>
                    <w:szCs w:val="21"/>
                  </w:rPr>
                  <w:t>无</w:t>
                </w:r>
              </w:p>
            </w:tc>
            <w:tc>
              <w:tcPr>
                <w:tcW w:w="742" w:type="dxa"/>
                <w:vAlign w:val="center"/>
              </w:tcPr>
              <w:p>
                <w:pPr>
                  <w:jc w:val="center"/>
                  <w:rPr>
                    <w:szCs w:val="21"/>
                  </w:rPr>
                </w:pPr>
                <w:r>
                  <w:rPr>
                    <w:rFonts w:hint="eastAsia"/>
                    <w:color w:val="auto"/>
                  </w:rPr>
                  <w:t>0</w:t>
                </w:r>
              </w:p>
            </w:tc>
            <w:tc>
              <w:tcPr>
                <w:tcW w:w="1436" w:type="dxa"/>
                <w:vAlign w:val="center"/>
              </w:tcPr>
              <w:p>
                <w:pPr>
                  <w:jc w:val="center"/>
                  <w:rPr>
                    <w:color w:val="FF9900"/>
                    <w:szCs w:val="21"/>
                  </w:rPr>
                </w:pPr>
                <w:r>
                  <w:rPr>
                    <w:rFonts w:hint="eastAsia"/>
                    <w:szCs w:val="21"/>
                  </w:rPr>
                  <w:t>境内自然人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31" w:type="dxa"/>
                <w:gridSpan w:val="8"/>
                <w:vAlign w:val="center"/>
              </w:tcPr>
              <w:sdt>
                <w:sdtPr>
                  <w:tag w:val="_PLD_7f241e5dc05a4ae7b61268f4f1627ca0"/>
                  <w:id w:val="6330"/>
                </w:sdtPr>
                <w:sdtContent>
                  <w:p>
                    <w:pPr>
                      <w:jc w:val="center"/>
                      <w:rPr>
                        <w:color w:val="FF9900"/>
                        <w:szCs w:val="21"/>
                      </w:rPr>
                    </w:pPr>
                    <w:r>
                      <w:rPr>
                        <w:szCs w:val="21"/>
                      </w:rPr>
                      <w:t>前十名无限售条件股东持股情况</w:t>
                    </w:r>
                    <w:r>
                      <w:rPr>
                        <w:rFonts w:hint="eastAsia"/>
                        <w:szCs w:val="21"/>
                      </w:rPr>
                      <w:t>（不含通过转融通出借股份）</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87" w:type="dxa"/>
                <w:gridSpan w:val="2"/>
                <w:vMerge w:val="restart"/>
                <w:vAlign w:val="center"/>
              </w:tcPr>
              <w:sdt>
                <w:sdtPr>
                  <w:tag w:val="_PLD_0443ad39720a4d59be87cdf7b0bc4970"/>
                  <w:id w:val="6331"/>
                </w:sdtPr>
                <w:sdtContent>
                  <w:p>
                    <w:pPr>
                      <w:jc w:val="center"/>
                      <w:rPr>
                        <w:color w:val="FF9900"/>
                        <w:szCs w:val="21"/>
                      </w:rPr>
                    </w:pPr>
                    <w:r>
                      <w:t>股东名称</w:t>
                    </w:r>
                  </w:p>
                </w:sdtContent>
              </w:sdt>
            </w:tc>
            <w:tc>
              <w:tcPr>
                <w:tcW w:w="3178" w:type="dxa"/>
                <w:gridSpan w:val="3"/>
                <w:vMerge w:val="restart"/>
                <w:vAlign w:val="center"/>
              </w:tcPr>
              <w:sdt>
                <w:sdtPr>
                  <w:tag w:val="_PLD_a7f143afa2b94466a44af03e770016b0"/>
                  <w:id w:val="6332"/>
                </w:sdtPr>
                <w:sdtContent>
                  <w:p>
                    <w:pPr>
                      <w:jc w:val="center"/>
                      <w:rPr>
                        <w:color w:val="FF9900"/>
                        <w:szCs w:val="21"/>
                      </w:rPr>
                    </w:pPr>
                    <w:r>
                      <w:t>持有无限售条件流通股的数量</w:t>
                    </w:r>
                  </w:p>
                </w:sdtContent>
              </w:sdt>
            </w:tc>
            <w:tc>
              <w:tcPr>
                <w:tcW w:w="2966" w:type="dxa"/>
                <w:gridSpan w:val="3"/>
                <w:tcBorders>
                  <w:bottom w:val="single" w:color="auto" w:sz="4" w:space="0"/>
                </w:tcBorders>
                <w:vAlign w:val="center"/>
              </w:tcPr>
              <w:sdt>
                <w:sdtPr>
                  <w:tag w:val="_PLD_fa97ca004a544042af7e1d7463bea345"/>
                  <w:id w:val="6333"/>
                </w:sdtPr>
                <w:sdtContent>
                  <w:p>
                    <w:pPr>
                      <w:jc w:val="center"/>
                      <w:rPr>
                        <w:color w:val="FF9900"/>
                        <w:szCs w:val="21"/>
                      </w:rPr>
                    </w:pPr>
                    <w:r>
                      <w:rPr>
                        <w:szCs w:val="21"/>
                      </w:rPr>
                      <w:t>股份种类</w:t>
                    </w:r>
                    <w:r>
                      <w:rPr>
                        <w:rFonts w:hint="eastAsia"/>
                        <w:szCs w:val="21"/>
                      </w:rPr>
                      <w:t>及数量</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87" w:type="dxa"/>
                <w:gridSpan w:val="2"/>
                <w:vMerge w:val="continue"/>
                <w:vAlign w:val="center"/>
              </w:tcPr>
              <w:p>
                <w:pPr>
                  <w:jc w:val="center"/>
                  <w:rPr>
                    <w:color w:val="FF9900"/>
                    <w:szCs w:val="21"/>
                  </w:rPr>
                </w:pPr>
              </w:p>
            </w:tc>
            <w:tc>
              <w:tcPr>
                <w:tcW w:w="3178" w:type="dxa"/>
                <w:gridSpan w:val="3"/>
                <w:vMerge w:val="continue"/>
                <w:vAlign w:val="center"/>
              </w:tcPr>
              <w:p>
                <w:pPr>
                  <w:jc w:val="center"/>
                  <w:rPr>
                    <w:color w:val="FF9900"/>
                    <w:szCs w:val="21"/>
                  </w:rPr>
                </w:pPr>
              </w:p>
            </w:tc>
            <w:tc>
              <w:tcPr>
                <w:tcW w:w="1530" w:type="dxa"/>
                <w:gridSpan w:val="2"/>
                <w:vAlign w:val="center"/>
              </w:tcPr>
              <w:sdt>
                <w:sdtPr>
                  <w:tag w:val="_PLD_e67773187f2f4233a6666596947248e8"/>
                  <w:id w:val="6334"/>
                </w:sdtPr>
                <w:sdtContent>
                  <w:p>
                    <w:pPr>
                      <w:jc w:val="center"/>
                      <w:rPr>
                        <w:color w:val="008000"/>
                        <w:szCs w:val="21"/>
                      </w:rPr>
                    </w:pPr>
                    <w:r>
                      <w:rPr>
                        <w:rFonts w:hint="eastAsia"/>
                        <w:szCs w:val="21"/>
                      </w:rPr>
                      <w:t>种类</w:t>
                    </w:r>
                  </w:p>
                </w:sdtContent>
              </w:sdt>
            </w:tc>
            <w:tc>
              <w:tcPr>
                <w:tcW w:w="1436" w:type="dxa"/>
                <w:vAlign w:val="center"/>
              </w:tcPr>
              <w:sdt>
                <w:sdtPr>
                  <w:tag w:val="_PLD_2f2fd5088a82440f9265e00f4e298be0"/>
                  <w:id w:val="6335"/>
                </w:sdtPr>
                <w:sdtContent>
                  <w:p>
                    <w:pPr>
                      <w:jc w:val="center"/>
                      <w:rPr>
                        <w:color w:val="008000"/>
                        <w:szCs w:val="21"/>
                      </w:rPr>
                    </w:pPr>
                    <w:r>
                      <w:rPr>
                        <w:rFonts w:hint="eastAsia"/>
                        <w:szCs w:val="21"/>
                      </w:rPr>
                      <w:t>数量</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87" w:type="dxa"/>
                <w:gridSpan w:val="2"/>
                <w:vAlign w:val="center"/>
              </w:tcPr>
              <w:p>
                <w:pPr>
                  <w:jc w:val="center"/>
                  <w:rPr>
                    <w:color w:val="FF9900"/>
                    <w:szCs w:val="21"/>
                  </w:rPr>
                </w:pPr>
                <w:r>
                  <w:rPr>
                    <w:rFonts w:hint="eastAsia"/>
                    <w:szCs w:val="21"/>
                  </w:rPr>
                  <w:t>广西柳州市产业投资发展集团有限公司</w:t>
                </w:r>
              </w:p>
            </w:tc>
            <w:tc>
              <w:tcPr>
                <w:tcW w:w="3178" w:type="dxa"/>
                <w:gridSpan w:val="3"/>
                <w:vAlign w:val="center"/>
              </w:tcPr>
              <w:p>
                <w:pPr>
                  <w:jc w:val="center"/>
                  <w:rPr>
                    <w:szCs w:val="21"/>
                  </w:rPr>
                </w:pPr>
                <w:r>
                  <w:rPr>
                    <w:rFonts w:hint="eastAsia"/>
                    <w:color w:val="auto"/>
                  </w:rPr>
                  <w:t>183,360,652</w:t>
                </w:r>
              </w:p>
            </w:tc>
            <w:tc>
              <w:tcPr>
                <w:tcW w:w="1530" w:type="dxa"/>
                <w:gridSpan w:val="2"/>
                <w:vAlign w:val="center"/>
              </w:tcPr>
              <w:sdt>
                <w:sdtPr>
                  <w:rPr>
                    <w:bCs/>
                    <w:szCs w:val="21"/>
                  </w:rPr>
                  <w:alias w:val="前十名无限售条件股东期末持有流通股的种类"/>
                  <w:tag w:val="_GBC_b35ef493948141e0b9d0c3fd14aad59a"/>
                  <w:id w:val="6336"/>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rPr>
                    <w:bCs/>
                    <w:szCs w:val="21"/>
                  </w:rPr>
                </w:sdtEndPr>
                <w:sdtContent>
                  <w:p>
                    <w:pPr>
                      <w:jc w:val="center"/>
                      <w:rPr>
                        <w:bCs/>
                        <w:szCs w:val="21"/>
                      </w:rPr>
                    </w:pPr>
                    <w:r>
                      <w:rPr>
                        <w:rFonts w:hint="eastAsia"/>
                        <w:bCs/>
                        <w:szCs w:val="21"/>
                      </w:rPr>
                      <w:t>人民币普通股</w:t>
                    </w:r>
                  </w:p>
                </w:sdtContent>
              </w:sdt>
            </w:tc>
            <w:tc>
              <w:tcPr>
                <w:tcW w:w="1436" w:type="dxa"/>
                <w:vAlign w:val="center"/>
              </w:tcPr>
              <w:p>
                <w:pPr>
                  <w:jc w:val="center"/>
                  <w:rPr>
                    <w:szCs w:val="21"/>
                  </w:rPr>
                </w:pPr>
                <w:r>
                  <w:rPr>
                    <w:rFonts w:hint="eastAsia"/>
                    <w:color w:val="auto"/>
                  </w:rPr>
                  <w:t>183,360,652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87" w:type="dxa"/>
                <w:gridSpan w:val="2"/>
                <w:vAlign w:val="center"/>
              </w:tcPr>
              <w:p>
                <w:pPr>
                  <w:jc w:val="center"/>
                  <w:rPr>
                    <w:color w:val="FF9900"/>
                    <w:szCs w:val="21"/>
                  </w:rPr>
                </w:pPr>
                <w:r>
                  <w:rPr>
                    <w:rFonts w:hint="eastAsia"/>
                    <w:szCs w:val="21"/>
                  </w:rPr>
                  <w:t>柳州市经发投资有限责任公司</w:t>
                </w:r>
              </w:p>
            </w:tc>
            <w:tc>
              <w:tcPr>
                <w:tcW w:w="3178" w:type="dxa"/>
                <w:gridSpan w:val="3"/>
                <w:vAlign w:val="center"/>
              </w:tcPr>
              <w:p>
                <w:pPr>
                  <w:jc w:val="center"/>
                  <w:rPr>
                    <w:szCs w:val="21"/>
                  </w:rPr>
                </w:pPr>
                <w:r>
                  <w:rPr>
                    <w:rFonts w:hint="eastAsia"/>
                    <w:color w:val="auto"/>
                  </w:rPr>
                  <w:t>10,959,167</w:t>
                </w:r>
              </w:p>
            </w:tc>
            <w:tc>
              <w:tcPr>
                <w:tcW w:w="1530" w:type="dxa"/>
                <w:gridSpan w:val="2"/>
                <w:vAlign w:val="center"/>
              </w:tcPr>
              <w:p>
                <w:pPr>
                  <w:jc w:val="center"/>
                  <w:rPr>
                    <w:bCs/>
                    <w:szCs w:val="21"/>
                  </w:rPr>
                </w:pPr>
                <w:r>
                  <w:rPr>
                    <w:rFonts w:hint="eastAsia"/>
                    <w:bCs/>
                    <w:szCs w:val="21"/>
                  </w:rPr>
                  <w:t>人民币普通股</w:t>
                </w:r>
              </w:p>
            </w:tc>
            <w:tc>
              <w:tcPr>
                <w:tcW w:w="1436" w:type="dxa"/>
                <w:vAlign w:val="center"/>
              </w:tcPr>
              <w:p>
                <w:pPr>
                  <w:jc w:val="center"/>
                  <w:rPr>
                    <w:szCs w:val="21"/>
                  </w:rPr>
                </w:pPr>
                <w:r>
                  <w:rPr>
                    <w:rFonts w:hint="eastAsia"/>
                    <w:color w:val="auto"/>
                  </w:rPr>
                  <w:t>10,959,167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87" w:type="dxa"/>
                <w:gridSpan w:val="2"/>
                <w:vAlign w:val="center"/>
              </w:tcPr>
              <w:p>
                <w:pPr>
                  <w:jc w:val="center"/>
                  <w:rPr>
                    <w:color w:val="FF9900"/>
                    <w:szCs w:val="21"/>
                  </w:rPr>
                </w:pPr>
                <w:r>
                  <w:rPr>
                    <w:rFonts w:hint="eastAsia"/>
                    <w:szCs w:val="21"/>
                  </w:rPr>
                  <w:t>广西产投资本运营集团有限公司</w:t>
                </w:r>
              </w:p>
            </w:tc>
            <w:tc>
              <w:tcPr>
                <w:tcW w:w="3178" w:type="dxa"/>
                <w:gridSpan w:val="3"/>
                <w:vAlign w:val="center"/>
              </w:tcPr>
              <w:p>
                <w:pPr>
                  <w:jc w:val="center"/>
                  <w:rPr>
                    <w:szCs w:val="21"/>
                  </w:rPr>
                </w:pPr>
                <w:r>
                  <w:rPr>
                    <w:rFonts w:hint="eastAsia"/>
                    <w:color w:val="auto"/>
                  </w:rPr>
                  <w:t>8,766,133</w:t>
                </w:r>
              </w:p>
            </w:tc>
            <w:tc>
              <w:tcPr>
                <w:tcW w:w="1530" w:type="dxa"/>
                <w:gridSpan w:val="2"/>
                <w:vAlign w:val="center"/>
              </w:tcPr>
              <w:p>
                <w:pPr>
                  <w:jc w:val="center"/>
                  <w:rPr>
                    <w:bCs/>
                    <w:szCs w:val="21"/>
                  </w:rPr>
                </w:pPr>
                <w:r>
                  <w:rPr>
                    <w:rFonts w:hint="eastAsia"/>
                    <w:bCs/>
                    <w:szCs w:val="21"/>
                  </w:rPr>
                  <w:t>人民币普通股</w:t>
                </w:r>
              </w:p>
            </w:tc>
            <w:tc>
              <w:tcPr>
                <w:tcW w:w="1436" w:type="dxa"/>
                <w:vAlign w:val="center"/>
              </w:tcPr>
              <w:p>
                <w:pPr>
                  <w:jc w:val="center"/>
                  <w:rPr>
                    <w:szCs w:val="21"/>
                  </w:rPr>
                </w:pPr>
                <w:r>
                  <w:rPr>
                    <w:rFonts w:hint="eastAsia"/>
                    <w:color w:val="auto"/>
                  </w:rPr>
                  <w:t>8,766,133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87" w:type="dxa"/>
                <w:gridSpan w:val="2"/>
                <w:vAlign w:val="center"/>
              </w:tcPr>
              <w:p>
                <w:pPr>
                  <w:jc w:val="center"/>
                  <w:rPr>
                    <w:color w:val="FF9900"/>
                    <w:szCs w:val="21"/>
                  </w:rPr>
                </w:pPr>
                <w:r>
                  <w:rPr>
                    <w:rFonts w:hint="eastAsia"/>
                    <w:szCs w:val="21"/>
                  </w:rPr>
                  <w:t>高盛国际</w:t>
                </w:r>
              </w:p>
            </w:tc>
            <w:tc>
              <w:tcPr>
                <w:tcW w:w="3178" w:type="dxa"/>
                <w:gridSpan w:val="3"/>
                <w:vAlign w:val="center"/>
              </w:tcPr>
              <w:p>
                <w:pPr>
                  <w:jc w:val="center"/>
                  <w:rPr>
                    <w:szCs w:val="21"/>
                  </w:rPr>
                </w:pPr>
                <w:r>
                  <w:rPr>
                    <w:rFonts w:hint="eastAsia"/>
                    <w:color w:val="auto"/>
                  </w:rPr>
                  <w:t>4,177,854</w:t>
                </w:r>
              </w:p>
            </w:tc>
            <w:tc>
              <w:tcPr>
                <w:tcW w:w="1530" w:type="dxa"/>
                <w:gridSpan w:val="2"/>
                <w:vAlign w:val="center"/>
              </w:tcPr>
              <w:p>
                <w:pPr>
                  <w:jc w:val="center"/>
                  <w:rPr>
                    <w:bCs/>
                    <w:szCs w:val="21"/>
                  </w:rPr>
                </w:pPr>
                <w:r>
                  <w:rPr>
                    <w:rFonts w:hint="eastAsia"/>
                    <w:bCs/>
                    <w:szCs w:val="21"/>
                  </w:rPr>
                  <w:t>人民币普通股</w:t>
                </w:r>
              </w:p>
            </w:tc>
            <w:tc>
              <w:tcPr>
                <w:tcW w:w="1436" w:type="dxa"/>
                <w:vAlign w:val="center"/>
              </w:tcPr>
              <w:p>
                <w:pPr>
                  <w:jc w:val="center"/>
                  <w:rPr>
                    <w:szCs w:val="21"/>
                  </w:rPr>
                </w:pPr>
                <w:r>
                  <w:rPr>
                    <w:rFonts w:hint="eastAsia"/>
                    <w:color w:val="auto"/>
                  </w:rPr>
                  <w:t>4,177,854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87" w:type="dxa"/>
                <w:gridSpan w:val="2"/>
                <w:vAlign w:val="center"/>
              </w:tcPr>
              <w:p>
                <w:pPr>
                  <w:jc w:val="center"/>
                  <w:rPr>
                    <w:color w:val="FF9900"/>
                    <w:szCs w:val="21"/>
                  </w:rPr>
                </w:pPr>
                <w:r>
                  <w:rPr>
                    <w:rFonts w:hint="eastAsia"/>
                    <w:szCs w:val="21"/>
                  </w:rPr>
                  <w:t>徐如</w:t>
                </w:r>
              </w:p>
            </w:tc>
            <w:tc>
              <w:tcPr>
                <w:tcW w:w="3178" w:type="dxa"/>
                <w:gridSpan w:val="3"/>
                <w:vAlign w:val="center"/>
              </w:tcPr>
              <w:p>
                <w:pPr>
                  <w:jc w:val="center"/>
                  <w:rPr>
                    <w:szCs w:val="21"/>
                  </w:rPr>
                </w:pPr>
                <w:r>
                  <w:rPr>
                    <w:rFonts w:hint="eastAsia"/>
                    <w:color w:val="auto"/>
                  </w:rPr>
                  <w:t>3,301,200</w:t>
                </w:r>
              </w:p>
            </w:tc>
            <w:tc>
              <w:tcPr>
                <w:tcW w:w="1530" w:type="dxa"/>
                <w:gridSpan w:val="2"/>
                <w:vAlign w:val="center"/>
              </w:tcPr>
              <w:p>
                <w:pPr>
                  <w:jc w:val="center"/>
                  <w:rPr>
                    <w:bCs/>
                    <w:szCs w:val="21"/>
                  </w:rPr>
                </w:pPr>
                <w:r>
                  <w:rPr>
                    <w:rFonts w:hint="eastAsia"/>
                    <w:bCs/>
                    <w:szCs w:val="21"/>
                  </w:rPr>
                  <w:t>人民币普通股</w:t>
                </w:r>
              </w:p>
            </w:tc>
            <w:tc>
              <w:tcPr>
                <w:tcW w:w="1436" w:type="dxa"/>
                <w:vAlign w:val="center"/>
              </w:tcPr>
              <w:p>
                <w:pPr>
                  <w:jc w:val="center"/>
                  <w:rPr>
                    <w:szCs w:val="21"/>
                  </w:rPr>
                </w:pPr>
                <w:r>
                  <w:rPr>
                    <w:rFonts w:hint="eastAsia"/>
                    <w:color w:val="auto"/>
                  </w:rPr>
                  <w:t>3,301,200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87" w:type="dxa"/>
                <w:gridSpan w:val="2"/>
                <w:vAlign w:val="center"/>
              </w:tcPr>
              <w:p>
                <w:pPr>
                  <w:jc w:val="center"/>
                  <w:rPr>
                    <w:color w:val="FF9900"/>
                    <w:szCs w:val="21"/>
                  </w:rPr>
                </w:pPr>
                <w:r>
                  <w:rPr>
                    <w:rFonts w:hint="eastAsia"/>
                    <w:szCs w:val="21"/>
                  </w:rPr>
                  <w:t>冯文军</w:t>
                </w:r>
              </w:p>
            </w:tc>
            <w:tc>
              <w:tcPr>
                <w:tcW w:w="3178" w:type="dxa"/>
                <w:gridSpan w:val="3"/>
                <w:vAlign w:val="center"/>
              </w:tcPr>
              <w:p>
                <w:pPr>
                  <w:jc w:val="center"/>
                  <w:rPr>
                    <w:szCs w:val="21"/>
                  </w:rPr>
                </w:pPr>
                <w:r>
                  <w:rPr>
                    <w:rFonts w:hint="eastAsia"/>
                    <w:color w:val="auto"/>
                  </w:rPr>
                  <w:t>3,017,100</w:t>
                </w:r>
              </w:p>
            </w:tc>
            <w:tc>
              <w:tcPr>
                <w:tcW w:w="1530" w:type="dxa"/>
                <w:gridSpan w:val="2"/>
                <w:vAlign w:val="center"/>
              </w:tcPr>
              <w:p>
                <w:pPr>
                  <w:jc w:val="center"/>
                  <w:rPr>
                    <w:bCs/>
                    <w:szCs w:val="21"/>
                  </w:rPr>
                </w:pPr>
                <w:r>
                  <w:rPr>
                    <w:rFonts w:hint="eastAsia"/>
                    <w:bCs/>
                    <w:szCs w:val="21"/>
                  </w:rPr>
                  <w:t>人民币普通股</w:t>
                </w:r>
              </w:p>
            </w:tc>
            <w:tc>
              <w:tcPr>
                <w:tcW w:w="1436" w:type="dxa"/>
                <w:vAlign w:val="center"/>
              </w:tcPr>
              <w:p>
                <w:pPr>
                  <w:jc w:val="center"/>
                  <w:rPr>
                    <w:szCs w:val="21"/>
                  </w:rPr>
                </w:pPr>
                <w:r>
                  <w:rPr>
                    <w:rFonts w:hint="eastAsia"/>
                    <w:color w:val="auto"/>
                  </w:rPr>
                  <w:t>3,017,100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87" w:type="dxa"/>
                <w:gridSpan w:val="2"/>
                <w:vAlign w:val="center"/>
              </w:tcPr>
              <w:p>
                <w:pPr>
                  <w:jc w:val="center"/>
                  <w:rPr>
                    <w:color w:val="FF9900"/>
                    <w:szCs w:val="21"/>
                  </w:rPr>
                </w:pPr>
                <w:r>
                  <w:rPr>
                    <w:rFonts w:hint="eastAsia"/>
                    <w:szCs w:val="21"/>
                  </w:rPr>
                  <w:t>柳州市元宏投资发展有限公司</w:t>
                </w:r>
              </w:p>
            </w:tc>
            <w:tc>
              <w:tcPr>
                <w:tcW w:w="3178" w:type="dxa"/>
                <w:gridSpan w:val="3"/>
                <w:vAlign w:val="center"/>
              </w:tcPr>
              <w:p>
                <w:pPr>
                  <w:jc w:val="center"/>
                  <w:rPr>
                    <w:szCs w:val="21"/>
                  </w:rPr>
                </w:pPr>
                <w:r>
                  <w:rPr>
                    <w:rFonts w:hint="eastAsia"/>
                    <w:color w:val="auto"/>
                  </w:rPr>
                  <w:t>3,013,937</w:t>
                </w:r>
              </w:p>
            </w:tc>
            <w:tc>
              <w:tcPr>
                <w:tcW w:w="1530" w:type="dxa"/>
                <w:gridSpan w:val="2"/>
                <w:vAlign w:val="center"/>
              </w:tcPr>
              <w:p>
                <w:pPr>
                  <w:jc w:val="center"/>
                  <w:rPr>
                    <w:bCs/>
                    <w:szCs w:val="21"/>
                  </w:rPr>
                </w:pPr>
                <w:r>
                  <w:rPr>
                    <w:rFonts w:hint="eastAsia"/>
                    <w:bCs/>
                    <w:szCs w:val="21"/>
                  </w:rPr>
                  <w:t>人民币普通股</w:t>
                </w:r>
              </w:p>
            </w:tc>
            <w:tc>
              <w:tcPr>
                <w:tcW w:w="1436" w:type="dxa"/>
                <w:vAlign w:val="center"/>
              </w:tcPr>
              <w:p>
                <w:pPr>
                  <w:jc w:val="center"/>
                  <w:rPr>
                    <w:szCs w:val="21"/>
                  </w:rPr>
                </w:pPr>
                <w:r>
                  <w:rPr>
                    <w:rFonts w:hint="eastAsia"/>
                    <w:color w:val="auto"/>
                  </w:rPr>
                  <w:t>3,013,937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87" w:type="dxa"/>
                <w:gridSpan w:val="2"/>
                <w:vAlign w:val="center"/>
              </w:tcPr>
              <w:p>
                <w:pPr>
                  <w:jc w:val="center"/>
                  <w:rPr>
                    <w:color w:val="FF9900"/>
                    <w:szCs w:val="21"/>
                  </w:rPr>
                </w:pPr>
                <w:r>
                  <w:rPr>
                    <w:rFonts w:hint="eastAsia"/>
                    <w:szCs w:val="21"/>
                  </w:rPr>
                  <w:t>阮云</w:t>
                </w:r>
              </w:p>
            </w:tc>
            <w:tc>
              <w:tcPr>
                <w:tcW w:w="3178" w:type="dxa"/>
                <w:gridSpan w:val="3"/>
                <w:vAlign w:val="center"/>
              </w:tcPr>
              <w:p>
                <w:pPr>
                  <w:jc w:val="center"/>
                  <w:rPr>
                    <w:szCs w:val="21"/>
                  </w:rPr>
                </w:pPr>
                <w:r>
                  <w:rPr>
                    <w:rFonts w:hint="eastAsia"/>
                    <w:color w:val="auto"/>
                  </w:rPr>
                  <w:t>2,425,700</w:t>
                </w:r>
              </w:p>
            </w:tc>
            <w:tc>
              <w:tcPr>
                <w:tcW w:w="1530" w:type="dxa"/>
                <w:gridSpan w:val="2"/>
                <w:vAlign w:val="center"/>
              </w:tcPr>
              <w:p>
                <w:pPr>
                  <w:jc w:val="center"/>
                  <w:rPr>
                    <w:bCs/>
                    <w:szCs w:val="21"/>
                  </w:rPr>
                </w:pPr>
                <w:r>
                  <w:rPr>
                    <w:rFonts w:hint="eastAsia"/>
                    <w:bCs/>
                    <w:szCs w:val="21"/>
                  </w:rPr>
                  <w:t>人民币普通股</w:t>
                </w:r>
              </w:p>
            </w:tc>
            <w:tc>
              <w:tcPr>
                <w:tcW w:w="1436" w:type="dxa"/>
                <w:vAlign w:val="center"/>
              </w:tcPr>
              <w:p>
                <w:pPr>
                  <w:jc w:val="center"/>
                  <w:rPr>
                    <w:szCs w:val="21"/>
                  </w:rPr>
                </w:pPr>
                <w:r>
                  <w:rPr>
                    <w:rFonts w:hint="eastAsia"/>
                    <w:color w:val="auto"/>
                  </w:rPr>
                  <w:t>2,425,700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87" w:type="dxa"/>
                <w:gridSpan w:val="2"/>
                <w:vAlign w:val="center"/>
              </w:tcPr>
              <w:p>
                <w:pPr>
                  <w:jc w:val="center"/>
                  <w:rPr>
                    <w:color w:val="FF9900"/>
                    <w:szCs w:val="21"/>
                  </w:rPr>
                </w:pPr>
                <w:r>
                  <w:rPr>
                    <w:rFonts w:hint="eastAsia"/>
                    <w:szCs w:val="21"/>
                  </w:rPr>
                  <w:t>刘洋</w:t>
                </w:r>
              </w:p>
            </w:tc>
            <w:tc>
              <w:tcPr>
                <w:tcW w:w="3178" w:type="dxa"/>
                <w:gridSpan w:val="3"/>
                <w:vAlign w:val="center"/>
              </w:tcPr>
              <w:p>
                <w:pPr>
                  <w:jc w:val="center"/>
                  <w:rPr>
                    <w:szCs w:val="21"/>
                  </w:rPr>
                </w:pPr>
                <w:r>
                  <w:rPr>
                    <w:rFonts w:hint="eastAsia"/>
                    <w:color w:val="auto"/>
                  </w:rPr>
                  <w:t>2,305,800</w:t>
                </w:r>
              </w:p>
            </w:tc>
            <w:tc>
              <w:tcPr>
                <w:tcW w:w="1530" w:type="dxa"/>
                <w:gridSpan w:val="2"/>
                <w:vAlign w:val="center"/>
              </w:tcPr>
              <w:p>
                <w:pPr>
                  <w:jc w:val="center"/>
                  <w:rPr>
                    <w:bCs/>
                    <w:szCs w:val="21"/>
                  </w:rPr>
                </w:pPr>
                <w:r>
                  <w:rPr>
                    <w:rFonts w:hint="eastAsia"/>
                    <w:bCs/>
                    <w:szCs w:val="21"/>
                  </w:rPr>
                  <w:t>人民币普通股</w:t>
                </w:r>
              </w:p>
            </w:tc>
            <w:tc>
              <w:tcPr>
                <w:tcW w:w="1436" w:type="dxa"/>
                <w:vAlign w:val="center"/>
              </w:tcPr>
              <w:p>
                <w:pPr>
                  <w:jc w:val="center"/>
                  <w:rPr>
                    <w:szCs w:val="21"/>
                  </w:rPr>
                </w:pPr>
                <w:r>
                  <w:rPr>
                    <w:rFonts w:hint="eastAsia"/>
                    <w:color w:val="auto"/>
                  </w:rPr>
                  <w:t>2,305,800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87" w:type="dxa"/>
                <w:gridSpan w:val="2"/>
                <w:vAlign w:val="center"/>
              </w:tcPr>
              <w:p>
                <w:pPr>
                  <w:jc w:val="center"/>
                  <w:rPr>
                    <w:color w:val="FF9900"/>
                    <w:szCs w:val="21"/>
                  </w:rPr>
                </w:pPr>
                <w:r>
                  <w:rPr>
                    <w:rFonts w:hint="eastAsia"/>
                    <w:szCs w:val="21"/>
                  </w:rPr>
                  <w:t>李斌</w:t>
                </w:r>
              </w:p>
            </w:tc>
            <w:tc>
              <w:tcPr>
                <w:tcW w:w="3178" w:type="dxa"/>
                <w:gridSpan w:val="3"/>
                <w:vAlign w:val="center"/>
              </w:tcPr>
              <w:p>
                <w:pPr>
                  <w:jc w:val="center"/>
                  <w:rPr>
                    <w:szCs w:val="21"/>
                  </w:rPr>
                </w:pPr>
                <w:r>
                  <w:rPr>
                    <w:rFonts w:hint="eastAsia"/>
                    <w:color w:val="auto"/>
                  </w:rPr>
                  <w:t>2,069,000</w:t>
                </w:r>
              </w:p>
            </w:tc>
            <w:tc>
              <w:tcPr>
                <w:tcW w:w="1530" w:type="dxa"/>
                <w:gridSpan w:val="2"/>
                <w:vAlign w:val="center"/>
              </w:tcPr>
              <w:p>
                <w:pPr>
                  <w:jc w:val="center"/>
                  <w:rPr>
                    <w:bCs/>
                    <w:szCs w:val="21"/>
                  </w:rPr>
                </w:pPr>
                <w:r>
                  <w:rPr>
                    <w:rFonts w:hint="eastAsia"/>
                    <w:bCs/>
                    <w:szCs w:val="21"/>
                  </w:rPr>
                  <w:t>人民币普通股</w:t>
                </w:r>
              </w:p>
            </w:tc>
            <w:tc>
              <w:tcPr>
                <w:tcW w:w="1436" w:type="dxa"/>
                <w:vAlign w:val="center"/>
              </w:tcPr>
              <w:p>
                <w:pPr>
                  <w:jc w:val="center"/>
                  <w:rPr>
                    <w:szCs w:val="21"/>
                  </w:rPr>
                </w:pPr>
                <w:r>
                  <w:rPr>
                    <w:rFonts w:hint="eastAsia"/>
                    <w:color w:val="auto"/>
                  </w:rPr>
                  <w:t>2,069,000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87" w:type="dxa"/>
                <w:gridSpan w:val="2"/>
                <w:vAlign w:val="center"/>
              </w:tcPr>
              <w:p>
                <w:pPr>
                  <w:jc w:val="center"/>
                  <w:rPr>
                    <w:szCs w:val="21"/>
                  </w:rPr>
                </w:pPr>
                <w:r>
                  <w:rPr>
                    <w:rFonts w:hint="eastAsia"/>
                  </w:rPr>
                  <w:t>前十名股东中回购专户情况说明</w:t>
                </w:r>
              </w:p>
            </w:tc>
            <w:tc>
              <w:tcPr>
                <w:tcW w:w="6144" w:type="dxa"/>
                <w:gridSpan w:val="6"/>
                <w:vAlign w:val="center"/>
              </w:tcPr>
              <w:p>
                <w:pPr>
                  <w:jc w:val="left"/>
                  <w:rPr>
                    <w:szCs w:val="21"/>
                  </w:rPr>
                </w:pPr>
                <w:r>
                  <w:rPr>
                    <w:rFonts w:hint="eastAsia"/>
                    <w:color w:val="auto"/>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87" w:type="dxa"/>
                <w:gridSpan w:val="2"/>
                <w:vAlign w:val="center"/>
              </w:tcPr>
              <w:p>
                <w:pPr>
                  <w:jc w:val="center"/>
                </w:pPr>
                <w:r>
                  <w:rPr>
                    <w:szCs w:val="21"/>
                  </w:rPr>
                  <w:t>上述股东</w:t>
                </w:r>
                <w:r>
                  <w:rPr>
                    <w:rFonts w:hint="eastAsia"/>
                    <w:szCs w:val="21"/>
                  </w:rPr>
                  <w:t>委托表决权、受托表决权、放弃表决权</w:t>
                </w:r>
                <w:r>
                  <w:rPr>
                    <w:szCs w:val="21"/>
                  </w:rPr>
                  <w:t>的说明</w:t>
                </w:r>
              </w:p>
            </w:tc>
            <w:tc>
              <w:tcPr>
                <w:tcW w:w="6144" w:type="dxa"/>
                <w:gridSpan w:val="6"/>
                <w:vAlign w:val="center"/>
              </w:tcPr>
              <w:p>
                <w:pPr>
                  <w:jc w:val="left"/>
                  <w:rPr>
                    <w:szCs w:val="21"/>
                  </w:rPr>
                </w:pPr>
                <w:r>
                  <w:rPr>
                    <w:rFonts w:hint="eastAsia"/>
                    <w:color w:val="auto"/>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87" w:type="dxa"/>
                <w:gridSpan w:val="2"/>
                <w:vAlign w:val="center"/>
              </w:tcPr>
              <w:p>
                <w:pPr>
                  <w:jc w:val="center"/>
                  <w:rPr>
                    <w:szCs w:val="21"/>
                  </w:rPr>
                </w:pPr>
                <w:r>
                  <w:rPr>
                    <w:szCs w:val="21"/>
                  </w:rPr>
                  <w:t>上述股东关联关系或一致行动的说明</w:t>
                </w:r>
              </w:p>
            </w:tc>
            <w:tc>
              <w:tcPr>
                <w:tcW w:w="6144" w:type="dxa"/>
                <w:gridSpan w:val="6"/>
                <w:vAlign w:val="center"/>
              </w:tcPr>
              <w:p>
                <w:pPr>
                  <w:jc w:val="both"/>
                  <w:rPr>
                    <w:szCs w:val="21"/>
                  </w:rPr>
                </w:pPr>
                <w:r>
                  <w:rPr>
                    <w:rFonts w:hint="eastAsia"/>
                    <w:color w:val="auto"/>
                  </w:rPr>
                  <w:t>截至本报告期末，公司前10名股东中，广西柳州市产业投资发展集团有限公司、柳州市经发投资有限责任公司、柳州市元宏投资发展有限公司的实际控制人均为柳州市人民政府国有资产监督管理委员会；除此之外，公司未知其他股东之间的关联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87" w:type="dxa"/>
                <w:gridSpan w:val="2"/>
                <w:vAlign w:val="center"/>
              </w:tcPr>
              <w:p>
                <w:pPr>
                  <w:jc w:val="center"/>
                  <w:rPr>
                    <w:szCs w:val="21"/>
                  </w:rPr>
                </w:pPr>
                <w:r>
                  <w:rPr>
                    <w:rFonts w:hint="eastAsia"/>
                    <w:szCs w:val="21"/>
                  </w:rPr>
                  <w:t>表决权恢复的优先股股东及持股数量的说明</w:t>
                </w:r>
              </w:p>
            </w:tc>
            <w:tc>
              <w:tcPr>
                <w:tcW w:w="6144" w:type="dxa"/>
                <w:gridSpan w:val="6"/>
                <w:vAlign w:val="center"/>
              </w:tcPr>
              <w:p>
                <w:pPr>
                  <w:jc w:val="left"/>
                  <w:rPr>
                    <w:szCs w:val="21"/>
                  </w:rPr>
                </w:pPr>
                <w:r>
                  <w:rPr>
                    <w:rFonts w:hint="eastAsia"/>
                    <w:color w:val="auto"/>
                  </w:rPr>
                  <w:t>无</w:t>
                </w:r>
              </w:p>
            </w:tc>
          </w:tr>
        </w:tbl>
        <w:p>
          <w:pPr>
            <w:rPr>
              <w:szCs w:val="21"/>
            </w:rPr>
          </w:pPr>
        </w:p>
      </w:sdtContent>
    </w:sdt>
    <w:sdt>
      <w:sdtPr>
        <w:rPr>
          <w:szCs w:val="21"/>
        </w:rPr>
        <w:alias w:val="模块:前十名股东参与转融通业务出借股份情况"/>
        <w:tag w:val="_SEC_2aa418e81a7b492a9289301411b25fb1"/>
        <w:id w:val="6337"/>
        <w:placeholder>
          <w:docPart w:val="GBC22222222222222222222222222222"/>
        </w:placeholder>
      </w:sdtPr>
      <w:sdtEndPr>
        <w:rPr>
          <w:szCs w:val="20"/>
        </w:rPr>
      </w:sdtEndPr>
      <w:sdtContent>
        <w:p>
          <w:pPr>
            <w:rPr>
              <w:szCs w:val="21"/>
            </w:rPr>
          </w:pPr>
          <w:bookmarkStart w:id="158" w:name="_Hlk155094173"/>
          <w:r>
            <w:rPr>
              <w:szCs w:val="21"/>
            </w:rPr>
            <w:t>持</w:t>
          </w:r>
          <w:r>
            <w:rPr>
              <w:rFonts w:hint="eastAsia"/>
            </w:rPr>
            <w:t>股</w:t>
          </w:r>
          <w:r>
            <w:t>5%以上股东、前十名股东及前十名无限售流通股股东参与转融通业务出借股份情</w:t>
          </w:r>
          <w:r>
            <w:rPr>
              <w:rFonts w:hint="eastAsia"/>
              <w:szCs w:val="21"/>
            </w:rPr>
            <w:t>况</w:t>
          </w:r>
        </w:p>
        <w:sdt>
          <w:sdtPr>
            <w:rPr>
              <w:bCs/>
              <w:szCs w:val="21"/>
            </w:rPr>
            <w:alias w:val="是否适用：前十名股东参与转融通业务出借股份情况[双击切换]"/>
            <w:tag w:val="_GBC_2d74b1abb153475cb0679c2ab4305c0d"/>
            <w:id w:val="6338"/>
            <w:placeholder>
              <w:docPart w:val="GBC22222222222222222222222222222"/>
            </w:placeholder>
          </w:sdtPr>
          <w:sdtEndPr>
            <w:rPr>
              <w:bCs/>
              <w:szCs w:val="21"/>
            </w:rPr>
          </w:sdtEndPr>
          <w:sdtContent>
            <w:p>
              <w:pPr>
                <w:rPr>
                  <w:bCs/>
                  <w:szCs w:val="21"/>
                </w:rPr>
              </w:pPr>
              <w:r>
                <w:rPr>
                  <w:rFonts w:ascii="宋体" w:hAnsi="宋体"/>
                  <w:bCs/>
                  <w:szCs w:val="21"/>
                </w:rPr>
                <w:fldChar w:fldCharType="begin"/>
              </w:r>
              <w:r>
                <w:rPr>
                  <w:rFonts w:ascii="宋体" w:hAnsi="宋体"/>
                  <w:bCs/>
                  <w:szCs w:val="21"/>
                </w:rPr>
                <w:instrText xml:space="preserve"> MACROBUTTON  SnrToggleCheckbox □适用 </w:instrText>
              </w:r>
              <w:r>
                <w:rPr>
                  <w:rFonts w:ascii="宋体" w:hAnsi="宋体"/>
                  <w:bCs/>
                  <w:szCs w:val="21"/>
                </w:rPr>
                <w:fldChar w:fldCharType="end"/>
              </w:r>
              <w:r>
                <w:rPr>
                  <w:rFonts w:ascii="宋体" w:hAnsi="宋体"/>
                  <w:bCs/>
                  <w:szCs w:val="21"/>
                </w:rPr>
                <w:fldChar w:fldCharType="begin"/>
              </w:r>
              <w:r>
                <w:rPr>
                  <w:rFonts w:ascii="宋体" w:hAnsi="宋体"/>
                  <w:bCs/>
                  <w:szCs w:val="21"/>
                </w:rPr>
                <w:instrText xml:space="preserve"> MACROBUTTON  SnrToggleCheckbox √不适用 </w:instrText>
              </w:r>
              <w:r>
                <w:rPr>
                  <w:rFonts w:ascii="宋体" w:hAnsi="宋体"/>
                  <w:bCs/>
                  <w:szCs w:val="21"/>
                </w:rPr>
                <w:fldChar w:fldCharType="end"/>
              </w:r>
            </w:p>
          </w:sdtContent>
        </w:sdt>
        <w:p/>
      </w:sdtContent>
    </w:sdt>
    <w:bookmarkEnd w:id="158"/>
    <w:sdt>
      <w:sdtPr>
        <w:rPr>
          <w:szCs w:val="21"/>
        </w:rPr>
        <w:alias w:val="模块:前十名股东较上期发生变化"/>
        <w:tag w:val="_SEC_89da1ac3c7fa41c7b4d5071d37ba83dd"/>
        <w:id w:val="6339"/>
        <w:placeholder>
          <w:docPart w:val="GBC22222222222222222222222222222"/>
        </w:placeholder>
      </w:sdtPr>
      <w:sdtEndPr>
        <w:rPr>
          <w:szCs w:val="21"/>
        </w:rPr>
      </w:sdtEndPr>
      <w:sdtContent>
        <w:p>
          <w:pPr>
            <w:rPr>
              <w:szCs w:val="21"/>
            </w:rPr>
          </w:pPr>
          <w:bookmarkStart w:id="159" w:name="_Hlk155094189"/>
          <w:r>
            <w:rPr>
              <w:szCs w:val="21"/>
            </w:rPr>
            <w:t>前十名</w:t>
          </w:r>
          <w:r>
            <w:t>股东及前</w:t>
          </w:r>
          <w:r>
            <w:rPr>
              <w:rFonts w:hint="eastAsia"/>
            </w:rPr>
            <w:t>十</w:t>
          </w:r>
          <w:r>
            <w:t>名无限售流通股股东因转融通出借/归还原因导致较上期发生变化</w:t>
          </w:r>
        </w:p>
        <w:sdt>
          <w:sdtPr>
            <w:rPr>
              <w:rFonts w:hint="eastAsia"/>
              <w:szCs w:val="21"/>
            </w:rPr>
            <w:alias w:val="是否适用：前十名股东较上期发生变化[双击切换]"/>
            <w:tag w:val="_GBC_610830f75bf04d59a67019ded47646e5"/>
            <w:id w:val="6340"/>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sdtContent>
    </w:sdt>
    <w:bookmarkEnd w:id="159"/>
    <w:sdt>
      <w:sdtPr>
        <w:rPr>
          <w:szCs w:val="21"/>
        </w:rPr>
        <w:alias w:val="模块:前十名有限售条件股东持股数量及限售条件"/>
        <w:tag w:val="_SEC_c21b1528668149758e4c34b6a4215178"/>
        <w:id w:val="6341"/>
        <w:placeholder>
          <w:docPart w:val="GBC22222222222222222222222222222"/>
        </w:placeholder>
      </w:sdtPr>
      <w:sdtEndPr>
        <w:rPr>
          <w:szCs w:val="21"/>
        </w:rPr>
      </w:sdtEndPr>
      <w:sdtContent>
        <w:p>
          <w:pPr>
            <w:rPr>
              <w:szCs w:val="21"/>
            </w:rPr>
          </w:pPr>
          <w:r>
            <w:rPr>
              <w:szCs w:val="21"/>
            </w:rPr>
            <w:t>前十名有限售条件股东持股数量及限售条件</w:t>
          </w:r>
        </w:p>
        <w:sdt>
          <w:sdtPr>
            <w:rPr>
              <w:bCs/>
              <w:szCs w:val="21"/>
            </w:rPr>
            <w:alias w:val="是否适用：前十名有限售条件股东持股数量及限售条件[双击切换]"/>
            <w:tag w:val="_GBC_99ceff37849a42f4b21400880589fbc1"/>
            <w:id w:val="6342"/>
            <w:placeholder>
              <w:docPart w:val="GBC22222222222222222222222222222"/>
            </w:placeholder>
          </w:sdtPr>
          <w:sdtEndPr>
            <w:rPr>
              <w:bCs/>
              <w:szCs w:val="21"/>
            </w:rPr>
          </w:sdtEndPr>
          <w:sdtContent>
            <w:p>
              <w:pPr>
                <w:rPr>
                  <w:bCs/>
                  <w:szCs w:val="21"/>
                </w:rPr>
              </w:pPr>
              <w:r>
                <w:rPr>
                  <w:rFonts w:ascii="宋体" w:hAnsi="宋体"/>
                  <w:bCs/>
                  <w:szCs w:val="21"/>
                </w:rPr>
                <w:fldChar w:fldCharType="begin"/>
              </w:r>
              <w:r>
                <w:rPr>
                  <w:rFonts w:hint="eastAsia" w:ascii="宋体" w:hAnsi="宋体"/>
                  <w:bCs/>
                  <w:szCs w:val="21"/>
                </w:rPr>
                <w:instrText xml:space="preserve">MACROBUTTON  SnrToggleCheckbox □适用 </w:instrText>
              </w:r>
              <w:r>
                <w:rPr>
                  <w:rFonts w:ascii="宋体" w:hAnsi="宋体"/>
                  <w:bCs/>
                  <w:szCs w:val="21"/>
                </w:rPr>
                <w:fldChar w:fldCharType="end"/>
              </w:r>
              <w:r>
                <w:rPr>
                  <w:rFonts w:ascii="宋体" w:hAnsi="宋体"/>
                  <w:bCs/>
                  <w:szCs w:val="21"/>
                </w:rPr>
                <w:fldChar w:fldCharType="begin"/>
              </w:r>
              <w:r>
                <w:rPr>
                  <w:rFonts w:ascii="宋体" w:hAnsi="宋体"/>
                  <w:bCs/>
                  <w:szCs w:val="21"/>
                </w:rPr>
                <w:instrText xml:space="preserve"> MACROBUTTON  SnrToggleCheckbox √不适用 </w:instrText>
              </w:r>
              <w:r>
                <w:rPr>
                  <w:rFonts w:ascii="宋体" w:hAnsi="宋体"/>
                  <w:bCs/>
                  <w:szCs w:val="21"/>
                </w:rPr>
                <w:fldChar w:fldCharType="end"/>
              </w:r>
            </w:p>
          </w:sdtContent>
        </w:sdt>
        <w:p>
          <w:pPr>
            <w:rPr>
              <w:szCs w:val="21"/>
            </w:rPr>
          </w:pPr>
        </w:p>
      </w:sdtContent>
    </w:sdt>
    <w:bookmarkEnd w:id="157"/>
    <w:p>
      <w:pPr>
        <w:pStyle w:val="4"/>
        <w:numPr>
          <w:ilvl w:val="1"/>
          <w:numId w:val="47"/>
        </w:numPr>
        <w:ind w:left="426" w:hanging="426"/>
        <w:rPr>
          <w:szCs w:val="21"/>
        </w:rPr>
      </w:pPr>
      <w:bookmarkStart w:id="160" w:name="_Hlk89352705"/>
      <w:bookmarkEnd w:id="160"/>
      <w:r>
        <w:rPr>
          <w:szCs w:val="21"/>
        </w:rPr>
        <w:t>战略投资者或一般法人因配售新股成为前10名股东</w:t>
      </w:r>
    </w:p>
    <w:sdt>
      <w:sdtPr>
        <w:alias w:val="是否适用：战略投资者或一般法人因配售新股成为前10名股东[双击切换]"/>
        <w:tag w:val="_GBC_f3c63aafb8134fdcbdeb39fd33c2cd8d"/>
        <w:id w:val="6343"/>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sdt>
      <w:sdtPr>
        <w:tag w:val="_PLD_6990f30001e84ab0843b7d7dae51be33"/>
        <w:id w:val="6344"/>
      </w:sdtPr>
      <w:sdtContent>
        <w:p>
          <w:pPr>
            <w:pStyle w:val="3"/>
            <w:numPr>
              <w:ilvl w:val="0"/>
              <w:numId w:val="43"/>
            </w:numPr>
          </w:pPr>
          <w:r>
            <w:rPr>
              <w:rFonts w:hint="eastAsia"/>
            </w:rPr>
            <w:t>控股股东及实际控制人情况</w:t>
          </w:r>
        </w:p>
      </w:sdtContent>
    </w:sdt>
    <w:p>
      <w:pPr>
        <w:pStyle w:val="4"/>
        <w:numPr>
          <w:ilvl w:val="0"/>
          <w:numId w:val="48"/>
        </w:numPr>
      </w:pPr>
      <w:r>
        <w:t>控股股东情况</w:t>
      </w:r>
    </w:p>
    <w:p>
      <w:pPr>
        <w:pStyle w:val="5"/>
        <w:numPr>
          <w:ilvl w:val="0"/>
          <w:numId w:val="49"/>
        </w:numPr>
        <w:rPr>
          <w:rFonts w:hint="eastAsia"/>
        </w:rPr>
      </w:pPr>
      <w:r>
        <w:t>法人</w:t>
      </w:r>
    </w:p>
    <w:sdt>
      <w:sdtPr>
        <w:alias w:val="是否适用：法人_控股股东情况[双击切换]"/>
        <w:tag w:val="_GBC_eab2d7c8478645dbae996b49d203b0d9"/>
        <w:id w:val="6345"/>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9"/>
        <w:gridCol w:w="5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3369" w:type="dxa"/>
            <w:vAlign w:val="center"/>
          </w:tcPr>
          <w:sdt>
            <w:sdtPr>
              <w:tag w:val="_PLD_e1d45d230e0e4c06bc451af63b51d4e2"/>
              <w:id w:val="6346"/>
            </w:sdtPr>
            <w:sdtContent>
              <w:p>
                <w:pPr>
                  <w:widowControl w:val="0"/>
                  <w:jc w:val="both"/>
                  <w:rPr>
                    <w:szCs w:val="21"/>
                  </w:rPr>
                </w:pPr>
                <w:r>
                  <w:rPr>
                    <w:rFonts w:hint="eastAsia"/>
                    <w:szCs w:val="21"/>
                  </w:rPr>
                  <w:t>名称</w:t>
                </w:r>
              </w:p>
            </w:sdtContent>
          </w:sdt>
        </w:tc>
        <w:tc>
          <w:tcPr>
            <w:tcW w:w="5680" w:type="dxa"/>
            <w:vAlign w:val="center"/>
          </w:tcPr>
          <w:sdt>
            <w:sdtPr>
              <w:rPr>
                <w:rFonts w:hint="eastAsia"/>
                <w:szCs w:val="21"/>
              </w:rPr>
              <w:alias w:val="法人控股股东名称"/>
              <w:tag w:val="_GBC_b9697fb9b1e247b58382e6e5a1fdba0f"/>
              <w:id w:val="6347"/>
            </w:sdtPr>
            <w:sdtEndPr>
              <w:rPr>
                <w:rFonts w:hint="eastAsia"/>
                <w:szCs w:val="21"/>
              </w:rPr>
            </w:sdtEndPr>
            <w:sdtContent>
              <w:p>
                <w:pPr>
                  <w:widowControl w:val="0"/>
                  <w:jc w:val="both"/>
                  <w:rPr>
                    <w:szCs w:val="21"/>
                  </w:rPr>
                </w:pPr>
                <w:r>
                  <w:rPr>
                    <w:rFonts w:hint="eastAsia"/>
                    <w:szCs w:val="21"/>
                  </w:rPr>
                  <w:t>广西柳州市产业投资发展集团有限公司</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3369" w:type="dxa"/>
            <w:vAlign w:val="center"/>
          </w:tcPr>
          <w:p>
            <w:pPr>
              <w:widowControl w:val="0"/>
              <w:jc w:val="both"/>
              <w:rPr>
                <w:szCs w:val="21"/>
              </w:rPr>
            </w:pPr>
            <w:r>
              <w:rPr>
                <w:rFonts w:hint="eastAsia"/>
                <w:szCs w:val="21"/>
              </w:rPr>
              <w:t>单位负责人或法定代表人</w:t>
            </w:r>
          </w:p>
        </w:tc>
        <w:tc>
          <w:tcPr>
            <w:tcW w:w="5680" w:type="dxa"/>
            <w:vAlign w:val="center"/>
          </w:tcPr>
          <w:p>
            <w:pPr>
              <w:widowControl w:val="0"/>
              <w:jc w:val="both"/>
              <w:rPr>
                <w:szCs w:val="21"/>
              </w:rPr>
            </w:pPr>
            <w:r>
              <w:rPr>
                <w:rFonts w:hint="eastAsia"/>
                <w:color w:val="auto"/>
                <w:szCs w:val="21"/>
              </w:rPr>
              <w:t>周云祥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3369" w:type="dxa"/>
            <w:vAlign w:val="center"/>
          </w:tcPr>
          <w:p>
            <w:pPr>
              <w:widowControl w:val="0"/>
              <w:jc w:val="both"/>
              <w:rPr>
                <w:szCs w:val="21"/>
              </w:rPr>
            </w:pPr>
            <w:r>
              <w:rPr>
                <w:rFonts w:hint="eastAsia"/>
                <w:szCs w:val="21"/>
              </w:rPr>
              <w:t>成立日期</w:t>
            </w:r>
          </w:p>
        </w:tc>
        <w:tc>
          <w:tcPr>
            <w:tcW w:w="5680" w:type="dxa"/>
            <w:vAlign w:val="center"/>
          </w:tcPr>
          <w:p>
            <w:pPr>
              <w:widowControl w:val="0"/>
              <w:jc w:val="both"/>
              <w:rPr>
                <w:szCs w:val="21"/>
              </w:rPr>
            </w:pPr>
            <w:r>
              <w:rPr>
                <w:rFonts w:hint="eastAsia"/>
                <w:color w:val="auto"/>
                <w:szCs w:val="21"/>
              </w:rPr>
              <w:t>2009年8月28日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3369" w:type="dxa"/>
            <w:vAlign w:val="center"/>
          </w:tcPr>
          <w:p>
            <w:pPr>
              <w:widowControl w:val="0"/>
              <w:jc w:val="both"/>
              <w:rPr>
                <w:szCs w:val="21"/>
              </w:rPr>
            </w:pPr>
            <w:r>
              <w:rPr>
                <w:rFonts w:hint="eastAsia"/>
                <w:szCs w:val="21"/>
              </w:rPr>
              <w:t>主要经营业务</w:t>
            </w:r>
          </w:p>
        </w:tc>
        <w:tc>
          <w:tcPr>
            <w:tcW w:w="5680" w:type="dxa"/>
            <w:vAlign w:val="center"/>
          </w:tcPr>
          <w:p>
            <w:pPr>
              <w:widowControl w:val="0"/>
              <w:jc w:val="both"/>
              <w:rPr>
                <w:szCs w:val="21"/>
              </w:rPr>
            </w:pPr>
            <w:r>
              <w:rPr>
                <w:rFonts w:hint="eastAsia"/>
                <w:color w:val="auto"/>
                <w:szCs w:val="21"/>
              </w:rPr>
              <w:t>一般项目：以自有资金从事投资活动；企业总部管理；社会经济咨询服务；非居住房地产租赁；住房租赁；土地整治服务；园区管理服务；租赁服务（不含许可类租赁服务）；创业投资（限投资未上市企业）（除依法须经批准的项目外，凭营业执照依法自主开展经营活动）许可项目：建设工程施工（依法须经批准的项目，经相关部门批准后方可开展经营活动，具体经营项目以相关部门批准文件或许可证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3369" w:type="dxa"/>
            <w:vAlign w:val="center"/>
          </w:tcPr>
          <w:p>
            <w:pPr>
              <w:widowControl w:val="0"/>
              <w:jc w:val="both"/>
              <w:rPr>
                <w:szCs w:val="21"/>
              </w:rPr>
            </w:pPr>
            <w:r>
              <w:rPr>
                <w:rFonts w:hint="eastAsia"/>
                <w:szCs w:val="21"/>
              </w:rPr>
              <w:t>报告期内控股和参股的其他境内外上市公司的股权情况</w:t>
            </w:r>
          </w:p>
        </w:tc>
        <w:tc>
          <w:tcPr>
            <w:tcW w:w="5680" w:type="dxa"/>
            <w:vAlign w:val="center"/>
          </w:tcPr>
          <w:p>
            <w:pPr>
              <w:widowControl w:val="0"/>
              <w:jc w:val="both"/>
              <w:rPr>
                <w:szCs w:val="21"/>
              </w:rPr>
            </w:pPr>
            <w:r>
              <w:rPr>
                <w:rFonts w:hint="eastAsia"/>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3369" w:type="dxa"/>
            <w:vAlign w:val="center"/>
          </w:tcPr>
          <w:p>
            <w:pPr>
              <w:widowControl w:val="0"/>
              <w:jc w:val="both"/>
            </w:pPr>
            <w:r>
              <w:rPr>
                <w:rFonts w:hint="eastAsia"/>
              </w:rPr>
              <w:t>其他情况说明</w:t>
            </w:r>
          </w:p>
        </w:tc>
        <w:tc>
          <w:tcPr>
            <w:tcW w:w="5680" w:type="dxa"/>
            <w:vAlign w:val="center"/>
          </w:tcPr>
          <w:p>
            <w:pPr>
              <w:widowControl w:val="0"/>
              <w:jc w:val="both"/>
            </w:pPr>
            <w:r>
              <w:rPr>
                <w:rFonts w:hint="eastAsia"/>
                <w:color w:val="auto"/>
              </w:rPr>
              <w:t>无</w:t>
            </w:r>
          </w:p>
        </w:tc>
      </w:tr>
    </w:tbl>
    <w:p/>
    <w:p>
      <w:pPr>
        <w:pStyle w:val="5"/>
        <w:numPr>
          <w:ilvl w:val="0"/>
          <w:numId w:val="49"/>
        </w:numPr>
        <w:rPr>
          <w:rFonts w:hint="eastAsia"/>
        </w:rPr>
      </w:pPr>
      <w:r>
        <w:t>自然人</w:t>
      </w:r>
    </w:p>
    <w:sdt>
      <w:sdtPr>
        <w:alias w:val="是否适用：自然人_控股股东情况[双击切换]"/>
        <w:tag w:val="_GBC_050e33c59070475b9b048117126cc6ba"/>
        <w:id w:val="6348"/>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
        <w:numPr>
          <w:ilvl w:val="0"/>
          <w:numId w:val="49"/>
        </w:numPr>
        <w:rPr>
          <w:rFonts w:hint="eastAsia"/>
        </w:rPr>
      </w:pPr>
      <w:r>
        <w:rPr>
          <w:rFonts w:hint="eastAsia"/>
        </w:rPr>
        <w:t>公司不存在控股股东情况的特别说明</w:t>
      </w:r>
    </w:p>
    <w:sdt>
      <w:sdtPr>
        <w:rPr>
          <w:rFonts w:hint="eastAsia"/>
          <w:szCs w:val="21"/>
        </w:rPr>
        <w:alias w:val="是否适用：公司不存在控股股东情况的特别说明[双击切换]"/>
        <w:tag w:val="_GBC_2c420ad8f9bd455b89ad3a0d10597af2"/>
        <w:id w:val="6349"/>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5"/>
        <w:numPr>
          <w:ilvl w:val="0"/>
          <w:numId w:val="49"/>
        </w:numPr>
        <w:rPr>
          <w:rFonts w:hint="eastAsia"/>
        </w:rPr>
      </w:pPr>
      <w:r>
        <w:rPr>
          <w:rFonts w:hint="eastAsia"/>
        </w:rPr>
        <w:t>报告期内控股股东变更情况的说明</w:t>
      </w:r>
    </w:p>
    <w:sdt>
      <w:sdtPr>
        <w:rPr>
          <w:rFonts w:hint="eastAsia"/>
          <w:szCs w:val="21"/>
        </w:rPr>
        <w:alias w:val="是否适用：报告期内控股股东变更情况的说明[双击切换]"/>
        <w:tag w:val="_GBC_ba32d923117643d78736fd77472e578b"/>
        <w:id w:val="6350"/>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pStyle w:val="5"/>
        <w:numPr>
          <w:ilvl w:val="0"/>
          <w:numId w:val="49"/>
        </w:numPr>
        <w:rPr>
          <w:rFonts w:hint="eastAsia"/>
        </w:rPr>
      </w:pPr>
      <w:r>
        <w:rPr>
          <w:rFonts w:hint="eastAsia"/>
        </w:rPr>
        <w:t>公司与控股股东之间的产权及控制关系的方框图</w:t>
      </w:r>
    </w:p>
    <w:sdt>
      <w:sdtPr>
        <w:alias w:val="是否适用：公司与控股股东之间的产权及控制关系的方框图[双击切换]"/>
        <w:tag w:val="_GBC_aa1ed4124bd443219ac5782763143cd7"/>
        <w:id w:val="6351"/>
        <w:placeholder>
          <w:docPart w:val="GBC22222222222222222222222222222"/>
        </w:placeholder>
      </w:sdt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hint="eastAsia" w:ascii="宋体" w:hAnsi="宋体"/>
              <w:szCs w:val="21"/>
            </w:rPr>
            <w:instrText xml:space="preserve"> MACROBUTTON  SnrToggleCheckbox □不适用 </w:instrText>
          </w:r>
          <w:r>
            <w:rPr>
              <w:rFonts w:ascii="宋体" w:hAnsi="宋体"/>
              <w:szCs w:val="21"/>
            </w:rPr>
            <w:fldChar w:fldCharType="end"/>
          </w:r>
        </w:p>
      </w:sdtContent>
    </w:sdt>
    <w:sdt>
      <w:sdtPr>
        <w:rPr>
          <w:rFonts w:hint="eastAsia"/>
          <w:szCs w:val="21"/>
        </w:rPr>
        <w:alias w:val="图片：公司与控股股东之间的产权及控制关系的方框图"/>
        <w:tag w:val="_GBC_237afe95a2de48a5baec021682951b46"/>
        <w:id w:val="6352"/>
        <w:placeholder>
          <w:docPart w:val="GBC22222222222222222222222222222"/>
        </w:placeholder>
        <w:picture/>
      </w:sdtPr>
      <w:sdtEndPr>
        <w:rPr>
          <w:rFonts w:hint="eastAsia"/>
          <w:szCs w:val="21"/>
        </w:rPr>
      </w:sdtEndPr>
      <w:sdtContent>
        <w:p>
          <w:pPr>
            <w:rPr>
              <w:szCs w:val="21"/>
            </w:rPr>
          </w:pPr>
          <w:r>
            <w:rPr>
              <w:rFonts w:hint="eastAsia"/>
              <w:szCs w:val="21"/>
            </w:rPr>
            <w:drawing>
              <wp:inline distT="0" distB="0" distL="0" distR="0">
                <wp:extent cx="4622165" cy="306641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7" cstate="print"/>
                        <a:srcRect/>
                        <a:stretch>
                          <a:fillRect/>
                        </a:stretch>
                      </pic:blipFill>
                      <pic:spPr>
                        <a:xfrm>
                          <a:off x="0" y="0"/>
                          <a:ext cx="4622268" cy="3066866"/>
                        </a:xfrm>
                        <a:prstGeom prst="rect">
                          <a:avLst/>
                        </a:prstGeom>
                        <a:noFill/>
                        <a:ln w="9525">
                          <a:noFill/>
                          <a:miter lim="800000"/>
                          <a:headEnd/>
                          <a:tailEnd/>
                        </a:ln>
                      </pic:spPr>
                    </pic:pic>
                  </a:graphicData>
                </a:graphic>
              </wp:inline>
            </w:drawing>
          </w:r>
        </w:p>
      </w:sdtContent>
    </w:sdt>
    <w:p>
      <w:pPr>
        <w:rPr>
          <w:szCs w:val="21"/>
        </w:rPr>
      </w:pPr>
    </w:p>
    <w:p>
      <w:pPr>
        <w:pStyle w:val="4"/>
        <w:numPr>
          <w:ilvl w:val="0"/>
          <w:numId w:val="48"/>
        </w:numPr>
      </w:pPr>
      <w:r>
        <w:rPr>
          <w:rFonts w:hint="eastAsia"/>
        </w:rPr>
        <w:t>实际控制人情况</w:t>
      </w:r>
    </w:p>
    <w:p>
      <w:pPr>
        <w:pStyle w:val="5"/>
        <w:numPr>
          <w:ilvl w:val="0"/>
          <w:numId w:val="50"/>
        </w:numPr>
        <w:rPr>
          <w:rFonts w:hint="eastAsia"/>
        </w:rPr>
      </w:pPr>
      <w:r>
        <w:rPr>
          <w:rFonts w:hint="eastAsia"/>
        </w:rPr>
        <w:t>法人</w:t>
      </w:r>
    </w:p>
    <w:sdt>
      <w:sdtPr>
        <w:alias w:val="是否适用：法人_实际控制人情况[双击切换]"/>
        <w:tag w:val="_GBC_6cb3195cd6c545489bd6151d0ee57d58"/>
        <w:id w:val="6353"/>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4"/>
        <w:gridCol w:w="5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04" w:type="dxa"/>
            <w:vAlign w:val="center"/>
          </w:tcPr>
          <w:sdt>
            <w:sdtPr>
              <w:tag w:val="_PLD_9fd7942883b74d698fa4ca37d86c3d17"/>
              <w:id w:val="6354"/>
            </w:sdtPr>
            <w:sdtContent>
              <w:p>
                <w:pPr>
                  <w:widowControl w:val="0"/>
                  <w:jc w:val="both"/>
                  <w:rPr>
                    <w:szCs w:val="21"/>
                  </w:rPr>
                </w:pPr>
                <w:r>
                  <w:rPr>
                    <w:szCs w:val="21"/>
                  </w:rPr>
                  <w:t>名称</w:t>
                </w:r>
              </w:p>
            </w:sdtContent>
          </w:sdt>
        </w:tc>
        <w:tc>
          <w:tcPr>
            <w:tcW w:w="5644" w:type="dxa"/>
            <w:vAlign w:val="center"/>
          </w:tcPr>
          <w:sdt>
            <w:sdtPr>
              <w:rPr>
                <w:rFonts w:hint="eastAsia"/>
                <w:szCs w:val="21"/>
              </w:rPr>
              <w:alias w:val="法人实际控制人名称"/>
              <w:tag w:val="_GBC_09078fe67bb948e3b338136f227f90f6"/>
              <w:id w:val="6355"/>
            </w:sdtPr>
            <w:sdtEndPr>
              <w:rPr>
                <w:rFonts w:hint="eastAsia"/>
                <w:szCs w:val="21"/>
              </w:rPr>
            </w:sdtEndPr>
            <w:sdtContent>
              <w:p>
                <w:pPr>
                  <w:widowControl w:val="0"/>
                  <w:jc w:val="both"/>
                  <w:rPr>
                    <w:szCs w:val="21"/>
                  </w:rPr>
                </w:pPr>
                <w:r>
                  <w:rPr>
                    <w:rFonts w:hint="eastAsia"/>
                    <w:szCs w:val="21"/>
                  </w:rPr>
                  <w:t>柳州市人民政府国有资产监督管理委员会</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3404" w:type="dxa"/>
            <w:vAlign w:val="center"/>
          </w:tcPr>
          <w:p>
            <w:pPr>
              <w:widowControl w:val="0"/>
              <w:jc w:val="both"/>
              <w:rPr>
                <w:szCs w:val="21"/>
              </w:rPr>
            </w:pPr>
            <w:r>
              <w:rPr>
                <w:szCs w:val="21"/>
              </w:rPr>
              <w:t>单位负责人或法定代表人</w:t>
            </w:r>
          </w:p>
        </w:tc>
        <w:tc>
          <w:tcPr>
            <w:tcW w:w="5644" w:type="dxa"/>
            <w:vAlign w:val="center"/>
          </w:tcPr>
          <w:p>
            <w:pPr>
              <w:widowControl w:val="0"/>
              <w:jc w:val="both"/>
              <w:rPr>
                <w:rFonts w:hint="default" w:eastAsia="宋体"/>
                <w:szCs w:val="21"/>
                <w:lang w:val="en-US" w:eastAsia="zh-CN"/>
              </w:rPr>
            </w:pPr>
            <w:r>
              <w:rPr>
                <w:rFonts w:hint="eastAsia"/>
                <w:szCs w:val="21"/>
                <w:lang w:val="en-US" w:eastAsia="zh-CN"/>
              </w:rPr>
              <w:t>于澄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3404" w:type="dxa"/>
            <w:vAlign w:val="center"/>
          </w:tcPr>
          <w:p>
            <w:pPr>
              <w:widowControl w:val="0"/>
              <w:jc w:val="both"/>
              <w:rPr>
                <w:szCs w:val="21"/>
              </w:rPr>
            </w:pPr>
            <w:r>
              <w:rPr>
                <w:szCs w:val="21"/>
              </w:rPr>
              <w:t>成立日期</w:t>
            </w:r>
          </w:p>
        </w:tc>
        <w:tc>
          <w:tcPr>
            <w:tcW w:w="5644" w:type="dxa"/>
            <w:vAlign w:val="center"/>
          </w:tcPr>
          <w:p>
            <w:pPr>
              <w:widowControl w:val="0"/>
              <w:jc w:val="both"/>
              <w:rPr>
                <w:szCs w:val="21"/>
              </w:rPr>
            </w:pPr>
            <w:r>
              <w:rPr>
                <w:rFonts w:hint="eastAsia"/>
                <w:color w:val="auto"/>
                <w:szCs w:val="21"/>
              </w:rPr>
              <w:t>2004年10月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3404" w:type="dxa"/>
            <w:vAlign w:val="center"/>
          </w:tcPr>
          <w:p>
            <w:pPr>
              <w:widowControl w:val="0"/>
              <w:jc w:val="both"/>
              <w:rPr>
                <w:szCs w:val="21"/>
              </w:rPr>
            </w:pPr>
            <w:r>
              <w:rPr>
                <w:szCs w:val="21"/>
              </w:rPr>
              <w:t>主要经营业务</w:t>
            </w:r>
          </w:p>
        </w:tc>
        <w:tc>
          <w:tcPr>
            <w:tcW w:w="5644" w:type="dxa"/>
            <w:vAlign w:val="center"/>
          </w:tcPr>
          <w:p>
            <w:pPr>
              <w:widowControl w:val="0"/>
              <w:jc w:val="both"/>
              <w:rPr>
                <w:szCs w:val="21"/>
              </w:rPr>
            </w:pPr>
            <w:r>
              <w:rPr>
                <w:rFonts w:hint="eastAsia"/>
                <w:color w:val="auto"/>
                <w:szCs w:val="21"/>
              </w:rPr>
              <w:t>国有资产的监督和管理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3404" w:type="dxa"/>
            <w:vAlign w:val="center"/>
          </w:tcPr>
          <w:p>
            <w:pPr>
              <w:widowControl w:val="0"/>
              <w:jc w:val="both"/>
              <w:rPr>
                <w:szCs w:val="21"/>
              </w:rPr>
            </w:pPr>
            <w:r>
              <w:rPr>
                <w:szCs w:val="21"/>
              </w:rPr>
              <w:t>报告期内控股和参股的其他境内外上市公司的股权情况</w:t>
            </w:r>
          </w:p>
        </w:tc>
        <w:tc>
          <w:tcPr>
            <w:tcW w:w="5644" w:type="dxa"/>
            <w:vAlign w:val="center"/>
          </w:tcPr>
          <w:p>
            <w:pPr>
              <w:widowControl w:val="0"/>
              <w:jc w:val="both"/>
              <w:rPr>
                <w:szCs w:val="21"/>
              </w:rPr>
            </w:pPr>
            <w:r>
              <w:rPr>
                <w:rFonts w:hint="eastAsia"/>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3404" w:type="dxa"/>
            <w:vAlign w:val="center"/>
          </w:tcPr>
          <w:p>
            <w:pPr>
              <w:widowControl w:val="0"/>
              <w:jc w:val="both"/>
              <w:rPr>
                <w:szCs w:val="21"/>
              </w:rPr>
            </w:pPr>
            <w:r>
              <w:rPr>
                <w:rFonts w:hint="eastAsia"/>
              </w:rPr>
              <w:t>其他情况说明</w:t>
            </w:r>
          </w:p>
        </w:tc>
        <w:tc>
          <w:tcPr>
            <w:tcW w:w="5644" w:type="dxa"/>
            <w:vAlign w:val="center"/>
          </w:tcPr>
          <w:p>
            <w:pPr>
              <w:widowControl w:val="0"/>
              <w:jc w:val="both"/>
              <w:rPr>
                <w:szCs w:val="21"/>
              </w:rPr>
            </w:pPr>
            <w:r>
              <w:rPr>
                <w:rFonts w:hint="eastAsia"/>
                <w:color w:val="auto"/>
                <w:szCs w:val="21"/>
              </w:rPr>
              <w:t>无</w:t>
            </w:r>
          </w:p>
        </w:tc>
      </w:tr>
    </w:tbl>
    <w:p/>
    <w:p>
      <w:pPr>
        <w:pStyle w:val="5"/>
        <w:numPr>
          <w:ilvl w:val="0"/>
          <w:numId w:val="50"/>
        </w:numPr>
        <w:rPr>
          <w:rFonts w:hint="eastAsia"/>
        </w:rPr>
      </w:pPr>
      <w:r>
        <w:rPr>
          <w:rFonts w:hint="eastAsia"/>
        </w:rPr>
        <w:t>自然人</w:t>
      </w:r>
    </w:p>
    <w:sdt>
      <w:sdtPr>
        <w:alias w:val="是否适用：自然人_实际控制人情况[双击切换]"/>
        <w:tag w:val="_GBC_359229fa8cca4506ac3cec3de8b5e99b"/>
        <w:id w:val="6356"/>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pStyle w:val="5"/>
        <w:numPr>
          <w:ilvl w:val="0"/>
          <w:numId w:val="50"/>
        </w:numPr>
        <w:rPr>
          <w:rFonts w:hint="eastAsia"/>
        </w:rPr>
      </w:pPr>
      <w:r>
        <w:t>公司不存在实际控制人情况的特别说明</w:t>
      </w:r>
    </w:p>
    <w:sdt>
      <w:sdtPr>
        <w:rPr>
          <w:rFonts w:hint="eastAsia"/>
        </w:rPr>
        <w:alias w:val="是否适用：公司不存在实际控制人情况的特别说明[双击切换]"/>
        <w:tag w:val="_GBC_7380ff5e0fc6471583dc22db2252e039"/>
        <w:id w:val="6357"/>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rPr>
          <w:szCs w:val="21"/>
        </w:rPr>
      </w:pPr>
    </w:p>
    <w:p>
      <w:pPr>
        <w:pStyle w:val="5"/>
        <w:numPr>
          <w:ilvl w:val="0"/>
          <w:numId w:val="50"/>
        </w:numPr>
        <w:rPr>
          <w:rFonts w:hint="eastAsia"/>
        </w:rPr>
      </w:pPr>
      <w:r>
        <w:t>报告期内</w:t>
      </w:r>
      <w:r>
        <w:rPr>
          <w:rFonts w:hint="eastAsia"/>
        </w:rPr>
        <w:t>公司</w:t>
      </w:r>
      <w:r>
        <w:t>控制</w:t>
      </w:r>
      <w:r>
        <w:rPr>
          <w:rFonts w:hint="eastAsia"/>
        </w:rPr>
        <w:t>权发生</w:t>
      </w:r>
      <w:r>
        <w:t>变更</w:t>
      </w:r>
      <w:r>
        <w:rPr>
          <w:rFonts w:hint="eastAsia"/>
        </w:rPr>
        <w:t>的情况说明</w:t>
      </w:r>
    </w:p>
    <w:sdt>
      <w:sdtPr>
        <w:rPr>
          <w:rFonts w:hint="eastAsia"/>
        </w:rPr>
        <w:alias w:val="是否适用：报告期内公司控制权发生变更的情况说明 [双击切换]"/>
        <w:tag w:val="_GBC_f12f62e5c67e473692b22389cda35aaa"/>
        <w:id w:val="6358"/>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
        <w:numPr>
          <w:ilvl w:val="0"/>
          <w:numId w:val="50"/>
        </w:numPr>
        <w:rPr>
          <w:rFonts w:hint="eastAsia"/>
        </w:rPr>
      </w:pPr>
      <w:r>
        <w:t>公司与实际控制人之间的产权及控制关系的方框图</w:t>
      </w:r>
    </w:p>
    <w:sdt>
      <w:sdtPr>
        <w:alias w:val="是否适用：公司与实际控制人之间的产权及控制关系的方框图[双击切换]"/>
        <w:tag w:val="_GBC_8ddc5ba6a04141dc94582029460f81bd"/>
        <w:id w:val="6359"/>
        <w:placeholder>
          <w:docPart w:val="GBC22222222222222222222222222222"/>
        </w:placeholder>
      </w:sdt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hint="eastAsia" w:ascii="宋体" w:hAnsi="宋体"/>
              <w:szCs w:val="21"/>
            </w:rPr>
            <w:instrText xml:space="preserve"> MACROBUTTON  SnrToggleCheckbox □不适用 </w:instrText>
          </w:r>
          <w:r>
            <w:rPr>
              <w:rFonts w:ascii="宋体" w:hAnsi="宋体"/>
              <w:szCs w:val="21"/>
            </w:rPr>
            <w:fldChar w:fldCharType="end"/>
          </w:r>
        </w:p>
      </w:sdtContent>
    </w:sdt>
    <w:p>
      <w:sdt>
        <w:sdtPr>
          <w:rPr>
            <w:rFonts w:hint="eastAsia"/>
          </w:rPr>
          <w:alias w:val="图片：公司与实际控制人之间的产权及控制关系的方框图"/>
          <w:tag w:val="_GBC_538f0b25ae684717a3c8362262a5a004"/>
          <w:id w:val="6360"/>
          <w:placeholder>
            <w:docPart w:val="GBC22222222222222222222222222222"/>
          </w:placeholder>
          <w:picture/>
        </w:sdtPr>
        <w:sdtEndPr>
          <w:rPr>
            <w:rFonts w:hint="eastAsia"/>
          </w:rPr>
        </w:sdtEndPr>
        <w:sdtContent>
          <w:r>
            <w:rPr>
              <w:rFonts w:ascii="宋体" w:hAnsi="宋体" w:eastAsia="宋体" w:cs="宋体"/>
              <w:kern w:val="0"/>
              <w:sz w:val="24"/>
              <w:szCs w:val="24"/>
              <w:lang w:val="en-US" w:eastAsia="zh-CN" w:bidi="ar"/>
            </w:rPr>
            <w:drawing>
              <wp:inline distT="0" distB="0" distL="114300" distR="114300">
                <wp:extent cx="5486400" cy="3165475"/>
                <wp:effectExtent l="0" t="0" r="0" b="15875"/>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8"/>
                        <a:srcRect t="1967"/>
                        <a:stretch>
                          <a:fillRect/>
                        </a:stretch>
                      </pic:blipFill>
                      <pic:spPr>
                        <a:xfrm>
                          <a:off x="0" y="0"/>
                          <a:ext cx="5486400" cy="3165475"/>
                        </a:xfrm>
                        <a:prstGeom prst="rect">
                          <a:avLst/>
                        </a:prstGeom>
                        <a:noFill/>
                        <a:ln w="9525">
                          <a:noFill/>
                        </a:ln>
                      </pic:spPr>
                    </pic:pic>
                  </a:graphicData>
                </a:graphic>
              </wp:inline>
            </w:drawing>
          </w:r>
          <w:r>
            <w:rPr>
              <w:rFonts w:ascii="宋体" w:hAnsi="宋体" w:eastAsia="宋体" w:cs="宋体"/>
              <w:kern w:val="0"/>
              <w:sz w:val="24"/>
              <w:szCs w:val="24"/>
              <w:lang w:val="en-US" w:eastAsia="zh-CN" w:bidi="ar"/>
            </w:rPr>
            <w:t xml:space="preserve"> </w:t>
          </w:r>
        </w:sdtContent>
      </w:sdt>
    </w:p>
    <w:p/>
    <w:p>
      <w:pPr>
        <w:pStyle w:val="5"/>
        <w:numPr>
          <w:ilvl w:val="0"/>
          <w:numId w:val="50"/>
        </w:numPr>
        <w:rPr>
          <w:rFonts w:hint="eastAsia"/>
        </w:rPr>
      </w:pPr>
      <w:r>
        <w:t>实际控制人通过信托或其他资产管理方式控制公司</w:t>
      </w:r>
    </w:p>
    <w:sdt>
      <w:sdtPr>
        <w:rPr>
          <w:rFonts w:hint="eastAsia"/>
        </w:rPr>
        <w:alias w:val="是否适用：实际控制人通过信托或其他资产管理方式控制公司[双击切换]"/>
        <w:tag w:val="_GBC_6cf01bf708a846488d76148c9aa3a1f3"/>
        <w:id w:val="6361"/>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pStyle w:val="4"/>
        <w:numPr>
          <w:ilvl w:val="0"/>
          <w:numId w:val="48"/>
        </w:numPr>
      </w:pPr>
      <w:r>
        <w:t>控股股东及实际控制人其他情况介绍</w:t>
      </w:r>
    </w:p>
    <w:sdt>
      <w:sdtPr>
        <w:rPr>
          <w:rFonts w:hint="eastAsia"/>
        </w:rPr>
        <w:alias w:val="是否适用：控股股东及实际控制人其他情况介绍[双击切换]"/>
        <w:tag w:val="_GBC_f45ea2fa04e04b71a116fba6ba3bff32"/>
        <w:id w:val="6362"/>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3"/>
        <w:numPr>
          <w:ilvl w:val="0"/>
          <w:numId w:val="43"/>
        </w:numPr>
        <w:ind w:left="0" w:firstLine="0"/>
      </w:pPr>
      <w:bookmarkStart w:id="161" w:name="_Hlk89353035"/>
      <w:r>
        <w:t>公司控股股东或第一大股东及其一致行动人累计质押股份数量占其所持公司股份数量比例达到 80%以上</w:t>
      </w:r>
    </w:p>
    <w:sdt>
      <w:sdtPr>
        <w:rPr>
          <w:rFonts w:hint="eastAsia"/>
        </w:rPr>
        <w:alias w:val="是否适用：公司控股股东或第一大股东及其一致行动人累计质押股份数量情况明细[双击切换]"/>
        <w:tag w:val="_GBC_f07bbd5a46a94903bbea3fbbdc7b769f"/>
        <w:id w:val="6363"/>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bookmarkEnd w:id="161"/>
    <w:p>
      <w:pPr>
        <w:pStyle w:val="3"/>
        <w:numPr>
          <w:ilvl w:val="0"/>
          <w:numId w:val="43"/>
        </w:numPr>
      </w:pPr>
      <w:r>
        <w:rPr>
          <w:rFonts w:hint="eastAsia"/>
        </w:rPr>
        <w:t>其他持股在百分之十以上的法人股东</w:t>
      </w:r>
    </w:p>
    <w:sdt>
      <w:sdtPr>
        <w:alias w:val="是否适用：其他持股在百分之十以上的法人股东[双击切换]"/>
        <w:tag w:val="_GBC_7c5d05f2d72d4d3c9ef6e9b93777b39f"/>
        <w:id w:val="636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3"/>
        <w:numPr>
          <w:ilvl w:val="0"/>
          <w:numId w:val="43"/>
        </w:numPr>
      </w:pPr>
      <w:r>
        <w:rPr>
          <w:rFonts w:hint="eastAsia"/>
        </w:rPr>
        <w:t>股份限制减持情况说明</w:t>
      </w:r>
    </w:p>
    <w:p>
      <w:sdt>
        <w:sdtPr>
          <w:rPr>
            <w:rFonts w:hint="eastAsia"/>
          </w:rPr>
          <w:alias w:val="是否适用：股份限制减持情况说明[双击切换]"/>
          <w:tag w:val="_GBC_38db60098ddc4e12bffd328b521e0c35"/>
          <w:id w:val="6365"/>
          <w:placeholder>
            <w:docPart w:val="GBC22222222222222222222222222222"/>
          </w:placeholder>
        </w:sdtPr>
        <w:sdtEndPr>
          <w:rPr>
            <w:rFonts w:hint="default"/>
          </w:rPr>
        </w:sdtEndPr>
        <w:sdtContent>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p>
      <w:pPr>
        <w:pStyle w:val="3"/>
        <w:numPr>
          <w:ilvl w:val="0"/>
          <w:numId w:val="43"/>
        </w:numPr>
      </w:pPr>
      <w:bookmarkStart w:id="162" w:name="_Hlk90042255"/>
      <w:bookmarkStart w:id="163" w:name="_Hlk89353439"/>
      <w:r>
        <w:rPr>
          <w:rFonts w:hint="eastAsia"/>
        </w:rPr>
        <w:t>股份回购在报告期的具体实施情况</w:t>
      </w:r>
    </w:p>
    <w:sdt>
      <w:sdtPr>
        <w:rPr>
          <w:rFonts w:hint="eastAsia"/>
        </w:rPr>
        <w:alias w:val="是否适用：股份回购在报告期的具体实施情况[双击切换]"/>
        <w:tag w:val="_GBC_382f884c74d74cfd9a74c18c52645b0e"/>
        <w:id w:val="6366"/>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pStyle w:val="73"/>
      </w:pPr>
    </w:p>
    <w:bookmarkEnd w:id="162"/>
    <w:bookmarkEnd w:id="163"/>
    <w:sdt>
      <w:sdtPr>
        <w:tag w:val="_PLD_43c543b8aeb2485f97d7eef706a24d93"/>
        <w:id w:val="6367"/>
      </w:sdtPr>
      <w:sdtContent>
        <w:p>
          <w:pPr>
            <w:pStyle w:val="3"/>
            <w:numPr>
              <w:ilvl w:val="0"/>
              <w:numId w:val="43"/>
            </w:numPr>
            <w:rPr>
              <w:rFonts w:ascii="Calibri" w:hAnsi="Calibri"/>
              <w:szCs w:val="22"/>
            </w:rPr>
          </w:pPr>
          <w:r>
            <w:rPr>
              <w:rFonts w:hint="eastAsia" w:ascii="Calibri" w:hAnsi="Calibri"/>
              <w:szCs w:val="22"/>
            </w:rPr>
            <w:t>优先股相关情况</w:t>
          </w:r>
        </w:p>
      </w:sdtContent>
    </w:sdt>
    <w:sdt>
      <w:sdtPr>
        <w:rPr>
          <w:szCs w:val="21"/>
        </w:rPr>
        <w:alias w:val="是否适用：优先股相关情况[双击切换]"/>
        <w:tag w:val="_GBC_0076278996ac412e9bff14977615c2e3"/>
        <w:id w:val="6368"/>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bookmarkStart w:id="164" w:name="_Toc342566003"/>
    </w:p>
    <w:p>
      <w:pPr>
        <w:sectPr>
          <w:pgSz w:w="11906" w:h="16838"/>
          <w:pgMar w:top="1525" w:right="1276" w:bottom="1440" w:left="1797" w:header="855" w:footer="992" w:gutter="0"/>
          <w:cols w:space="425" w:num="1"/>
          <w:docGrid w:linePitch="312" w:charSpace="0"/>
        </w:sectPr>
      </w:pPr>
    </w:p>
    <w:bookmarkEnd w:id="164"/>
    <w:sdt>
      <w:sdtPr>
        <w:tag w:val="_PLD_547b037ba47047bea31c9741ece369b0"/>
        <w:id w:val="6369"/>
      </w:sdtPr>
      <w:sdtContent>
        <w:p>
          <w:pPr>
            <w:pStyle w:val="2"/>
            <w:numPr>
              <w:ilvl w:val="0"/>
              <w:numId w:val="2"/>
            </w:numPr>
            <w:rPr>
              <w:bCs w:val="0"/>
              <w:szCs w:val="28"/>
            </w:rPr>
          </w:pPr>
          <w:bookmarkStart w:id="165" w:name="_Toc437440717"/>
          <w:bookmarkStart w:id="166" w:name="_Toc191024262"/>
          <w:bookmarkStart w:id="167" w:name="_Hlk90555499"/>
          <w:r>
            <w:rPr>
              <w:rFonts w:hint="eastAsia"/>
              <w:bCs w:val="0"/>
              <w:szCs w:val="28"/>
            </w:rPr>
            <w:t>债券相关情况</w:t>
          </w:r>
        </w:p>
      </w:sdtContent>
    </w:sdt>
    <w:bookmarkEnd w:id="165"/>
    <w:bookmarkEnd w:id="166"/>
    <w:p>
      <w:pPr>
        <w:pStyle w:val="3"/>
        <w:numPr>
          <w:ilvl w:val="0"/>
          <w:numId w:val="51"/>
        </w:numPr>
        <w:ind w:left="425" w:hanging="425"/>
        <w:rPr>
          <w:rFonts w:hint="eastAsia" w:ascii="宋体" w:hAnsi="宋体"/>
        </w:rPr>
      </w:pPr>
      <w:bookmarkStart w:id="168" w:name="_Hlk89353982"/>
      <w:bookmarkStart w:id="169" w:name="_Hlk89955979"/>
      <w:bookmarkStart w:id="170" w:name="_Hlk90042478"/>
      <w:r>
        <w:rPr>
          <w:rFonts w:hint="eastAsia" w:ascii="宋体" w:hAnsi="宋体"/>
        </w:rPr>
        <w:t>公司债券（含企业债券）和非金融企业债务融资工具</w:t>
      </w:r>
    </w:p>
    <w:sdt>
      <w:sdtPr>
        <w:rPr>
          <w:szCs w:val="21"/>
        </w:rPr>
        <w:alias w:val="是否适用：债券相关情况[双击切换]"/>
        <w:tag w:val="_GBC_804ac0b5f8c94edbbb148299204e0a43"/>
        <w:id w:val="6370"/>
        <w:placeholder>
          <w:docPart w:val="GBC22222222222222222222222222222"/>
        </w:placeholder>
      </w:sdtPr>
      <w:sdtEndPr>
        <w:rPr>
          <w:szCs w:val="21"/>
        </w:rPr>
      </w:sdtEndPr>
      <w:sdtContent>
        <w:p>
          <w:pPr>
            <w:rPr>
              <w:szCs w:val="21"/>
            </w:rPr>
          </w:pPr>
          <w:bookmarkStart w:id="171" w:name="_Hlk73352152"/>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p>
          <w:pPr>
            <w:rPr>
              <w:szCs w:val="21"/>
            </w:rPr>
          </w:pPr>
        </w:p>
      </w:sdtContent>
    </w:sdt>
    <w:bookmarkEnd w:id="168"/>
    <w:bookmarkEnd w:id="169"/>
    <w:bookmarkEnd w:id="171"/>
    <w:sdt>
      <w:sdtPr>
        <w:tag w:val="_PLD_ff0b70dfa22946eba558ac4c860e939d"/>
        <w:id w:val="12433"/>
      </w:sdtPr>
      <w:sdtContent>
        <w:p>
          <w:pPr>
            <w:pStyle w:val="3"/>
            <w:numPr>
              <w:ilvl w:val="0"/>
              <w:numId w:val="51"/>
            </w:numPr>
            <w:ind w:left="425" w:hanging="425"/>
            <w:rPr>
              <w:rFonts w:hint="eastAsia" w:ascii="宋体" w:hAnsi="宋体"/>
            </w:rPr>
          </w:pPr>
          <w:bookmarkStart w:id="172" w:name="_Hlk56779160"/>
          <w:bookmarkEnd w:id="172"/>
          <w:bookmarkStart w:id="173" w:name="_Hlk56779376"/>
          <w:bookmarkEnd w:id="173"/>
          <w:bookmarkStart w:id="174" w:name="_Hlk56779871"/>
          <w:bookmarkEnd w:id="174"/>
          <w:r>
            <w:rPr>
              <w:rFonts w:hint="eastAsia" w:ascii="宋体" w:hAnsi="宋体"/>
            </w:rPr>
            <w:t>可转换公司债券情况</w:t>
          </w:r>
        </w:p>
      </w:sdtContent>
    </w:sdt>
    <w:sdt>
      <w:sdtPr>
        <w:rPr>
          <w:rFonts w:hint="eastAsia"/>
        </w:rPr>
        <w:alias w:val="是否适用：可转换公司债券情况[双击切换]"/>
        <w:tag w:val="_GBC_9680c57d3e6a4ee9b01aefbd4b8545db"/>
        <w:id w:val="12434"/>
        <w:placeholder>
          <w:docPart w:val="{8ce09b81-5df1-497b-9965-5c81ae235c63}"/>
        </w:placeholder>
      </w:sdtPr>
      <w:sdtEndPr>
        <w:rPr>
          <w:rFonts w:hint="eastAsia"/>
        </w:rPr>
      </w:sdtEndPr>
      <w:sdtContent>
        <w:p>
          <w:pPr>
            <w:outlineLvl w:val="9"/>
            <w:rPr>
              <w:szCs w:val="21"/>
            </w:rPr>
          </w:pPr>
          <w:r>
            <w:rPr>
              <w:rFonts w:ascii="宋体" w:hAnsi="宋体"/>
            </w:rPr>
            <w:fldChar w:fldCharType="begin"/>
          </w:r>
          <w:r>
            <w:rPr>
              <w:rFonts w:hint="eastAsia" w:ascii="宋体" w:hAnsi="宋体"/>
              <w:lang w:eastAsia="zh-CN"/>
            </w:rPr>
            <w:instrText xml:space="preserve"> MACROBUTTON  SnrToggleCheckbox □适用 </w:instrText>
          </w:r>
          <w:r>
            <w:rPr>
              <w:rFonts w:ascii="宋体" w:hAnsi="宋体"/>
            </w:rPr>
            <w:fldChar w:fldCharType="end"/>
          </w:r>
          <w:r>
            <w:rPr>
              <w:rFonts w:ascii="宋体" w:hAnsi="宋体"/>
            </w:rPr>
            <w:fldChar w:fldCharType="begin"/>
          </w:r>
          <w:r>
            <w:rPr>
              <w:rFonts w:hint="eastAsia" w:ascii="宋体" w:hAnsi="宋体"/>
              <w:lang w:eastAsia="zh-CN"/>
            </w:rPr>
            <w:instrText xml:space="preserve"> MACROBUTTON  SnrToggleCheckbox √不适用 </w:instrText>
          </w:r>
          <w:r>
            <w:rPr>
              <w:rFonts w:ascii="宋体" w:hAnsi="宋体"/>
            </w:rPr>
            <w:fldChar w:fldCharType="end"/>
          </w:r>
        </w:p>
      </w:sdtContent>
    </w:sdt>
    <w:p>
      <w:pPr>
        <w:spacing w:line="360" w:lineRule="exact"/>
        <w:ind w:right="5"/>
      </w:pPr>
    </w:p>
    <w:p>
      <w:pPr>
        <w:spacing w:line="360" w:lineRule="exact"/>
        <w:ind w:right="5"/>
      </w:pPr>
    </w:p>
    <w:p>
      <w:pPr>
        <w:spacing w:line="360" w:lineRule="exact"/>
        <w:ind w:right="5"/>
        <w:sectPr>
          <w:pgSz w:w="11906" w:h="16838"/>
          <w:pgMar w:top="1525" w:right="1276" w:bottom="1440" w:left="1797" w:header="856" w:footer="992" w:gutter="0"/>
          <w:cols w:space="425" w:num="1"/>
          <w:docGrid w:linePitch="312" w:charSpace="0"/>
        </w:sectPr>
      </w:pPr>
    </w:p>
    <w:bookmarkEnd w:id="167"/>
    <w:bookmarkEnd w:id="170"/>
    <w:p>
      <w:pPr>
        <w:spacing w:line="360" w:lineRule="exact"/>
        <w:ind w:right="5"/>
      </w:pPr>
    </w:p>
    <w:sdt>
      <w:sdtPr>
        <w:tag w:val="_PLD_c9b7f9dc873d4010a584bbbee005ad6e"/>
        <w:id w:val="6373"/>
      </w:sdtPr>
      <w:sdtContent>
        <w:p>
          <w:pPr>
            <w:pStyle w:val="2"/>
            <w:numPr>
              <w:ilvl w:val="0"/>
              <w:numId w:val="2"/>
            </w:numPr>
            <w:rPr>
              <w:bCs w:val="0"/>
              <w:szCs w:val="28"/>
            </w:rPr>
          </w:pPr>
          <w:bookmarkStart w:id="175" w:name="_Toc191024263"/>
          <w:bookmarkStart w:id="176" w:name="_Toc407111364"/>
          <w:r>
            <w:rPr>
              <w:bCs w:val="0"/>
              <w:szCs w:val="28"/>
            </w:rPr>
            <w:t>财务报告</w:t>
          </w:r>
        </w:p>
      </w:sdtContent>
    </w:sdt>
    <w:bookmarkEnd w:id="175"/>
    <w:bookmarkEnd w:id="176"/>
    <w:p>
      <w:pPr>
        <w:pStyle w:val="3"/>
        <w:numPr>
          <w:ilvl w:val="0"/>
          <w:numId w:val="52"/>
        </w:numPr>
        <w:rPr>
          <w:rFonts w:hint="eastAsia" w:ascii="宋体" w:hAnsi="宋体"/>
        </w:rPr>
      </w:pPr>
      <w:r>
        <w:rPr>
          <w:rFonts w:hint="eastAsia"/>
        </w:rPr>
        <w:t>审计报告</w:t>
      </w:r>
    </w:p>
    <w:sdt>
      <w:sdtPr>
        <w:alias w:val="是否适用：审计报告[双击切换]"/>
        <w:tag w:val="_GBC_8a37b9861aa34a8d89cae86ad0133ffb"/>
        <w:id w:val="637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sz w:val="21"/>
        </w:rPr>
        <w:alias w:val="审计报告全文"/>
        <w:tag w:val="_GBC_08aaee8d8997491cb4fc7ef77b493e65"/>
        <w:id w:val="6375"/>
        <w:placeholder>
          <w:docPart w:val="GBC22222222222222222222222222222"/>
        </w:placeholder>
      </w:sdtPr>
      <w:sdtEndPr>
        <w:rPr>
          <w:rFonts w:hint="eastAsia"/>
          <w:sz w:val="21"/>
        </w:rPr>
      </w:sdtEndPr>
      <w:sdtContent>
        <w:p>
          <w:pPr>
            <w:widowControl w:val="0"/>
            <w:spacing w:before="163" w:beforeLines="50" w:line="480" w:lineRule="exact"/>
            <w:jc w:val="center"/>
            <w:rPr>
              <w:rFonts w:ascii="Times New Roman" w:hAnsi="Times New Roman" w:eastAsia="宋体" w:cs="Arial"/>
              <w:b/>
              <w:sz w:val="21"/>
              <w:szCs w:val="48"/>
              <w:lang w:val="en-GB"/>
            </w:rPr>
          </w:pPr>
          <w:r>
            <w:rPr>
              <w:rFonts w:ascii="Times New Roman" w:hAnsi="Times New Roman" w:eastAsia="宋体" w:cs="Arial"/>
              <w:b/>
              <w:kern w:val="2"/>
              <w:sz w:val="21"/>
              <w:szCs w:val="48"/>
              <w:lang w:val="en-GB"/>
            </w:rPr>
            <w:t>审 计 报 告</w:t>
          </w:r>
        </w:p>
        <w:p>
          <w:pPr>
            <w:widowControl w:val="0"/>
            <w:spacing w:line="360" w:lineRule="atLeast"/>
            <w:jc w:val="center"/>
            <w:rPr>
              <w:rFonts w:ascii="Times New Roman" w:hAnsi="Times New Roman" w:eastAsia="宋体" w:cs="Arial"/>
              <w:sz w:val="21"/>
              <w:lang w:val="en-GB"/>
            </w:rPr>
          </w:pPr>
        </w:p>
        <w:p>
          <w:pPr>
            <w:widowControl w:val="0"/>
            <w:adjustRightInd w:val="0"/>
            <w:snapToGrid w:val="0"/>
            <w:spacing w:line="380" w:lineRule="atLeast"/>
            <w:jc w:val="right"/>
            <w:rPr>
              <w:rFonts w:ascii="Times New Roman" w:hAnsi="Times New Roman" w:eastAsia="宋体" w:cs="Arial"/>
              <w:b/>
              <w:bCs/>
              <w:kern w:val="2"/>
              <w:sz w:val="21"/>
              <w:szCs w:val="24"/>
              <w:lang w:val="en-US"/>
            </w:rPr>
          </w:pPr>
          <w:r>
            <w:rPr>
              <w:rFonts w:hint="eastAsia" w:ascii="Times New Roman" w:hAnsi="Times New Roman" w:eastAsia="宋体" w:cs="Arial"/>
              <w:b/>
              <w:bCs/>
              <w:kern w:val="2"/>
              <w:sz w:val="21"/>
              <w:szCs w:val="24"/>
              <w:lang w:val="en-US"/>
            </w:rPr>
            <w:t>中喜财审2026S00626号</w:t>
          </w:r>
        </w:p>
        <w:p>
          <w:pPr>
            <w:widowControl w:val="0"/>
            <w:adjustRightInd w:val="0"/>
            <w:snapToGrid w:val="0"/>
            <w:spacing w:line="380" w:lineRule="atLeast"/>
            <w:ind w:right="25" w:rightChars="12" w:firstLine="422" w:firstLineChars="200"/>
            <w:jc w:val="both"/>
            <w:rPr>
              <w:rFonts w:ascii="Times New Roman" w:hAnsi="Times New Roman" w:eastAsia="宋体" w:cs="Arial"/>
              <w:b/>
              <w:sz w:val="21"/>
              <w:szCs w:val="24"/>
              <w:lang w:val="en-GB"/>
            </w:rPr>
          </w:pPr>
        </w:p>
        <w:p>
          <w:pPr>
            <w:widowControl w:val="0"/>
            <w:adjustRightInd w:val="0"/>
            <w:snapToGrid w:val="0"/>
            <w:spacing w:line="380" w:lineRule="atLeast"/>
            <w:ind w:right="25" w:rightChars="12"/>
            <w:jc w:val="both"/>
            <w:rPr>
              <w:rFonts w:ascii="Times New Roman" w:hAnsi="Times New Roman" w:eastAsia="宋体" w:cs="Arial"/>
              <w:b/>
              <w:sz w:val="21"/>
              <w:szCs w:val="24"/>
              <w:lang w:val="en-GB"/>
            </w:rPr>
          </w:pPr>
          <w:r>
            <w:rPr>
              <w:rFonts w:hint="eastAsia" w:ascii="Times New Roman" w:hAnsi="Times New Roman" w:eastAsia="宋体" w:cs="Arial"/>
              <w:b/>
              <w:sz w:val="21"/>
              <w:szCs w:val="24"/>
              <w:lang w:val="en-GB"/>
            </w:rPr>
            <w:t>柳州两面针股份有限公司</w:t>
          </w:r>
          <w:r>
            <w:rPr>
              <w:rFonts w:ascii="Times New Roman" w:hAnsi="Times New Roman" w:eastAsia="宋体" w:cs="Arial"/>
              <w:b/>
              <w:sz w:val="21"/>
              <w:szCs w:val="24"/>
              <w:lang w:val="en-GB"/>
            </w:rPr>
            <w:t>全体股东：</w:t>
          </w:r>
        </w:p>
        <w:p>
          <w:pPr>
            <w:keepNext w:val="0"/>
            <w:keepLines w:val="0"/>
            <w:pageBreakBefore w:val="0"/>
            <w:widowControl w:val="0"/>
            <w:kinsoku/>
            <w:overflowPunct/>
            <w:topLinePunct w:val="0"/>
            <w:autoSpaceDE/>
            <w:autoSpaceDN/>
            <w:bidi w:val="0"/>
            <w:adjustRightInd w:val="0"/>
            <w:snapToGrid w:val="0"/>
            <w:spacing w:line="400" w:lineRule="exact"/>
            <w:ind w:right="25" w:rightChars="12"/>
            <w:jc w:val="both"/>
            <w:textAlignment w:val="auto"/>
            <w:rPr>
              <w:rFonts w:ascii="Times New Roman" w:hAnsi="Times New Roman" w:eastAsia="宋体" w:cs="Arial"/>
              <w:sz w:val="21"/>
              <w:szCs w:val="24"/>
              <w:lang w:val="en-GB"/>
            </w:rPr>
          </w:pPr>
        </w:p>
        <w:p>
          <w:pPr>
            <w:keepNext w:val="0"/>
            <w:keepLines w:val="0"/>
            <w:pageBreakBefore w:val="0"/>
            <w:kinsoku/>
            <w:overflowPunct/>
            <w:topLinePunct w:val="0"/>
            <w:autoSpaceDE/>
            <w:autoSpaceDN/>
            <w:bidi w:val="0"/>
            <w:adjustRightInd w:val="0"/>
            <w:snapToGrid w:val="0"/>
            <w:spacing w:line="400" w:lineRule="exact"/>
            <w:ind w:firstLine="422" w:firstLineChars="200"/>
            <w:jc w:val="both"/>
            <w:textAlignment w:val="auto"/>
            <w:outlineLvl w:val="0"/>
            <w:rPr>
              <w:rFonts w:ascii="Times New Roman" w:hAnsi="Times New Roman" w:eastAsia="宋体" w:cs="Arial"/>
              <w:b/>
              <w:sz w:val="21"/>
              <w:szCs w:val="24"/>
              <w:lang w:val="en-GB"/>
            </w:rPr>
          </w:pPr>
          <w:r>
            <w:rPr>
              <w:rFonts w:ascii="Times New Roman" w:hAnsi="Times New Roman" w:eastAsia="宋体" w:cs="Arial"/>
              <w:b/>
              <w:sz w:val="21"/>
              <w:szCs w:val="24"/>
              <w:lang w:val="en-GB"/>
            </w:rPr>
            <w:t>一、审计意见</w:t>
          </w:r>
        </w:p>
        <w:p>
          <w:pPr>
            <w:keepNext w:val="0"/>
            <w:keepLines w:val="0"/>
            <w:pageBreakBefore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ascii="Times New Roman" w:hAnsi="Times New Roman" w:eastAsia="宋体" w:cs="Arial"/>
              <w:kern w:val="28"/>
              <w:sz w:val="21"/>
              <w:szCs w:val="24"/>
              <w:lang w:val="en-GB"/>
            </w:rPr>
            <w:t>我们审计了后附的</w:t>
          </w:r>
          <w:r>
            <w:rPr>
              <w:rFonts w:hint="eastAsia" w:ascii="Times New Roman" w:hAnsi="Times New Roman" w:eastAsia="宋体" w:cs="Arial"/>
              <w:kern w:val="28"/>
              <w:sz w:val="21"/>
              <w:szCs w:val="24"/>
              <w:lang w:val="en-GB"/>
            </w:rPr>
            <w:t>柳州两面针股份有限公司</w:t>
          </w:r>
          <w:r>
            <w:rPr>
              <w:rFonts w:ascii="Times New Roman" w:hAnsi="Times New Roman" w:eastAsia="宋体" w:cs="Arial"/>
              <w:kern w:val="28"/>
              <w:sz w:val="21"/>
              <w:szCs w:val="24"/>
              <w:lang w:val="en-GB"/>
            </w:rPr>
            <w:t>（以下简称“</w:t>
          </w:r>
          <w:r>
            <w:rPr>
              <w:rFonts w:hint="eastAsia" w:ascii="Times New Roman" w:hAnsi="Times New Roman" w:eastAsia="宋体" w:cs="Arial"/>
              <w:kern w:val="28"/>
              <w:sz w:val="21"/>
              <w:szCs w:val="24"/>
              <w:lang w:val="en-GB"/>
            </w:rPr>
            <w:t>两面针</w:t>
          </w:r>
          <w:r>
            <w:rPr>
              <w:rFonts w:ascii="Times New Roman" w:hAnsi="Times New Roman" w:eastAsia="宋体" w:cs="Arial"/>
              <w:kern w:val="28"/>
              <w:sz w:val="21"/>
              <w:szCs w:val="24"/>
              <w:lang w:val="en-GB"/>
            </w:rPr>
            <w:t>公司”）财务报表，包括202</w:t>
          </w:r>
          <w:r>
            <w:rPr>
              <w:rFonts w:hint="eastAsia" w:ascii="Times New Roman" w:hAnsi="Times New Roman" w:eastAsia="宋体" w:cs="Arial"/>
              <w:kern w:val="28"/>
              <w:sz w:val="21"/>
              <w:szCs w:val="24"/>
              <w:lang w:val="en-GB"/>
            </w:rPr>
            <w:t>5</w:t>
          </w:r>
          <w:r>
            <w:rPr>
              <w:rFonts w:ascii="Times New Roman" w:hAnsi="Times New Roman" w:eastAsia="宋体" w:cs="Arial"/>
              <w:kern w:val="28"/>
              <w:sz w:val="21"/>
              <w:szCs w:val="24"/>
              <w:lang w:val="en-GB"/>
            </w:rPr>
            <w:t>年12月31日的合并及母公司资产负债表，202</w:t>
          </w:r>
          <w:r>
            <w:rPr>
              <w:rFonts w:hint="eastAsia" w:ascii="Times New Roman" w:hAnsi="Times New Roman" w:eastAsia="宋体" w:cs="Arial"/>
              <w:kern w:val="28"/>
              <w:sz w:val="21"/>
              <w:szCs w:val="24"/>
              <w:lang w:val="en-GB"/>
            </w:rPr>
            <w:t>5</w:t>
          </w:r>
          <w:r>
            <w:rPr>
              <w:rFonts w:ascii="Times New Roman" w:hAnsi="Times New Roman" w:eastAsia="宋体" w:cs="Arial"/>
              <w:kern w:val="28"/>
              <w:sz w:val="21"/>
              <w:szCs w:val="24"/>
              <w:lang w:val="en-GB"/>
            </w:rPr>
            <w:t>年度的合并及母公司利润表、合并及母公司现金流量表、合并及母公司股东权益变动表以及相关财务报表附注。</w:t>
          </w:r>
        </w:p>
        <w:p>
          <w:pPr>
            <w:keepNext w:val="0"/>
            <w:keepLines w:val="0"/>
            <w:pageBreakBefore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ascii="Times New Roman" w:hAnsi="Times New Roman" w:eastAsia="宋体" w:cs="Arial"/>
              <w:kern w:val="28"/>
              <w:sz w:val="21"/>
              <w:szCs w:val="24"/>
              <w:lang w:val="en-GB"/>
            </w:rPr>
            <w:t>我们认为，后附的财务报表在所有重大方面按照企业会计准则的规定编制，公允反映了</w:t>
          </w:r>
          <w:r>
            <w:rPr>
              <w:rFonts w:hint="eastAsia" w:ascii="Times New Roman" w:hAnsi="Times New Roman" w:eastAsia="宋体" w:cs="Arial"/>
              <w:kern w:val="28"/>
              <w:sz w:val="21"/>
              <w:szCs w:val="24"/>
              <w:lang w:val="en-GB"/>
            </w:rPr>
            <w:t>两面针</w:t>
          </w:r>
          <w:r>
            <w:rPr>
              <w:rFonts w:ascii="Times New Roman" w:hAnsi="Times New Roman" w:eastAsia="宋体" w:cs="Arial"/>
              <w:kern w:val="28"/>
              <w:sz w:val="21"/>
              <w:szCs w:val="24"/>
              <w:lang w:val="en-GB"/>
            </w:rPr>
            <w:t>公司202</w:t>
          </w:r>
          <w:r>
            <w:rPr>
              <w:rFonts w:hint="eastAsia" w:ascii="Times New Roman" w:hAnsi="Times New Roman" w:eastAsia="宋体" w:cs="Arial"/>
              <w:kern w:val="28"/>
              <w:sz w:val="21"/>
              <w:szCs w:val="24"/>
              <w:lang w:val="en-GB"/>
            </w:rPr>
            <w:t>5</w:t>
          </w:r>
          <w:r>
            <w:rPr>
              <w:rFonts w:ascii="Times New Roman" w:hAnsi="Times New Roman" w:eastAsia="宋体" w:cs="Arial"/>
              <w:kern w:val="28"/>
              <w:sz w:val="21"/>
              <w:szCs w:val="24"/>
              <w:lang w:val="en-GB"/>
            </w:rPr>
            <w:t>年12月31日合并及母公司的财务状况以及202</w:t>
          </w:r>
          <w:r>
            <w:rPr>
              <w:rFonts w:hint="eastAsia" w:ascii="Times New Roman" w:hAnsi="Times New Roman" w:eastAsia="宋体" w:cs="Arial"/>
              <w:kern w:val="28"/>
              <w:sz w:val="21"/>
              <w:szCs w:val="24"/>
              <w:lang w:val="en-GB"/>
            </w:rPr>
            <w:t>5</w:t>
          </w:r>
          <w:r>
            <w:rPr>
              <w:rFonts w:ascii="Times New Roman" w:hAnsi="Times New Roman" w:eastAsia="宋体" w:cs="Arial"/>
              <w:kern w:val="28"/>
              <w:sz w:val="21"/>
              <w:szCs w:val="24"/>
              <w:lang w:val="en-GB"/>
            </w:rPr>
            <w:t>年度的合并及母公司经营成果和现金流量。</w:t>
          </w:r>
        </w:p>
        <w:p>
          <w:pPr>
            <w:keepNext w:val="0"/>
            <w:keepLines w:val="0"/>
            <w:pageBreakBefore w:val="0"/>
            <w:kinsoku/>
            <w:overflowPunct/>
            <w:topLinePunct w:val="0"/>
            <w:autoSpaceDE/>
            <w:autoSpaceDN/>
            <w:bidi w:val="0"/>
            <w:adjustRightInd w:val="0"/>
            <w:snapToGrid w:val="0"/>
            <w:spacing w:line="400" w:lineRule="exact"/>
            <w:ind w:firstLine="422" w:firstLineChars="200"/>
            <w:jc w:val="both"/>
            <w:textAlignment w:val="auto"/>
            <w:outlineLvl w:val="0"/>
            <w:rPr>
              <w:rFonts w:ascii="Times New Roman" w:hAnsi="Times New Roman" w:eastAsia="宋体" w:cs="Arial"/>
              <w:b/>
              <w:sz w:val="21"/>
              <w:szCs w:val="24"/>
              <w:lang w:val="en-GB"/>
            </w:rPr>
          </w:pPr>
          <w:r>
            <w:rPr>
              <w:rFonts w:ascii="Times New Roman" w:hAnsi="Times New Roman" w:eastAsia="宋体" w:cs="Arial"/>
              <w:b/>
              <w:sz w:val="21"/>
              <w:szCs w:val="24"/>
              <w:lang w:val="en-GB"/>
            </w:rPr>
            <w:t>二、形成审计意见的基础</w:t>
          </w:r>
        </w:p>
        <w:p>
          <w:pPr>
            <w:keepNext w:val="0"/>
            <w:keepLines w:val="0"/>
            <w:pageBreakBefore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ascii="Times New Roman" w:hAnsi="Times New Roman" w:eastAsia="宋体" w:cs="Arial"/>
              <w:kern w:val="28"/>
              <w:sz w:val="21"/>
              <w:szCs w:val="24"/>
              <w:lang w:val="en-GB"/>
            </w:rPr>
            <w:t>我们按照中国注册会计师审计准则的规定执行了审计工作。审计报告的“注册会计师对财务报表审计的责任”部分进一步阐述了我们在这些准则下的责任。按照</w:t>
          </w:r>
          <w:r>
            <w:rPr>
              <w:rFonts w:hint="eastAsia" w:ascii="Times New Roman" w:hAnsi="Times New Roman" w:eastAsia="宋体" w:cs="Arial"/>
              <w:kern w:val="28"/>
              <w:sz w:val="21"/>
              <w:szCs w:val="24"/>
              <w:lang w:val="en-GB"/>
            </w:rPr>
            <w:t>中国注册会计师独立性准则和</w:t>
          </w:r>
          <w:r>
            <w:rPr>
              <w:rFonts w:ascii="Times New Roman" w:hAnsi="Times New Roman" w:eastAsia="宋体" w:cs="Arial"/>
              <w:kern w:val="28"/>
              <w:sz w:val="21"/>
              <w:szCs w:val="24"/>
              <w:lang w:val="en-GB"/>
            </w:rPr>
            <w:t>中国注册会计师职业道德守则，我们独立于</w:t>
          </w:r>
          <w:r>
            <w:rPr>
              <w:rFonts w:hint="eastAsia" w:ascii="Times New Roman" w:hAnsi="Times New Roman" w:eastAsia="宋体" w:cs="Arial"/>
              <w:kern w:val="28"/>
              <w:sz w:val="21"/>
              <w:szCs w:val="24"/>
              <w:lang w:val="en-GB"/>
            </w:rPr>
            <w:t>两面针</w:t>
          </w:r>
          <w:r>
            <w:rPr>
              <w:rFonts w:ascii="Times New Roman" w:hAnsi="Times New Roman" w:eastAsia="宋体" w:cs="Arial"/>
              <w:kern w:val="28"/>
              <w:sz w:val="21"/>
              <w:szCs w:val="24"/>
              <w:lang w:val="en-GB"/>
            </w:rPr>
            <w:t>公司，并履行了职业道德方面的其他责任。我们相信，我们获取的审计证据是充分、适当的，为发表审计意见提供了基础。</w:t>
          </w:r>
        </w:p>
        <w:p>
          <w:pPr>
            <w:keepNext w:val="0"/>
            <w:keepLines w:val="0"/>
            <w:pageBreakBefore w:val="0"/>
            <w:kinsoku/>
            <w:overflowPunct/>
            <w:topLinePunct w:val="0"/>
            <w:autoSpaceDE/>
            <w:autoSpaceDN/>
            <w:bidi w:val="0"/>
            <w:adjustRightInd w:val="0"/>
            <w:snapToGrid w:val="0"/>
            <w:spacing w:line="400" w:lineRule="exact"/>
            <w:ind w:firstLine="422" w:firstLineChars="200"/>
            <w:jc w:val="both"/>
            <w:textAlignment w:val="auto"/>
            <w:outlineLvl w:val="0"/>
            <w:rPr>
              <w:rFonts w:ascii="Times New Roman" w:hAnsi="Times New Roman" w:eastAsia="宋体" w:cs="Arial"/>
              <w:b/>
              <w:sz w:val="21"/>
              <w:szCs w:val="24"/>
              <w:lang w:val="en-GB"/>
            </w:rPr>
          </w:pPr>
          <w:r>
            <w:rPr>
              <w:rFonts w:ascii="Times New Roman" w:hAnsi="Times New Roman" w:eastAsia="宋体" w:cs="Arial"/>
              <w:b/>
              <w:sz w:val="21"/>
              <w:szCs w:val="24"/>
              <w:lang w:val="en-GB"/>
            </w:rPr>
            <w:t>三、关键审计事项</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ascii="Times New Roman" w:hAnsi="Times New Roman" w:eastAsia="宋体" w:cs="Arial"/>
              <w:kern w:val="28"/>
              <w:sz w:val="21"/>
              <w:szCs w:val="24"/>
              <w:lang w:val="en-GB"/>
            </w:rPr>
            <w:t>关键审计事项是根据我们的职业判断，认为对本期财务报表审计最为重要的事项。这些事项的应对以对财务报表整体进行审计并形成审计意见为背景，我们不对这些事项单独发表意见。我们确定下列事项是需要在审计报告中沟通的关键审计事项。</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2" w:firstLineChars="200"/>
            <w:jc w:val="both"/>
            <w:textAlignment w:val="auto"/>
            <w:rPr>
              <w:rFonts w:ascii="Times New Roman" w:hAnsi="Times New Roman" w:eastAsia="宋体" w:cs="Arial"/>
              <w:b/>
              <w:kern w:val="28"/>
              <w:sz w:val="21"/>
              <w:szCs w:val="24"/>
              <w:lang w:val="en-GB"/>
            </w:rPr>
          </w:pPr>
          <w:r>
            <w:rPr>
              <w:rFonts w:ascii="Times New Roman" w:hAnsi="Times New Roman" w:eastAsia="宋体" w:cs="Arial"/>
              <w:b/>
              <w:kern w:val="28"/>
              <w:sz w:val="21"/>
              <w:szCs w:val="24"/>
              <w:lang w:val="en-GB"/>
            </w:rPr>
            <w:t>收入确认</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ascii="Times New Roman" w:hAnsi="Times New Roman" w:eastAsia="宋体" w:cs="Arial"/>
              <w:kern w:val="28"/>
              <w:sz w:val="21"/>
              <w:szCs w:val="24"/>
              <w:lang w:val="en-GB"/>
            </w:rPr>
            <w:t>1、事项描述</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sz w:val="21"/>
              <w:szCs w:val="24"/>
              <w:lang w:val="en-GB"/>
            </w:rPr>
          </w:pPr>
          <w:r>
            <w:rPr>
              <w:rFonts w:hint="eastAsia" w:ascii="Times New Roman" w:hAnsi="Times New Roman" w:eastAsia="宋体" w:cs="Arial"/>
              <w:sz w:val="21"/>
              <w:szCs w:val="24"/>
              <w:lang w:val="en-GB"/>
            </w:rPr>
            <w:t>由于收入是两面针公司的关键业绩指标之一，收入确认存在重大错报的固有风险，因此，我们将收入确认识别为关键审计事项</w:t>
          </w:r>
          <w:r>
            <w:rPr>
              <w:rFonts w:ascii="Times New Roman" w:hAnsi="Times New Roman" w:eastAsia="宋体" w:cs="Arial"/>
              <w:sz w:val="21"/>
              <w:szCs w:val="24"/>
              <w:lang w:val="en-GB"/>
            </w:rPr>
            <w:t>。</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sz w:val="21"/>
              <w:szCs w:val="24"/>
              <w:lang w:val="en-GB"/>
            </w:rPr>
          </w:pPr>
          <w:r>
            <w:rPr>
              <w:rFonts w:ascii="Times New Roman" w:hAnsi="Times New Roman" w:eastAsia="宋体" w:cs="Arial"/>
              <w:sz w:val="21"/>
              <w:szCs w:val="24"/>
              <w:lang w:val="en-GB"/>
            </w:rPr>
            <w:t>2、审计应对</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sz w:val="21"/>
              <w:szCs w:val="24"/>
              <w:lang w:val="en-GB"/>
            </w:rPr>
          </w:pPr>
          <w:r>
            <w:rPr>
              <w:rFonts w:hint="eastAsia" w:ascii="Times New Roman" w:hAnsi="Times New Roman" w:eastAsia="宋体" w:cs="Arial"/>
              <w:sz w:val="21"/>
              <w:szCs w:val="24"/>
              <w:lang w:val="en-GB"/>
            </w:rPr>
            <w:t>针对两面针公司收入确认，我们执行了以下主要程序</w:t>
          </w:r>
          <w:r>
            <w:rPr>
              <w:rFonts w:ascii="Times New Roman" w:hAnsi="Times New Roman" w:eastAsia="宋体" w:cs="Arial"/>
              <w:sz w:val="21"/>
              <w:szCs w:val="24"/>
              <w:lang w:val="en-GB"/>
            </w:rPr>
            <w:t xml:space="preserve">： </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sz w:val="21"/>
              <w:szCs w:val="24"/>
              <w:lang w:val="en-GB"/>
            </w:rPr>
          </w:pPr>
          <w:r>
            <w:rPr>
              <w:rFonts w:ascii="Times New Roman" w:hAnsi="Times New Roman" w:eastAsia="宋体" w:cs="Arial"/>
              <w:sz w:val="21"/>
              <w:szCs w:val="24"/>
              <w:lang w:val="en-GB"/>
            </w:rPr>
            <w:t>（1）</w:t>
          </w:r>
          <w:r>
            <w:rPr>
              <w:rFonts w:hint="eastAsia" w:ascii="Times New Roman" w:hAnsi="Times New Roman" w:eastAsia="宋体" w:cs="Arial"/>
              <w:sz w:val="21"/>
              <w:szCs w:val="24"/>
              <w:lang w:val="en-GB"/>
            </w:rPr>
            <w:t>了解和评价管理层与收入确认相关的内部控制的设计，并对相关内部控制的有效性进行了测试</w:t>
          </w:r>
          <w:r>
            <w:rPr>
              <w:rFonts w:ascii="Times New Roman" w:hAnsi="Times New Roman" w:eastAsia="宋体" w:cs="Arial"/>
              <w:sz w:val="21"/>
              <w:szCs w:val="24"/>
              <w:lang w:val="en-GB"/>
            </w:rPr>
            <w:t>；</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sz w:val="21"/>
              <w:szCs w:val="24"/>
              <w:lang w:val="en-GB"/>
            </w:rPr>
          </w:pPr>
          <w:r>
            <w:rPr>
              <w:rFonts w:ascii="Times New Roman" w:hAnsi="Times New Roman" w:eastAsia="宋体" w:cs="Arial"/>
              <w:sz w:val="21"/>
              <w:szCs w:val="24"/>
              <w:lang w:val="en-GB"/>
            </w:rPr>
            <w:t>（2）</w:t>
          </w:r>
          <w:r>
            <w:rPr>
              <w:rFonts w:hint="eastAsia" w:ascii="Times New Roman" w:hAnsi="Times New Roman" w:eastAsia="宋体" w:cs="Arial"/>
              <w:sz w:val="21"/>
              <w:szCs w:val="24"/>
              <w:lang w:val="en-GB"/>
            </w:rPr>
            <w:t>检查公司主要的销售合同，识别与收入确认相关的关键合同条款及履约义务，评价公司收入确认政策是否符合企业会计准则的要求</w:t>
          </w:r>
          <w:r>
            <w:rPr>
              <w:rFonts w:ascii="Times New Roman" w:hAnsi="Times New Roman" w:eastAsia="宋体" w:cs="Arial"/>
              <w:sz w:val="21"/>
              <w:szCs w:val="24"/>
              <w:lang w:val="en-GB"/>
            </w:rPr>
            <w:t>；</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sz w:val="21"/>
              <w:szCs w:val="24"/>
              <w:lang w:val="en-GB"/>
            </w:rPr>
          </w:pPr>
          <w:r>
            <w:rPr>
              <w:rFonts w:ascii="Times New Roman" w:hAnsi="Times New Roman" w:eastAsia="宋体" w:cs="Arial"/>
              <w:sz w:val="21"/>
              <w:szCs w:val="24"/>
              <w:lang w:val="en-GB"/>
            </w:rPr>
            <w:t>（3）</w:t>
          </w:r>
          <w:r>
            <w:rPr>
              <w:rFonts w:hint="eastAsia" w:ascii="Times New Roman" w:hAnsi="Times New Roman" w:eastAsia="宋体" w:cs="Arial"/>
              <w:sz w:val="21"/>
              <w:szCs w:val="24"/>
              <w:lang w:val="en-GB"/>
            </w:rPr>
            <w:t>对营业收入实施分析程序，判断本期收入、毛利率变动的合理性</w:t>
          </w:r>
          <w:r>
            <w:rPr>
              <w:rFonts w:ascii="Times New Roman" w:hAnsi="Times New Roman" w:eastAsia="宋体" w:cs="Arial"/>
              <w:sz w:val="21"/>
              <w:szCs w:val="24"/>
              <w:lang w:val="en-GB"/>
            </w:rPr>
            <w:t>；</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sz w:val="21"/>
              <w:szCs w:val="24"/>
              <w:lang w:val="en-GB"/>
            </w:rPr>
          </w:pPr>
          <w:r>
            <w:rPr>
              <w:rFonts w:ascii="Times New Roman" w:hAnsi="Times New Roman" w:eastAsia="宋体" w:cs="Arial"/>
              <w:sz w:val="21"/>
              <w:szCs w:val="24"/>
              <w:lang w:val="en-GB"/>
            </w:rPr>
            <w:t>（4）</w:t>
          </w:r>
          <w:r>
            <w:rPr>
              <w:rFonts w:hint="eastAsia" w:ascii="Times New Roman" w:hAnsi="Times New Roman" w:eastAsia="宋体" w:cs="Arial"/>
              <w:sz w:val="21"/>
              <w:szCs w:val="24"/>
              <w:lang w:val="en-GB"/>
            </w:rPr>
            <w:t>抽样检查年度销售协议、销售合同、出库单、发票、签收单或结算单等支持性文件与相应的会计记录，验证收入确认金额是否正确</w:t>
          </w:r>
          <w:r>
            <w:rPr>
              <w:rFonts w:ascii="Times New Roman" w:hAnsi="Times New Roman" w:eastAsia="宋体" w:cs="Arial"/>
              <w:sz w:val="21"/>
              <w:szCs w:val="24"/>
              <w:lang w:val="en-GB"/>
            </w:rPr>
            <w:t>；</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sz w:val="21"/>
              <w:szCs w:val="24"/>
              <w:lang w:val="en-GB"/>
            </w:rPr>
          </w:pPr>
          <w:r>
            <w:rPr>
              <w:rFonts w:ascii="Times New Roman" w:hAnsi="Times New Roman" w:eastAsia="宋体" w:cs="Arial"/>
              <w:sz w:val="21"/>
              <w:szCs w:val="24"/>
              <w:lang w:val="en-GB"/>
            </w:rPr>
            <w:t>（5）</w:t>
          </w:r>
          <w:r>
            <w:rPr>
              <w:rFonts w:hint="eastAsia" w:ascii="Times New Roman" w:hAnsi="Times New Roman" w:eastAsia="宋体" w:cs="Arial"/>
              <w:sz w:val="21"/>
              <w:szCs w:val="24"/>
              <w:lang w:val="en-GB"/>
            </w:rPr>
            <w:t>根据收入交易的类别及重要性，选取样本对销售额及应收账款实施函证程序</w:t>
          </w:r>
          <w:r>
            <w:rPr>
              <w:rFonts w:ascii="Times New Roman" w:hAnsi="Times New Roman" w:eastAsia="宋体" w:cs="Arial"/>
              <w:sz w:val="21"/>
              <w:szCs w:val="24"/>
              <w:lang w:val="en-GB"/>
            </w:rPr>
            <w:t>；</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sz w:val="21"/>
              <w:szCs w:val="24"/>
              <w:lang w:val="en-GB"/>
            </w:rPr>
          </w:pPr>
          <w:r>
            <w:rPr>
              <w:rFonts w:ascii="Times New Roman" w:hAnsi="Times New Roman" w:eastAsia="宋体" w:cs="Arial"/>
              <w:sz w:val="21"/>
              <w:szCs w:val="24"/>
              <w:lang w:val="en-GB"/>
            </w:rPr>
            <w:t>（6）</w:t>
          </w:r>
          <w:r>
            <w:rPr>
              <w:rFonts w:hint="eastAsia" w:ascii="Times New Roman" w:hAnsi="Times New Roman" w:eastAsia="宋体" w:cs="Arial"/>
              <w:sz w:val="21"/>
              <w:szCs w:val="24"/>
              <w:lang w:val="en-GB"/>
            </w:rPr>
            <w:t>就资产负债表日前后记录的收入交易，选取样本，核对发货单及其他支持性文件，以评价收入是否被记录于恰当的会计期间。</w:t>
          </w:r>
        </w:p>
        <w:p>
          <w:pPr>
            <w:keepNext w:val="0"/>
            <w:keepLines w:val="0"/>
            <w:pageBreakBefore w:val="0"/>
            <w:kinsoku/>
            <w:overflowPunct/>
            <w:topLinePunct w:val="0"/>
            <w:autoSpaceDE/>
            <w:autoSpaceDN/>
            <w:bidi w:val="0"/>
            <w:adjustRightInd w:val="0"/>
            <w:snapToGrid w:val="0"/>
            <w:spacing w:line="400" w:lineRule="exact"/>
            <w:ind w:firstLine="422" w:firstLineChars="200"/>
            <w:jc w:val="both"/>
            <w:textAlignment w:val="auto"/>
            <w:outlineLvl w:val="0"/>
            <w:rPr>
              <w:rFonts w:ascii="Times New Roman" w:hAnsi="Times New Roman" w:eastAsia="宋体" w:cs="Arial"/>
              <w:b/>
              <w:sz w:val="21"/>
              <w:szCs w:val="24"/>
              <w:lang w:val="en-GB"/>
            </w:rPr>
          </w:pPr>
          <w:r>
            <w:rPr>
              <w:rFonts w:ascii="Times New Roman" w:hAnsi="Times New Roman" w:eastAsia="宋体" w:cs="Arial"/>
              <w:b/>
              <w:sz w:val="21"/>
              <w:szCs w:val="24"/>
              <w:lang w:val="en-GB"/>
            </w:rPr>
            <w:t>四、其他信息</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hint="eastAsia" w:ascii="Times New Roman" w:hAnsi="Times New Roman" w:eastAsia="宋体" w:cs="Arial"/>
              <w:kern w:val="28"/>
              <w:sz w:val="21"/>
              <w:szCs w:val="24"/>
              <w:lang w:val="en-GB"/>
            </w:rPr>
            <w:t>两面针</w:t>
          </w:r>
          <w:r>
            <w:rPr>
              <w:rFonts w:ascii="Times New Roman" w:hAnsi="Times New Roman" w:eastAsia="宋体" w:cs="Arial"/>
              <w:kern w:val="28"/>
              <w:sz w:val="21"/>
              <w:szCs w:val="24"/>
              <w:lang w:val="en-GB"/>
            </w:rPr>
            <w:t>公司管理层（以下简称管理层）对其他信息负责。其他信息包括202</w:t>
          </w:r>
          <w:r>
            <w:rPr>
              <w:rFonts w:hint="eastAsia" w:ascii="Times New Roman" w:hAnsi="Times New Roman" w:eastAsia="宋体" w:cs="Arial"/>
              <w:kern w:val="28"/>
              <w:sz w:val="21"/>
              <w:szCs w:val="24"/>
              <w:lang w:val="en-GB"/>
            </w:rPr>
            <w:t>5</w:t>
          </w:r>
          <w:r>
            <w:rPr>
              <w:rFonts w:ascii="Times New Roman" w:hAnsi="Times New Roman" w:eastAsia="宋体" w:cs="Arial"/>
              <w:kern w:val="28"/>
              <w:sz w:val="21"/>
              <w:szCs w:val="24"/>
              <w:lang w:val="en-GB"/>
            </w:rPr>
            <w:t>年年度报告中涵盖的信息，但不包括财务报表和我们的审计报告。</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ascii="Times New Roman" w:hAnsi="Times New Roman" w:eastAsia="宋体" w:cs="Arial"/>
              <w:kern w:val="28"/>
              <w:sz w:val="21"/>
              <w:szCs w:val="24"/>
              <w:lang w:val="en-GB"/>
            </w:rPr>
            <w:t>我们对财务报表发表的审计意见不涵盖其他信息，我们也不对其他信息发表任何形式的鉴证结论。</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ascii="Times New Roman" w:hAnsi="Times New Roman" w:eastAsia="宋体" w:cs="Arial"/>
              <w:kern w:val="28"/>
              <w:sz w:val="21"/>
              <w:szCs w:val="24"/>
              <w:lang w:val="en-GB"/>
            </w:rPr>
            <w:t>结合我们对财务报表的审计，我们的责任是阅读其他信息，在此过程中，考虑其他信息是否与财务报表或我们在审计过程中了解到的情况存在重大不一致或者似乎存在重大错报。</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hint="eastAsia" w:ascii="Times New Roman" w:hAnsi="Times New Roman" w:eastAsia="宋体" w:cs="Arial"/>
              <w:kern w:val="28"/>
              <w:sz w:val="21"/>
              <w:szCs w:val="24"/>
              <w:lang w:val="en-GB"/>
            </w:rPr>
          </w:pPr>
          <w:r>
            <w:rPr>
              <w:rFonts w:ascii="Times New Roman" w:hAnsi="Times New Roman" w:eastAsia="宋体" w:cs="Arial"/>
              <w:kern w:val="28"/>
              <w:sz w:val="21"/>
              <w:szCs w:val="24"/>
              <w:lang w:val="en-GB"/>
            </w:rPr>
            <w:t>基于我们已执行的工作，如果我们确定其他信息存在重大错报，我们应当报告该事实。在这方面，我们无任何事项需要报告。</w:t>
          </w:r>
        </w:p>
        <w:p>
          <w:pPr>
            <w:keepNext w:val="0"/>
            <w:keepLines w:val="0"/>
            <w:pageBreakBefore w:val="0"/>
            <w:kinsoku/>
            <w:overflowPunct/>
            <w:topLinePunct w:val="0"/>
            <w:autoSpaceDE/>
            <w:autoSpaceDN/>
            <w:bidi w:val="0"/>
            <w:adjustRightInd w:val="0"/>
            <w:snapToGrid w:val="0"/>
            <w:spacing w:line="400" w:lineRule="exact"/>
            <w:ind w:firstLine="422" w:firstLineChars="200"/>
            <w:jc w:val="both"/>
            <w:textAlignment w:val="auto"/>
            <w:outlineLvl w:val="0"/>
            <w:rPr>
              <w:rFonts w:ascii="Times New Roman" w:hAnsi="Times New Roman" w:eastAsia="宋体" w:cs="Arial"/>
              <w:b/>
              <w:sz w:val="21"/>
              <w:szCs w:val="24"/>
              <w:lang w:val="en-GB"/>
            </w:rPr>
          </w:pPr>
          <w:r>
            <w:rPr>
              <w:rFonts w:ascii="Times New Roman" w:hAnsi="Times New Roman" w:eastAsia="宋体" w:cs="Arial"/>
              <w:b/>
              <w:sz w:val="21"/>
              <w:szCs w:val="24"/>
              <w:lang w:val="en-GB"/>
            </w:rPr>
            <w:t>五、管理层和治理层对财务报表的责任</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ascii="Times New Roman" w:hAnsi="Times New Roman" w:eastAsia="宋体" w:cs="Arial"/>
              <w:kern w:val="28"/>
              <w:sz w:val="21"/>
              <w:szCs w:val="24"/>
              <w:lang w:val="en-GB"/>
            </w:rPr>
            <w:t>管理层负责按照企业会计准则的规定编制财务报表，使其实现公允反映，并设计、执行和维护必要的内部控制，以使财务报表不存在由于舞弊或错误导致的重大错报。</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ascii="Times New Roman" w:hAnsi="Times New Roman" w:eastAsia="宋体" w:cs="Arial"/>
              <w:kern w:val="28"/>
              <w:sz w:val="21"/>
              <w:szCs w:val="24"/>
              <w:lang w:val="en-GB"/>
            </w:rPr>
            <w:t>在编制财务报表时，管理层负责评估</w:t>
          </w:r>
          <w:r>
            <w:rPr>
              <w:rFonts w:hint="eastAsia" w:ascii="Times New Roman" w:hAnsi="Times New Roman" w:eastAsia="宋体" w:cs="Arial"/>
              <w:kern w:val="28"/>
              <w:sz w:val="21"/>
              <w:szCs w:val="24"/>
              <w:lang w:val="en-GB"/>
            </w:rPr>
            <w:t>两面针</w:t>
          </w:r>
          <w:r>
            <w:rPr>
              <w:rFonts w:ascii="Times New Roman" w:hAnsi="Times New Roman" w:eastAsia="宋体" w:cs="Arial"/>
              <w:kern w:val="28"/>
              <w:sz w:val="21"/>
              <w:szCs w:val="24"/>
              <w:lang w:val="en-GB"/>
            </w:rPr>
            <w:t>公司的持续经营能力，披露与持续经营相关的事项（如适用），并运用持续经营假设，除非管理层计划清算</w:t>
          </w:r>
          <w:r>
            <w:rPr>
              <w:rFonts w:hint="eastAsia" w:ascii="Times New Roman" w:hAnsi="Times New Roman" w:eastAsia="宋体" w:cs="Arial"/>
              <w:kern w:val="28"/>
              <w:sz w:val="21"/>
              <w:szCs w:val="24"/>
              <w:lang w:val="en-GB"/>
            </w:rPr>
            <w:t>两面针</w:t>
          </w:r>
          <w:r>
            <w:rPr>
              <w:rFonts w:ascii="Times New Roman" w:hAnsi="Times New Roman" w:eastAsia="宋体" w:cs="Arial"/>
              <w:kern w:val="28"/>
              <w:sz w:val="21"/>
              <w:szCs w:val="24"/>
              <w:lang w:val="en-GB"/>
            </w:rPr>
            <w:t>公司、终止运营或别无其他现实的选择。</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ascii="Times New Roman" w:hAnsi="Times New Roman" w:eastAsia="宋体" w:cs="Arial"/>
              <w:kern w:val="28"/>
              <w:sz w:val="21"/>
              <w:szCs w:val="24"/>
              <w:lang w:val="en-GB"/>
            </w:rPr>
            <w:t>治理层负责监督</w:t>
          </w:r>
          <w:r>
            <w:rPr>
              <w:rFonts w:hint="eastAsia" w:ascii="Times New Roman" w:hAnsi="Times New Roman" w:eastAsia="宋体" w:cs="Arial"/>
              <w:kern w:val="28"/>
              <w:sz w:val="21"/>
              <w:szCs w:val="24"/>
              <w:lang w:val="en-GB"/>
            </w:rPr>
            <w:t>两面针</w:t>
          </w:r>
          <w:r>
            <w:rPr>
              <w:rFonts w:ascii="Times New Roman" w:hAnsi="Times New Roman" w:eastAsia="宋体" w:cs="Arial"/>
              <w:kern w:val="28"/>
              <w:sz w:val="21"/>
              <w:szCs w:val="24"/>
              <w:lang w:val="en-GB"/>
            </w:rPr>
            <w:t>公司的财务报告过程。</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2" w:firstLineChars="200"/>
            <w:jc w:val="both"/>
            <w:textAlignment w:val="auto"/>
            <w:rPr>
              <w:rFonts w:ascii="Times New Roman" w:hAnsi="Times New Roman" w:eastAsia="宋体" w:cs="Arial"/>
              <w:b/>
              <w:sz w:val="21"/>
              <w:szCs w:val="24"/>
              <w:lang w:val="en-GB"/>
            </w:rPr>
          </w:pPr>
          <w:r>
            <w:rPr>
              <w:rFonts w:ascii="Times New Roman" w:hAnsi="Times New Roman" w:eastAsia="宋体" w:cs="Arial"/>
              <w:b/>
              <w:sz w:val="21"/>
              <w:szCs w:val="24"/>
              <w:lang w:val="en-GB"/>
            </w:rPr>
            <w:t>六、注册会计师对财务报表审计的责任</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ascii="Times New Roman" w:hAnsi="Times New Roman" w:eastAsia="宋体" w:cs="Arial"/>
              <w:kern w:val="28"/>
              <w:sz w:val="21"/>
              <w:szCs w:val="24"/>
              <w:lang w:val="en-GB"/>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合并财务报表作出的经济决策，则通常认为错报是重大的。在按照审计准则执行审计工作的过程中，我们运用职业判断，并保持职业怀疑。同时，我们也执行以下工作：</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ascii="Times New Roman" w:hAnsi="Times New Roman" w:eastAsia="宋体" w:cs="Arial"/>
              <w:kern w:val="28"/>
              <w:sz w:val="21"/>
              <w:szCs w:val="24"/>
              <w:lang w:val="en-GB"/>
            </w:rPr>
            <w:t>（一）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ascii="Times New Roman" w:hAnsi="Times New Roman" w:eastAsia="宋体" w:cs="Arial"/>
              <w:kern w:val="28"/>
              <w:sz w:val="21"/>
              <w:szCs w:val="24"/>
              <w:lang w:val="en-GB"/>
            </w:rPr>
            <w:t>（二）了解与审计相关的内部控制，以设计恰当的审计程序。</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ascii="Times New Roman" w:hAnsi="Times New Roman" w:eastAsia="宋体" w:cs="Arial"/>
              <w:kern w:val="28"/>
              <w:sz w:val="21"/>
              <w:szCs w:val="24"/>
              <w:lang w:val="en-GB"/>
            </w:rPr>
            <w:t>（三）评价管理层选用会计政策的恰当性和作出会计估计及相关披露的合理性。</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ascii="Times New Roman" w:hAnsi="Times New Roman" w:eastAsia="宋体" w:cs="Arial"/>
              <w:kern w:val="28"/>
              <w:sz w:val="21"/>
              <w:szCs w:val="24"/>
              <w:lang w:val="en-GB"/>
            </w:rPr>
            <w:t>（四）对管理层使用持续经营假设的恰当性得出结论。同时，根据获取的审计证据，就可能导致对</w:t>
          </w:r>
          <w:r>
            <w:rPr>
              <w:rFonts w:hint="eastAsia" w:ascii="Times New Roman" w:hAnsi="Times New Roman" w:eastAsia="宋体" w:cs="Arial"/>
              <w:kern w:val="28"/>
              <w:sz w:val="21"/>
              <w:szCs w:val="24"/>
              <w:lang w:val="en-GB"/>
            </w:rPr>
            <w:t>两面针</w:t>
          </w:r>
          <w:r>
            <w:rPr>
              <w:rFonts w:ascii="Times New Roman" w:hAnsi="Times New Roman" w:eastAsia="宋体" w:cs="Arial"/>
              <w:kern w:val="28"/>
              <w:sz w:val="21"/>
              <w:szCs w:val="24"/>
              <w:lang w:val="en-GB"/>
            </w:rPr>
            <w:t>公司持续经营能力产生重大疑虑的事项或情况是否存在重大不确定性得出结论。如果我们得出结论认为存在重大不确定性，审计准则要求我们在审计报告中提请报表使用者注意合并财务报表中的相关披露；如果披露不充分，我们应当发表非无保留意见。我们的结论基于截至审计报告日可获得的信息。然而，未来的事项或情况可能导致</w:t>
          </w:r>
          <w:r>
            <w:rPr>
              <w:rFonts w:hint="eastAsia" w:ascii="Times New Roman" w:hAnsi="Times New Roman" w:eastAsia="宋体" w:cs="Arial"/>
              <w:kern w:val="28"/>
              <w:sz w:val="21"/>
              <w:szCs w:val="24"/>
              <w:lang w:val="en-GB"/>
            </w:rPr>
            <w:t>两面针</w:t>
          </w:r>
          <w:r>
            <w:rPr>
              <w:rFonts w:ascii="Times New Roman" w:hAnsi="Times New Roman" w:eastAsia="宋体" w:cs="Arial"/>
              <w:kern w:val="28"/>
              <w:sz w:val="21"/>
              <w:szCs w:val="24"/>
              <w:lang w:val="en-GB"/>
            </w:rPr>
            <w:t>公司不能持续经营。</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ascii="Times New Roman" w:hAnsi="Times New Roman" w:eastAsia="宋体" w:cs="Arial"/>
              <w:kern w:val="28"/>
              <w:sz w:val="21"/>
              <w:szCs w:val="24"/>
              <w:lang w:val="en-GB"/>
            </w:rPr>
            <w:t>（五）评价财务报表的总体列报、结构和内容（包括披露），并评价财务报表是否公允反映相关交易和事项。</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ascii="Times New Roman" w:hAnsi="Times New Roman" w:eastAsia="宋体" w:cs="Arial"/>
              <w:kern w:val="28"/>
              <w:sz w:val="21"/>
              <w:szCs w:val="24"/>
              <w:lang w:val="en-GB"/>
            </w:rPr>
            <w:t>（六）就</w:t>
          </w:r>
          <w:r>
            <w:rPr>
              <w:rFonts w:hint="eastAsia" w:ascii="Times New Roman" w:hAnsi="Times New Roman" w:eastAsia="宋体" w:cs="Arial"/>
              <w:kern w:val="28"/>
              <w:sz w:val="21"/>
              <w:szCs w:val="24"/>
              <w:lang w:val="en-GB"/>
            </w:rPr>
            <w:t>两面针</w:t>
          </w:r>
          <w:r>
            <w:rPr>
              <w:rFonts w:ascii="Times New Roman" w:hAnsi="Times New Roman" w:eastAsia="宋体" w:cs="Arial"/>
              <w:kern w:val="28"/>
              <w:sz w:val="21"/>
              <w:szCs w:val="24"/>
              <w:lang w:val="en-GB"/>
            </w:rPr>
            <w:t>公司中实体或业务活动的财务信息获取充分、适当的审计证据，以对财务报表发表审计意见。我们负责指导、监督和执行集团审计，并对审计意见承担全部责任。我们与治理层就计划的审计范围、时间安排和重大审计发现等事项进行沟通，包括沟通我们在审计中识别出的值得关注的内部控制缺陷。</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ascii="Times New Roman" w:hAnsi="Times New Roman" w:eastAsia="宋体" w:cs="Arial"/>
              <w:kern w:val="28"/>
              <w:sz w:val="21"/>
              <w:szCs w:val="24"/>
              <w:lang w:val="en-GB"/>
            </w:rPr>
            <w:t>我们还就已遵守与独立性相关的职业道德要求向治理层提供声明，并与治理层</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ascii="Times New Roman" w:hAnsi="Times New Roman" w:eastAsia="宋体" w:cs="Arial"/>
              <w:kern w:val="28"/>
              <w:sz w:val="21"/>
              <w:szCs w:val="24"/>
              <w:lang w:val="en-GB"/>
            </w:rPr>
            <w:t>沟通可能被合理认为影响我们独立性的所有关系和其他事项，以及相关的防范措施。</w:t>
          </w:r>
        </w:p>
        <w:p>
          <w:pPr>
            <w:keepNext w:val="0"/>
            <w:keepLines w:val="0"/>
            <w:pageBreakBefore w:val="0"/>
            <w:widowControl w:val="0"/>
            <w:kinsoku/>
            <w:overflowPunct/>
            <w:topLinePunct w:val="0"/>
            <w:autoSpaceDE/>
            <w:autoSpaceDN/>
            <w:bidi w:val="0"/>
            <w:adjustRightInd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r>
            <w:rPr>
              <w:rFonts w:ascii="Times New Roman" w:hAnsi="Times New Roman" w:eastAsia="宋体" w:cs="Arial"/>
              <w:kern w:val="28"/>
              <w:sz w:val="21"/>
              <w:szCs w:val="24"/>
              <w:lang w:val="en-GB"/>
            </w:rPr>
            <w:t>从与治理层沟通过的事项中，我们确定哪些事项对本期财务报表审计最为重要，因而构成关键审计事项。我们在审计报告中描述这些事项，除非法律法规禁止公开披露这些事项，或在极少数情形下，如果合理预期在审计报告中沟通某事项造成的负面后果超过在公众利益方面产生的益处，我们确定不应在审计报告中沟通该事项。</w:t>
          </w:r>
        </w:p>
        <w:p>
          <w:pPr>
            <w:keepNext w:val="0"/>
            <w:keepLines w:val="0"/>
            <w:pageBreakBefore w:val="0"/>
            <w:widowControl w:val="0"/>
            <w:kinsoku/>
            <w:overflowPunct/>
            <w:topLinePunct w:val="0"/>
            <w:autoSpaceDE/>
            <w:autoSpaceDN/>
            <w:bidi w:val="0"/>
            <w:snapToGrid w:val="0"/>
            <w:spacing w:line="400" w:lineRule="exact"/>
            <w:ind w:right="27" w:rightChars="13"/>
            <w:jc w:val="both"/>
            <w:textAlignment w:val="auto"/>
            <w:rPr>
              <w:rFonts w:hint="eastAsia" w:ascii="Times New Roman" w:hAnsi="Times New Roman" w:eastAsia="宋体" w:cs="Arial"/>
              <w:kern w:val="28"/>
              <w:sz w:val="21"/>
              <w:szCs w:val="24"/>
              <w:lang w:val="en-GB"/>
            </w:rPr>
          </w:pPr>
        </w:p>
        <w:p>
          <w:pPr>
            <w:keepNext w:val="0"/>
            <w:keepLines w:val="0"/>
            <w:pageBreakBefore w:val="0"/>
            <w:widowControl w:val="0"/>
            <w:kinsoku/>
            <w:overflowPunct/>
            <w:topLinePunct w:val="0"/>
            <w:autoSpaceDE/>
            <w:autoSpaceDN/>
            <w:bidi w:val="0"/>
            <w:snapToGrid w:val="0"/>
            <w:spacing w:line="400" w:lineRule="exact"/>
            <w:ind w:right="27" w:rightChars="13" w:firstLine="420" w:firstLineChars="200"/>
            <w:jc w:val="both"/>
            <w:textAlignment w:val="auto"/>
            <w:rPr>
              <w:rFonts w:ascii="Times New Roman" w:hAnsi="Times New Roman" w:eastAsia="宋体" w:cs="Arial"/>
              <w:kern w:val="28"/>
              <w:sz w:val="21"/>
              <w:szCs w:val="24"/>
              <w:lang w:val="en-GB"/>
            </w:rPr>
          </w:pPr>
        </w:p>
        <w:tbl>
          <w:tblPr>
            <w:tblStyle w:val="38"/>
            <w:tblW w:w="8755" w:type="dxa"/>
            <w:tblInd w:w="0" w:type="dxa"/>
            <w:tblLayout w:type="fixed"/>
            <w:tblCellMar>
              <w:top w:w="0" w:type="dxa"/>
              <w:left w:w="108" w:type="dxa"/>
              <w:bottom w:w="0" w:type="dxa"/>
              <w:right w:w="108" w:type="dxa"/>
            </w:tblCellMar>
          </w:tblPr>
          <w:tblGrid>
            <w:gridCol w:w="3252"/>
            <w:gridCol w:w="555"/>
            <w:gridCol w:w="1404"/>
            <w:gridCol w:w="1276"/>
            <w:gridCol w:w="2268"/>
          </w:tblGrid>
          <w:tr>
            <w:tblPrEx>
              <w:tblCellMar>
                <w:top w:w="0" w:type="dxa"/>
                <w:left w:w="108" w:type="dxa"/>
                <w:bottom w:w="0" w:type="dxa"/>
                <w:right w:w="108" w:type="dxa"/>
              </w:tblCellMar>
            </w:tblPrEx>
            <w:trPr>
              <w:trHeight w:val="20" w:hRule="atLeast"/>
            </w:trPr>
            <w:tc>
              <w:tcPr>
                <w:tcW w:w="3252"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r>
                  <w:rPr>
                    <w:rFonts w:ascii="Times New Roman" w:hAnsi="Times New Roman" w:eastAsia="宋体" w:cs="Arial"/>
                    <w:sz w:val="21"/>
                    <w:szCs w:val="24"/>
                    <w:lang w:val="en-GB"/>
                  </w:rPr>
                  <w:t>中喜会计师事务所（特殊普通合伙）</w:t>
                </w:r>
              </w:p>
            </w:tc>
            <w:tc>
              <w:tcPr>
                <w:tcW w:w="555"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c>
              <w:tcPr>
                <w:tcW w:w="2680" w:type="dxa"/>
                <w:gridSpan w:val="2"/>
                <w:noWrap w:val="0"/>
                <w:vAlign w:val="top"/>
              </w:tcPr>
              <w:p>
                <w:pPr>
                  <w:keepNext w:val="0"/>
                  <w:keepLines w:val="0"/>
                  <w:pageBreakBefore w:val="0"/>
                  <w:kinsoku/>
                  <w:overflowPunct/>
                  <w:topLinePunct w:val="0"/>
                  <w:autoSpaceDE/>
                  <w:autoSpaceDN/>
                  <w:bidi w:val="0"/>
                  <w:spacing w:line="400" w:lineRule="exact"/>
                  <w:ind w:right="-109" w:rightChars="-52" w:firstLine="420" w:firstLineChars="200"/>
                  <w:jc w:val="right"/>
                  <w:textAlignment w:val="auto"/>
                  <w:rPr>
                    <w:rFonts w:ascii="Times New Roman" w:hAnsi="Times New Roman" w:eastAsia="宋体" w:cs="Arial"/>
                    <w:sz w:val="21"/>
                    <w:szCs w:val="24"/>
                    <w:lang w:val="en-GB"/>
                  </w:rPr>
                </w:pPr>
                <w:r>
                  <w:rPr>
                    <w:rFonts w:ascii="Times New Roman" w:hAnsi="Times New Roman" w:eastAsia="宋体" w:cs="Arial"/>
                    <w:sz w:val="21"/>
                    <w:szCs w:val="24"/>
                    <w:lang w:val="en-GB"/>
                  </w:rPr>
                  <w:t>中国注册会计师：</w:t>
                </w:r>
              </w:p>
            </w:tc>
            <w:tc>
              <w:tcPr>
                <w:tcW w:w="2268" w:type="dxa"/>
                <w:tcBorders>
                  <w:bottom w:val="single" w:color="auto" w:sz="4" w:space="0"/>
                </w:tcBorders>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r>
          <w:tr>
            <w:tblPrEx>
              <w:tblCellMar>
                <w:top w:w="0" w:type="dxa"/>
                <w:left w:w="108" w:type="dxa"/>
                <w:bottom w:w="0" w:type="dxa"/>
                <w:right w:w="108" w:type="dxa"/>
              </w:tblCellMar>
            </w:tblPrEx>
            <w:trPr>
              <w:trHeight w:val="20" w:hRule="atLeast"/>
            </w:trPr>
            <w:tc>
              <w:tcPr>
                <w:tcW w:w="3252"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c>
              <w:tcPr>
                <w:tcW w:w="555"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c>
              <w:tcPr>
                <w:tcW w:w="2680" w:type="dxa"/>
                <w:gridSpan w:val="2"/>
                <w:noWrap w:val="0"/>
                <w:vAlign w:val="top"/>
              </w:tcPr>
              <w:p>
                <w:pPr>
                  <w:keepNext w:val="0"/>
                  <w:keepLines w:val="0"/>
                  <w:pageBreakBefore w:val="0"/>
                  <w:kinsoku/>
                  <w:wordWrap/>
                  <w:overflowPunct/>
                  <w:topLinePunct w:val="0"/>
                  <w:autoSpaceDE/>
                  <w:autoSpaceDN/>
                  <w:bidi w:val="0"/>
                  <w:spacing w:line="400" w:lineRule="exact"/>
                  <w:ind w:firstLine="420" w:firstLineChars="200"/>
                  <w:jc w:val="right"/>
                  <w:textAlignment w:val="auto"/>
                  <w:rPr>
                    <w:rFonts w:ascii="Times New Roman" w:hAnsi="Times New Roman" w:eastAsia="宋体" w:cs="Arial"/>
                    <w:sz w:val="21"/>
                    <w:szCs w:val="24"/>
                    <w:lang w:val="en-GB"/>
                  </w:rPr>
                </w:pPr>
                <w:r>
                  <w:rPr>
                    <w:rFonts w:ascii="Times New Roman" w:hAnsi="Times New Roman" w:eastAsia="宋体" w:cs="Arial"/>
                    <w:sz w:val="21"/>
                    <w:szCs w:val="24"/>
                    <w:lang w:val="en-GB"/>
                  </w:rPr>
                  <w:t>（项目合伙人）</w:t>
                </w:r>
              </w:p>
            </w:tc>
            <w:tc>
              <w:tcPr>
                <w:tcW w:w="2268" w:type="dxa"/>
                <w:tcBorders>
                  <w:top w:val="single" w:color="auto" w:sz="4" w:space="0"/>
                  <w:left w:val="nil"/>
                  <w:right w:val="nil"/>
                </w:tcBorders>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r>
                  <w:rPr>
                    <w:rFonts w:ascii="Times New Roman" w:hAnsi="Times New Roman" w:eastAsia="宋体" w:cs="Arial"/>
                    <w:sz w:val="21"/>
                    <w:szCs w:val="24"/>
                    <w:lang w:val="en-GB"/>
                  </w:rPr>
                  <w:t>饶世旗</w:t>
                </w:r>
              </w:p>
            </w:tc>
          </w:tr>
          <w:tr>
            <w:tblPrEx>
              <w:tblCellMar>
                <w:top w:w="0" w:type="dxa"/>
                <w:left w:w="108" w:type="dxa"/>
                <w:bottom w:w="0" w:type="dxa"/>
                <w:right w:w="108" w:type="dxa"/>
              </w:tblCellMar>
            </w:tblPrEx>
            <w:trPr>
              <w:trHeight w:val="20" w:hRule="atLeast"/>
            </w:trPr>
            <w:tc>
              <w:tcPr>
                <w:tcW w:w="3252"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c>
              <w:tcPr>
                <w:tcW w:w="555"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c>
              <w:tcPr>
                <w:tcW w:w="2680" w:type="dxa"/>
                <w:gridSpan w:val="2"/>
                <w:noWrap w:val="0"/>
                <w:vAlign w:val="top"/>
              </w:tcPr>
              <w:p>
                <w:pPr>
                  <w:keepNext w:val="0"/>
                  <w:keepLines w:val="0"/>
                  <w:pageBreakBefore w:val="0"/>
                  <w:kinsoku/>
                  <w:overflowPunct/>
                  <w:topLinePunct w:val="0"/>
                  <w:autoSpaceDE/>
                  <w:autoSpaceDN/>
                  <w:bidi w:val="0"/>
                  <w:spacing w:line="400" w:lineRule="exact"/>
                  <w:ind w:right="-109" w:rightChars="-52" w:firstLine="420" w:firstLineChars="200"/>
                  <w:jc w:val="right"/>
                  <w:textAlignment w:val="auto"/>
                  <w:rPr>
                    <w:rFonts w:ascii="Times New Roman" w:hAnsi="Times New Roman" w:eastAsia="宋体" w:cs="Arial"/>
                    <w:sz w:val="21"/>
                    <w:szCs w:val="24"/>
                    <w:lang w:val="en-GB"/>
                  </w:rPr>
                </w:pPr>
              </w:p>
            </w:tc>
            <w:tc>
              <w:tcPr>
                <w:tcW w:w="2268" w:type="dxa"/>
                <w:tcBorders>
                  <w:left w:val="nil"/>
                  <w:bottom w:val="nil"/>
                  <w:right w:val="nil"/>
                </w:tcBorders>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u w:val="single"/>
                    <w:lang w:val="en-GB"/>
                  </w:rPr>
                </w:pPr>
              </w:p>
            </w:tc>
          </w:tr>
          <w:tr>
            <w:tblPrEx>
              <w:tblCellMar>
                <w:top w:w="0" w:type="dxa"/>
                <w:left w:w="108" w:type="dxa"/>
                <w:bottom w:w="0" w:type="dxa"/>
                <w:right w:w="108" w:type="dxa"/>
              </w:tblCellMar>
            </w:tblPrEx>
            <w:trPr>
              <w:trHeight w:val="20" w:hRule="atLeast"/>
            </w:trPr>
            <w:tc>
              <w:tcPr>
                <w:tcW w:w="3252"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c>
              <w:tcPr>
                <w:tcW w:w="555"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c>
              <w:tcPr>
                <w:tcW w:w="2680" w:type="dxa"/>
                <w:gridSpan w:val="2"/>
                <w:noWrap w:val="0"/>
                <w:vAlign w:val="top"/>
              </w:tcPr>
              <w:p>
                <w:pPr>
                  <w:keepNext w:val="0"/>
                  <w:keepLines w:val="0"/>
                  <w:pageBreakBefore w:val="0"/>
                  <w:kinsoku/>
                  <w:overflowPunct/>
                  <w:topLinePunct w:val="0"/>
                  <w:autoSpaceDE/>
                  <w:autoSpaceDN/>
                  <w:bidi w:val="0"/>
                  <w:spacing w:line="400" w:lineRule="exact"/>
                  <w:ind w:right="-109" w:rightChars="-52" w:firstLine="420" w:firstLineChars="200"/>
                  <w:jc w:val="right"/>
                  <w:textAlignment w:val="auto"/>
                  <w:rPr>
                    <w:rFonts w:ascii="Times New Roman" w:hAnsi="Times New Roman" w:eastAsia="宋体" w:cs="Arial"/>
                    <w:sz w:val="21"/>
                    <w:szCs w:val="24"/>
                    <w:lang w:val="en-GB"/>
                  </w:rPr>
                </w:pPr>
              </w:p>
            </w:tc>
            <w:tc>
              <w:tcPr>
                <w:tcW w:w="2268"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r>
          <w:tr>
            <w:tblPrEx>
              <w:tblCellMar>
                <w:top w:w="0" w:type="dxa"/>
                <w:left w:w="108" w:type="dxa"/>
                <w:bottom w:w="0" w:type="dxa"/>
                <w:right w:w="108" w:type="dxa"/>
              </w:tblCellMar>
            </w:tblPrEx>
            <w:trPr>
              <w:trHeight w:val="20" w:hRule="atLeast"/>
            </w:trPr>
            <w:tc>
              <w:tcPr>
                <w:tcW w:w="3252"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c>
              <w:tcPr>
                <w:tcW w:w="555"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c>
              <w:tcPr>
                <w:tcW w:w="2680" w:type="dxa"/>
                <w:gridSpan w:val="2"/>
                <w:noWrap w:val="0"/>
                <w:vAlign w:val="top"/>
              </w:tcPr>
              <w:p>
                <w:pPr>
                  <w:keepNext w:val="0"/>
                  <w:keepLines w:val="0"/>
                  <w:pageBreakBefore w:val="0"/>
                  <w:kinsoku/>
                  <w:overflowPunct/>
                  <w:topLinePunct w:val="0"/>
                  <w:autoSpaceDE/>
                  <w:autoSpaceDN/>
                  <w:bidi w:val="0"/>
                  <w:spacing w:line="400" w:lineRule="exact"/>
                  <w:ind w:right="-109" w:rightChars="-52" w:firstLine="420" w:firstLineChars="200"/>
                  <w:jc w:val="right"/>
                  <w:textAlignment w:val="auto"/>
                  <w:rPr>
                    <w:rFonts w:ascii="Times New Roman" w:hAnsi="Times New Roman" w:eastAsia="宋体" w:cs="Arial"/>
                    <w:sz w:val="21"/>
                    <w:szCs w:val="24"/>
                    <w:lang w:val="en-GB"/>
                  </w:rPr>
                </w:pPr>
              </w:p>
            </w:tc>
            <w:tc>
              <w:tcPr>
                <w:tcW w:w="2268"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r>
          <w:tr>
            <w:tblPrEx>
              <w:tblCellMar>
                <w:top w:w="0" w:type="dxa"/>
                <w:left w:w="108" w:type="dxa"/>
                <w:bottom w:w="0" w:type="dxa"/>
                <w:right w:w="108" w:type="dxa"/>
              </w:tblCellMar>
            </w:tblPrEx>
            <w:trPr>
              <w:trHeight w:val="20" w:hRule="atLeast"/>
            </w:trPr>
            <w:tc>
              <w:tcPr>
                <w:tcW w:w="3252"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c>
              <w:tcPr>
                <w:tcW w:w="555"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c>
              <w:tcPr>
                <w:tcW w:w="2680" w:type="dxa"/>
                <w:gridSpan w:val="2"/>
                <w:noWrap w:val="0"/>
                <w:vAlign w:val="top"/>
              </w:tcPr>
              <w:p>
                <w:pPr>
                  <w:keepNext w:val="0"/>
                  <w:keepLines w:val="0"/>
                  <w:pageBreakBefore w:val="0"/>
                  <w:kinsoku/>
                  <w:overflowPunct/>
                  <w:topLinePunct w:val="0"/>
                  <w:autoSpaceDE/>
                  <w:autoSpaceDN/>
                  <w:bidi w:val="0"/>
                  <w:spacing w:line="400" w:lineRule="exact"/>
                  <w:ind w:right="-109" w:rightChars="-52" w:firstLine="420" w:firstLineChars="200"/>
                  <w:jc w:val="right"/>
                  <w:textAlignment w:val="auto"/>
                  <w:rPr>
                    <w:rFonts w:ascii="Times New Roman" w:hAnsi="Times New Roman" w:eastAsia="宋体" w:cs="Arial"/>
                    <w:sz w:val="21"/>
                    <w:szCs w:val="24"/>
                    <w:lang w:val="en-GB"/>
                  </w:rPr>
                </w:pPr>
              </w:p>
            </w:tc>
            <w:tc>
              <w:tcPr>
                <w:tcW w:w="2268"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r>
          <w:tr>
            <w:tblPrEx>
              <w:tblCellMar>
                <w:top w:w="0" w:type="dxa"/>
                <w:left w:w="108" w:type="dxa"/>
                <w:bottom w:w="0" w:type="dxa"/>
                <w:right w:w="108" w:type="dxa"/>
              </w:tblCellMar>
            </w:tblPrEx>
            <w:trPr>
              <w:trHeight w:val="20" w:hRule="atLeast"/>
            </w:trPr>
            <w:tc>
              <w:tcPr>
                <w:tcW w:w="3252"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c>
              <w:tcPr>
                <w:tcW w:w="555"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c>
              <w:tcPr>
                <w:tcW w:w="2680" w:type="dxa"/>
                <w:gridSpan w:val="2"/>
                <w:noWrap w:val="0"/>
                <w:vAlign w:val="top"/>
              </w:tcPr>
              <w:p>
                <w:pPr>
                  <w:keepNext w:val="0"/>
                  <w:keepLines w:val="0"/>
                  <w:pageBreakBefore w:val="0"/>
                  <w:kinsoku/>
                  <w:overflowPunct/>
                  <w:topLinePunct w:val="0"/>
                  <w:autoSpaceDE/>
                  <w:autoSpaceDN/>
                  <w:bidi w:val="0"/>
                  <w:spacing w:line="400" w:lineRule="exact"/>
                  <w:ind w:right="-109" w:rightChars="-52" w:firstLine="420" w:firstLineChars="200"/>
                  <w:jc w:val="right"/>
                  <w:textAlignment w:val="auto"/>
                  <w:rPr>
                    <w:rFonts w:ascii="Times New Roman" w:hAnsi="Times New Roman" w:eastAsia="宋体" w:cs="Arial"/>
                    <w:sz w:val="21"/>
                    <w:szCs w:val="24"/>
                    <w:lang w:val="en-GB"/>
                  </w:rPr>
                </w:pPr>
                <w:r>
                  <w:rPr>
                    <w:rFonts w:ascii="Times New Roman" w:hAnsi="Times New Roman" w:eastAsia="宋体" w:cs="Arial"/>
                    <w:sz w:val="21"/>
                    <w:szCs w:val="24"/>
                    <w:lang w:val="en-GB"/>
                  </w:rPr>
                  <w:t>中国注册会计师：</w:t>
                </w:r>
              </w:p>
            </w:tc>
            <w:tc>
              <w:tcPr>
                <w:tcW w:w="2268" w:type="dxa"/>
                <w:tcBorders>
                  <w:top w:val="nil"/>
                  <w:left w:val="nil"/>
                  <w:bottom w:val="single" w:color="auto" w:sz="4" w:space="0"/>
                  <w:right w:val="nil"/>
                </w:tcBorders>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r>
          <w:tr>
            <w:tblPrEx>
              <w:tblCellMar>
                <w:top w:w="0" w:type="dxa"/>
                <w:left w:w="108" w:type="dxa"/>
                <w:bottom w:w="0" w:type="dxa"/>
                <w:right w:w="108" w:type="dxa"/>
              </w:tblCellMar>
            </w:tblPrEx>
            <w:trPr>
              <w:trHeight w:val="20" w:hRule="atLeast"/>
            </w:trPr>
            <w:tc>
              <w:tcPr>
                <w:tcW w:w="3252"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c>
              <w:tcPr>
                <w:tcW w:w="555"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c>
              <w:tcPr>
                <w:tcW w:w="2680" w:type="dxa"/>
                <w:gridSpan w:val="2"/>
                <w:noWrap w:val="0"/>
                <w:vAlign w:val="top"/>
              </w:tcPr>
              <w:p>
                <w:pPr>
                  <w:keepNext w:val="0"/>
                  <w:keepLines w:val="0"/>
                  <w:pageBreakBefore w:val="0"/>
                  <w:kinsoku/>
                  <w:overflowPunct/>
                  <w:topLinePunct w:val="0"/>
                  <w:autoSpaceDE/>
                  <w:autoSpaceDN/>
                  <w:bidi w:val="0"/>
                  <w:spacing w:line="400" w:lineRule="exact"/>
                  <w:ind w:firstLine="420" w:firstLineChars="200"/>
                  <w:jc w:val="right"/>
                  <w:textAlignment w:val="auto"/>
                  <w:rPr>
                    <w:rFonts w:ascii="Times New Roman" w:hAnsi="Times New Roman" w:eastAsia="宋体" w:cs="Arial"/>
                    <w:sz w:val="21"/>
                    <w:szCs w:val="24"/>
                    <w:lang w:val="en-GB"/>
                  </w:rPr>
                </w:pPr>
              </w:p>
            </w:tc>
            <w:tc>
              <w:tcPr>
                <w:tcW w:w="2268" w:type="dxa"/>
                <w:tcBorders>
                  <w:top w:val="single" w:color="auto" w:sz="4" w:space="0"/>
                  <w:left w:val="nil"/>
                  <w:bottom w:val="nil"/>
                  <w:right w:val="nil"/>
                </w:tcBorders>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r>
                  <w:rPr>
                    <w:rFonts w:hint="eastAsia" w:ascii="Times New Roman" w:hAnsi="Times New Roman" w:eastAsia="宋体" w:cs="Arial"/>
                    <w:sz w:val="21"/>
                    <w:szCs w:val="24"/>
                    <w:lang w:val="en-GB"/>
                  </w:rPr>
                  <w:t>张丽</w:t>
                </w:r>
              </w:p>
            </w:tc>
          </w:tr>
          <w:tr>
            <w:tblPrEx>
              <w:tblCellMar>
                <w:top w:w="0" w:type="dxa"/>
                <w:left w:w="108" w:type="dxa"/>
                <w:bottom w:w="0" w:type="dxa"/>
                <w:right w:w="108" w:type="dxa"/>
              </w:tblCellMar>
            </w:tblPrEx>
            <w:trPr>
              <w:trHeight w:val="20" w:hRule="atLeast"/>
            </w:trPr>
            <w:tc>
              <w:tcPr>
                <w:tcW w:w="3252"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c>
              <w:tcPr>
                <w:tcW w:w="555"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c>
              <w:tcPr>
                <w:tcW w:w="2680" w:type="dxa"/>
                <w:gridSpan w:val="2"/>
                <w:noWrap w:val="0"/>
                <w:vAlign w:val="top"/>
              </w:tcPr>
              <w:p>
                <w:pPr>
                  <w:keepNext w:val="0"/>
                  <w:keepLines w:val="0"/>
                  <w:pageBreakBefore w:val="0"/>
                  <w:kinsoku/>
                  <w:overflowPunct/>
                  <w:topLinePunct w:val="0"/>
                  <w:autoSpaceDE/>
                  <w:autoSpaceDN/>
                  <w:bidi w:val="0"/>
                  <w:spacing w:line="400" w:lineRule="exact"/>
                  <w:ind w:firstLine="420" w:firstLineChars="200"/>
                  <w:jc w:val="right"/>
                  <w:textAlignment w:val="auto"/>
                  <w:rPr>
                    <w:rFonts w:ascii="Times New Roman" w:hAnsi="Times New Roman" w:eastAsia="宋体" w:cs="Arial"/>
                    <w:sz w:val="21"/>
                    <w:szCs w:val="24"/>
                    <w:lang w:val="en-GB"/>
                  </w:rPr>
                </w:pPr>
              </w:p>
            </w:tc>
            <w:tc>
              <w:tcPr>
                <w:tcW w:w="2268"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color w:val="000000"/>
                    <w:sz w:val="21"/>
                    <w:szCs w:val="24"/>
                    <w:lang w:val="en-GB"/>
                  </w:rPr>
                </w:pPr>
              </w:p>
            </w:tc>
          </w:tr>
          <w:tr>
            <w:tblPrEx>
              <w:tblCellMar>
                <w:top w:w="0" w:type="dxa"/>
                <w:left w:w="108" w:type="dxa"/>
                <w:bottom w:w="0" w:type="dxa"/>
                <w:right w:w="108" w:type="dxa"/>
              </w:tblCellMar>
            </w:tblPrEx>
            <w:trPr>
              <w:trHeight w:val="20" w:hRule="atLeast"/>
            </w:trPr>
            <w:tc>
              <w:tcPr>
                <w:tcW w:w="3252" w:type="dxa"/>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color w:val="000000"/>
                    <w:sz w:val="21"/>
                    <w:szCs w:val="24"/>
                    <w:lang w:val="en-GB"/>
                  </w:rPr>
                </w:pPr>
                <w:r>
                  <w:rPr>
                    <w:rFonts w:ascii="Times New Roman" w:hAnsi="Times New Roman" w:eastAsia="宋体" w:cs="Arial"/>
                    <w:color w:val="000000"/>
                    <w:sz w:val="21"/>
                    <w:szCs w:val="24"/>
                    <w:lang w:val="en-GB"/>
                  </w:rPr>
                  <w:t>中国</w:t>
                </w:r>
                <w:r>
                  <w:rPr>
                    <w:rFonts w:hint="eastAsia" w:ascii="Times New Roman" w:hAnsi="Times New Roman" w:eastAsia="宋体" w:cs="Arial"/>
                    <w:color w:val="000000"/>
                    <w:sz w:val="21"/>
                    <w:szCs w:val="24"/>
                    <w:lang w:val="en-GB"/>
                  </w:rPr>
                  <w:t>·北京</w:t>
                </w:r>
              </w:p>
            </w:tc>
            <w:tc>
              <w:tcPr>
                <w:tcW w:w="1959" w:type="dxa"/>
                <w:gridSpan w:val="2"/>
                <w:noWrap w:val="0"/>
                <w:vAlign w:val="top"/>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p>
            </w:tc>
            <w:tc>
              <w:tcPr>
                <w:tcW w:w="3544" w:type="dxa"/>
                <w:gridSpan w:val="2"/>
                <w:noWrap w:val="0"/>
                <w:vAlign w:val="bottom"/>
              </w:tcPr>
              <w:p>
                <w:pPr>
                  <w:keepNext w:val="0"/>
                  <w:keepLines w:val="0"/>
                  <w:pageBreakBefore w:val="0"/>
                  <w:kinsoku/>
                  <w:overflowPunct/>
                  <w:topLinePunct w:val="0"/>
                  <w:autoSpaceDE/>
                  <w:autoSpaceDN/>
                  <w:bidi w:val="0"/>
                  <w:spacing w:line="400" w:lineRule="exact"/>
                  <w:ind w:firstLine="420" w:firstLineChars="200"/>
                  <w:jc w:val="center"/>
                  <w:textAlignment w:val="auto"/>
                  <w:rPr>
                    <w:rFonts w:ascii="Times New Roman" w:hAnsi="Times New Roman" w:eastAsia="宋体" w:cs="Arial"/>
                    <w:sz w:val="21"/>
                    <w:szCs w:val="24"/>
                    <w:lang w:val="en-GB"/>
                  </w:rPr>
                </w:pPr>
                <w:r>
                  <w:rPr>
                    <w:rFonts w:ascii="Times New Roman" w:hAnsi="Times New Roman" w:eastAsia="宋体" w:cs="Arial"/>
                    <w:sz w:val="21"/>
                    <w:lang w:val="en-GB"/>
                  </w:rPr>
                  <w:t>二〇二</w:t>
                </w:r>
                <w:r>
                  <w:rPr>
                    <w:rFonts w:hint="eastAsia" w:ascii="Times New Roman" w:hAnsi="Times New Roman" w:eastAsia="宋体" w:cs="Arial"/>
                    <w:sz w:val="21"/>
                    <w:lang w:val="en-GB"/>
                  </w:rPr>
                  <w:t>六</w:t>
                </w:r>
                <w:r>
                  <w:rPr>
                    <w:rFonts w:ascii="Times New Roman" w:hAnsi="Times New Roman" w:eastAsia="宋体" w:cs="Arial"/>
                    <w:sz w:val="21"/>
                    <w:lang w:val="en-GB"/>
                  </w:rPr>
                  <w:t>年</w:t>
                </w:r>
                <w:r>
                  <w:rPr>
                    <w:rFonts w:hint="eastAsia" w:ascii="Times New Roman" w:hAnsi="Times New Roman" w:eastAsia="宋体" w:cs="Arial"/>
                    <w:sz w:val="21"/>
                    <w:lang w:val="en-GB"/>
                  </w:rPr>
                  <w:t>三</w:t>
                </w:r>
                <w:r>
                  <w:rPr>
                    <w:rFonts w:ascii="Times New Roman" w:hAnsi="Times New Roman" w:eastAsia="宋体" w:cs="Arial"/>
                    <w:sz w:val="21"/>
                    <w:lang w:val="en-GB"/>
                  </w:rPr>
                  <w:t>月二十</w:t>
                </w:r>
                <w:r>
                  <w:rPr>
                    <w:rFonts w:hint="eastAsia" w:ascii="Times New Roman" w:hAnsi="Times New Roman" w:eastAsia="宋体" w:cs="Arial"/>
                    <w:sz w:val="21"/>
                    <w:lang w:val="en-GB"/>
                  </w:rPr>
                  <w:t>五</w:t>
                </w:r>
                <w:r>
                  <w:rPr>
                    <w:rFonts w:ascii="Times New Roman" w:hAnsi="Times New Roman" w:eastAsia="宋体" w:cs="Arial"/>
                    <w:sz w:val="21"/>
                    <w:lang w:val="en-GB"/>
                  </w:rPr>
                  <w:t>日</w:t>
                </w:r>
              </w:p>
            </w:tc>
          </w:tr>
        </w:tbl>
        <w:p>
          <w:pPr>
            <w:widowControl w:val="0"/>
            <w:snapToGrid w:val="0"/>
            <w:spacing w:line="20" w:lineRule="exact"/>
            <w:ind w:right="27" w:rightChars="13" w:firstLine="480" w:firstLineChars="200"/>
            <w:jc w:val="both"/>
            <w:rPr>
              <w:rFonts w:ascii="Arial" w:hAnsi="Arial" w:eastAsia="宋体" w:cs="Arial"/>
              <w:kern w:val="28"/>
              <w:sz w:val="24"/>
              <w:szCs w:val="24"/>
              <w:lang w:val="en-GB"/>
            </w:rPr>
          </w:pPr>
        </w:p>
        <w:p/>
      </w:sdtContent>
    </w:sdt>
    <w:p/>
    <w:sdt>
      <w:sdtPr>
        <w:tag w:val="_PLD_e06a005d08554c9c8931b2f34b9f3d7e"/>
        <w:id w:val="6376"/>
      </w:sdtPr>
      <w:sdtContent>
        <w:p>
          <w:pPr>
            <w:pStyle w:val="3"/>
            <w:numPr>
              <w:ilvl w:val="0"/>
              <w:numId w:val="52"/>
            </w:numPr>
            <w:rPr>
              <w:rFonts w:hint="eastAsia" w:ascii="宋体" w:hAnsi="宋体"/>
            </w:rPr>
          </w:pPr>
          <w:r>
            <w:rPr>
              <w:rFonts w:hint="eastAsia" w:ascii="宋体" w:hAnsi="宋体"/>
            </w:rPr>
            <w:t>财务报表</w:t>
          </w:r>
        </w:p>
      </w:sdtContent>
    </w:sdt>
    <w:sdt>
      <w:sdtPr>
        <w:rPr>
          <w:rFonts w:hint="eastAsia" w:ascii="宋体" w:hAnsi="宋体" w:cs="宋体"/>
          <w:b w:val="0"/>
          <w:bCs w:val="0"/>
          <w:kern w:val="0"/>
          <w:szCs w:val="24"/>
        </w:rPr>
        <w:alias w:val="选项模块:需要编制合并报表（资产负债表）"/>
        <w:tag w:val="_SEC_cc37a84cf19b441f93487bfd1de48f00"/>
        <w:id w:val="6377"/>
        <w:placeholder>
          <w:docPart w:val="GBC22222222222222222222222222222"/>
        </w:placeholder>
      </w:sdtPr>
      <w:sdtEndPr>
        <w:rPr>
          <w:rFonts w:hint="eastAsia" w:ascii="Times New Roman" w:hAnsi="Times New Roman" w:cs="Times New Roman"/>
          <w:b w:val="0"/>
          <w:bCs w:val="0"/>
          <w:kern w:val="0"/>
          <w:szCs w:val="21"/>
        </w:rPr>
      </w:sdtEndPr>
      <w:sdtContent>
        <w:sdt>
          <w:sdtPr>
            <w:rPr>
              <w:rFonts w:hint="eastAsia" w:ascii="宋体" w:hAnsi="宋体" w:cs="宋体"/>
              <w:b w:val="0"/>
              <w:bCs w:val="0"/>
              <w:kern w:val="0"/>
              <w:szCs w:val="24"/>
            </w:rPr>
            <w:tag w:val="_SEC_da8537716f844d348642866e2e19ed15"/>
            <w:id w:val="6378"/>
            <w:placeholder>
              <w:docPart w:val="GBC22222222222222222222222222222"/>
            </w:placeholder>
          </w:sdtPr>
          <w:sdtEndPr>
            <w:rPr>
              <w:rFonts w:hint="default" w:ascii="Times New Roman" w:hAnsi="Times New Roman" w:cs="Times New Roman"/>
              <w:b w:val="0"/>
              <w:bCs w:val="0"/>
              <w:color w:val="008000"/>
              <w:kern w:val="0"/>
              <w:szCs w:val="21"/>
              <w:u w:val="single"/>
            </w:rPr>
          </w:sdtEndPr>
          <w:sdtContent>
            <w:p>
              <w:pPr>
                <w:pStyle w:val="4"/>
                <w:jc w:val="center"/>
              </w:pPr>
              <w:bookmarkStart w:id="177" w:name="_Hlk24034092"/>
              <w:bookmarkEnd w:id="177"/>
              <w:bookmarkStart w:id="178" w:name="_Hlk182475374"/>
              <w:r>
                <w:rPr>
                  <w:rFonts w:hint="eastAsia"/>
                </w:rPr>
                <w:t>合并资产负债表</w:t>
              </w:r>
            </w:p>
            <w:p>
              <w:pPr>
                <w:snapToGrid w:val="0"/>
                <w:spacing w:line="240" w:lineRule="atLeast"/>
                <w:jc w:val="center"/>
                <w:rPr>
                  <w:b/>
                  <w:szCs w:val="21"/>
                </w:rPr>
              </w:pPr>
              <w:r>
                <w:rPr>
                  <w:szCs w:val="21"/>
                </w:rPr>
                <w:t>2025年12月31日</w:t>
              </w:r>
            </w:p>
            <w:p>
              <w:pPr>
                <w:rPr>
                  <w:szCs w:val="21"/>
                </w:rPr>
              </w:pPr>
              <w:r>
                <w:rPr>
                  <w:szCs w:val="21"/>
                </w:rPr>
                <w:t>编制单位</w:t>
              </w:r>
              <w:r>
                <w:rPr>
                  <w:rFonts w:hint="eastAsia"/>
                  <w:szCs w:val="21"/>
                </w:rPr>
                <w:t>：</w:t>
              </w:r>
              <w:sdt>
                <w:sdtPr>
                  <w:rPr>
                    <w:szCs w:val="21"/>
                  </w:rPr>
                  <w:alias w:val="公司法定中文名称"/>
                  <w:tag w:val="_GBC_22071e1c4bb04578b94539b252cb1c67"/>
                  <w:id w:val="6379"/>
                  <w:placeholder>
                    <w:docPart w:val="GBC22222222222222222222222222222"/>
                  </w:placeholder>
                  <w:dataBinding w:prefixMappings="xmlns:clcid-cgi='clcid-cgi'" w:xpath="/*/clcid-cgi:GongSiFaDingZhongWenMingCheng[not(@periodRef)]" w:storeItemID="{89EBAB94-44A0-46A2-B712-30D997D04A6D}"/>
                  <w:text/>
                </w:sdtPr>
                <w:sdtEndPr>
                  <w:rPr>
                    <w:szCs w:val="21"/>
                  </w:rPr>
                </w:sdtEndPr>
                <w:sdtContent>
                  <w:r>
                    <w:rPr>
                      <w:rFonts w:hint="eastAsia"/>
                      <w:szCs w:val="21"/>
                      <w:lang w:eastAsia="zh-CN"/>
                    </w:rPr>
                    <w:t>柳州两面针股份有限公司</w:t>
                  </w:r>
                </w:sdtContent>
              </w:sdt>
            </w:p>
            <w:p>
              <w:pPr>
                <w:jc w:val="right"/>
                <w:rPr>
                  <w:szCs w:val="21"/>
                </w:rPr>
              </w:pPr>
              <w:r>
                <w:rPr>
                  <w:szCs w:val="21"/>
                </w:rPr>
                <w:t>单位：</w:t>
              </w:r>
              <w:sdt>
                <w:sdtPr>
                  <w:rPr>
                    <w:szCs w:val="21"/>
                  </w:rPr>
                  <w:alias w:val="单位：合并资产负债表"/>
                  <w:tag w:val="_GBC_8c6918f285a44e0f8fb06fefffa27df4"/>
                  <w:id w:val="638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szCs w:val="21"/>
                  </w:rPr>
                </w:sdtEndPr>
                <w:sdtContent>
                  <w:r>
                    <w:rPr>
                      <w:szCs w:val="21"/>
                    </w:rPr>
                    <w:t>元</w:t>
                  </w:r>
                </w:sdtContent>
              </w:sdt>
              <w:r>
                <w:rPr>
                  <w:szCs w:val="21"/>
                </w:rPr>
                <w:t xml:space="preserve">  币种：</w:t>
              </w:r>
              <w:sdt>
                <w:sdtPr>
                  <w:rPr>
                    <w:szCs w:val="21"/>
                  </w:rPr>
                  <w:alias w:val="币种：合并资产负债表"/>
                  <w:tag w:val="_GBC_0953b26208a64010937af0b40efed509"/>
                  <w:id w:val="63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szCs w:val="21"/>
                  </w:rPr>
                </w:sdtEndPr>
                <w:sdtContent>
                  <w:r>
                    <w:rPr>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944"/>
                <w:gridCol w:w="1133"/>
                <w:gridCol w:w="2550"/>
                <w:gridCol w:w="24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2944" w:type="dxa"/>
                    <w:tcBorders>
                      <w:top w:val="outset" w:color="auto" w:sz="6" w:space="0"/>
                      <w:left w:val="outset" w:color="auto" w:sz="6" w:space="0"/>
                      <w:bottom w:val="outset" w:color="auto" w:sz="6" w:space="0"/>
                      <w:right w:val="outset" w:color="auto" w:sz="6" w:space="0"/>
                    </w:tcBorders>
                    <w:vAlign w:val="center"/>
                  </w:tcPr>
                  <w:sdt>
                    <w:sdtPr>
                      <w:tag w:val="_PLD_e88f994cf669436ebd34aa04979abc4a"/>
                      <w:id w:val="6382"/>
                    </w:sdtPr>
                    <w:sdtContent>
                      <w:p>
                        <w:pPr>
                          <w:jc w:val="center"/>
                          <w:rPr>
                            <w:b/>
                            <w:color w:val="000000" w:themeColor="text1"/>
                            <w14:textFill>
                              <w14:solidFill>
                                <w14:schemeClr w14:val="tx1"/>
                              </w14:solidFill>
                            </w14:textFill>
                          </w:rPr>
                        </w:pPr>
                        <w:bookmarkStart w:id="179" w:name="_Hlk137046697"/>
                        <w:r>
                          <w:rPr>
                            <w:b/>
                            <w:color w:val="000000" w:themeColor="text1"/>
                            <w14:textFill>
                              <w14:solidFill>
                                <w14:schemeClr w14:val="tx1"/>
                              </w14:solidFill>
                            </w14:textFill>
                          </w:rPr>
                          <w:t>项目</w:t>
                        </w:r>
                      </w:p>
                    </w:sdtContent>
                  </w:sdt>
                </w:tc>
                <w:tc>
                  <w:tcPr>
                    <w:tcW w:w="1133" w:type="dxa"/>
                    <w:tcBorders>
                      <w:top w:val="outset" w:color="auto" w:sz="6" w:space="0"/>
                      <w:left w:val="outset" w:color="auto" w:sz="6" w:space="0"/>
                      <w:bottom w:val="outset" w:color="auto" w:sz="6" w:space="0"/>
                      <w:right w:val="outset" w:color="auto" w:sz="6" w:space="0"/>
                    </w:tcBorders>
                    <w:vAlign w:val="center"/>
                  </w:tcPr>
                  <w:sdt>
                    <w:sdtPr>
                      <w:tag w:val="_PLD_1b1f75a08f0046c7a2abc9d59780d042"/>
                      <w:id w:val="6383"/>
                    </w:sdtPr>
                    <w:sdtContent>
                      <w:p>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附注</w:t>
                        </w:r>
                      </w:p>
                    </w:sdtContent>
                  </w:sdt>
                </w:tc>
                <w:tc>
                  <w:tcPr>
                    <w:tcW w:w="2550" w:type="dxa"/>
                    <w:tcBorders>
                      <w:top w:val="outset" w:color="auto" w:sz="6" w:space="0"/>
                      <w:left w:val="outset" w:color="auto" w:sz="6" w:space="0"/>
                      <w:bottom w:val="outset" w:color="auto" w:sz="6" w:space="0"/>
                      <w:right w:val="outset" w:color="auto" w:sz="6" w:space="0"/>
                    </w:tcBorders>
                    <w:vAlign w:val="center"/>
                  </w:tcPr>
                  <w:sdt>
                    <w:sdtPr>
                      <w:tag w:val="_PLD_afa4cd62e5184f80ba13c8e19e91baa5"/>
                      <w:id w:val="6384"/>
                    </w:sdtPr>
                    <w:sdtContent>
                      <w:p>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2025年12月</w:t>
                        </w:r>
                        <w:r>
                          <w:rPr>
                            <w:b/>
                            <w:color w:val="000000" w:themeColor="text1"/>
                            <w14:textFill>
                              <w14:solidFill>
                                <w14:schemeClr w14:val="tx1"/>
                              </w14:solidFill>
                            </w14:textFill>
                          </w:rPr>
                          <w:t>3</w:t>
                        </w:r>
                        <w:r>
                          <w:rPr>
                            <w:rFonts w:hint="eastAsia"/>
                            <w:b/>
                            <w:color w:val="000000" w:themeColor="text1"/>
                            <w14:textFill>
                              <w14:solidFill>
                                <w14:schemeClr w14:val="tx1"/>
                              </w14:solidFill>
                            </w14:textFill>
                          </w:rPr>
                          <w:t>1日</w:t>
                        </w:r>
                      </w:p>
                    </w:sdtContent>
                  </w:sdt>
                </w:tc>
                <w:tc>
                  <w:tcPr>
                    <w:tcW w:w="2409" w:type="dxa"/>
                    <w:tcBorders>
                      <w:top w:val="outset" w:color="auto" w:sz="6" w:space="0"/>
                      <w:left w:val="outset" w:color="auto" w:sz="6" w:space="0"/>
                      <w:bottom w:val="outset" w:color="auto" w:sz="6" w:space="0"/>
                      <w:right w:val="outset" w:color="auto" w:sz="6" w:space="0"/>
                    </w:tcBorders>
                    <w:vAlign w:val="center"/>
                  </w:tcPr>
                  <w:sdt>
                    <w:sdtPr>
                      <w:tag w:val="_PLD_af2c4ec348eb42cba64145c988fe0f69"/>
                      <w:id w:val="6385"/>
                    </w:sdtPr>
                    <w:sdtContent>
                      <w:p>
                        <w:pPr>
                          <w:jc w:val="center"/>
                          <w:rPr>
                            <w:b/>
                            <w:color w:val="000000" w:themeColor="text1"/>
                            <w14:textFill>
                              <w14:solidFill>
                                <w14:schemeClr w14:val="tx1"/>
                              </w14:solidFill>
                            </w14:textFill>
                          </w:rPr>
                        </w:pPr>
                        <w:r>
                          <w:rPr>
                            <w:b/>
                            <w:color w:val="000000" w:themeColor="text1"/>
                            <w14:textFill>
                              <w14:solidFill>
                                <w14:schemeClr w14:val="tx1"/>
                              </w14:solidFill>
                            </w14:textFill>
                          </w:rPr>
                          <w:t>2024年12月31日</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38" w:type="dxa"/>
                    <w:gridSpan w:val="4"/>
                    <w:tcBorders>
                      <w:top w:val="outset" w:color="auto" w:sz="6" w:space="0"/>
                      <w:left w:val="outset" w:color="auto" w:sz="6" w:space="0"/>
                      <w:bottom w:val="outset" w:color="auto" w:sz="6" w:space="0"/>
                      <w:right w:val="outset" w:color="auto" w:sz="6" w:space="0"/>
                    </w:tcBorders>
                    <w:vAlign w:val="center"/>
                  </w:tcPr>
                  <w:sdt>
                    <w:sdtPr>
                      <w:tag w:val="_PLD_38b46463546242c595dc585220b1a4b3"/>
                      <w:id w:val="6386"/>
                    </w:sdtPr>
                    <w:sdtContent>
                      <w:p>
                        <w:pPr>
                          <w:rPr>
                            <w:b/>
                            <w:color w:val="000000" w:themeColor="text1"/>
                            <w14:textFill>
                              <w14:solidFill>
                                <w14:schemeClr w14:val="tx1"/>
                              </w14:solidFill>
                            </w14:textFill>
                          </w:rPr>
                        </w:pPr>
                        <w:r>
                          <w:rPr>
                            <w:rFonts w:hint="eastAsia"/>
                            <w:b/>
                            <w:color w:val="000000" w:themeColor="text1"/>
                            <w14:textFill>
                              <w14:solidFill>
                                <w14:schemeClr w14:val="tx1"/>
                              </w14:solidFill>
                            </w14:textFill>
                          </w:rPr>
                          <w:t>流动资产：</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货币资金</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七、1</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color w:val="auto"/>
                      </w:rPr>
                      <w:t>1,295,244,443.00</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1,272,880,948.54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结算备付金</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拆出资金</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交易性金融资产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七、2</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287,207,259.61</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290,897,872.17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衍生金融资产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应收票据</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七、4</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7,222,994.79</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10,673,284.91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应收账款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七、5</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107,306,100.38</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74,685,121.39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应收款项融资</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Style w:val="71"/>
                        <w:rFonts w:hint="eastAsia"/>
                        <w:color w:val="auto"/>
                      </w:rPr>
                      <w:t>七、7</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Style w:val="71"/>
                        <w:rFonts w:hint="eastAsia"/>
                        <w:color w:val="auto"/>
                      </w:rPr>
                      <w:t>10,479,155.61</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Style w:val="71"/>
                        <w:rFonts w:hint="eastAsia"/>
                        <w:color w:val="auto"/>
                      </w:rPr>
                      <w:t>18,188,699.66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预付款项</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七、8</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19,128,166.77</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33,108,654.16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应收保费</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应收分保账款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应收分保合同准备金</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其他应收款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七、9</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17,429,544.69</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13,518,822.14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其中：应收利息</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840" w:firstLineChars="400"/>
                      <w:rPr>
                        <w:color w:val="000000" w:themeColor="text1"/>
                        <w14:textFill>
                          <w14:solidFill>
                            <w14:schemeClr w14:val="tx1"/>
                          </w14:solidFill>
                        </w14:textFill>
                      </w:rPr>
                    </w:pPr>
                    <w:r>
                      <w:rPr>
                        <w:rFonts w:hint="eastAsia"/>
                        <w:color w:val="000000" w:themeColor="text1"/>
                        <w14:textFill>
                          <w14:solidFill>
                            <w14:schemeClr w14:val="tx1"/>
                          </w14:solidFill>
                        </w14:textFill>
                      </w:rPr>
                      <w:t>应收股利</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2,888,043.30</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买入返售金融资产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存货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七、10</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234,843,195.70</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269,878,429.03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其中：数据资源</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合同资产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持有待售资产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一年内到期的非流动资产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七、12</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551,240.96</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552,007.40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其他流动资产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七、13</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3,494,562.73</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2,395,991.13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流动资产合计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1,982,906,664.24</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1,986,779,830.53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38" w:type="dxa"/>
                    <w:gridSpan w:val="4"/>
                    <w:tcBorders>
                      <w:top w:val="outset" w:color="auto" w:sz="6" w:space="0"/>
                      <w:left w:val="outset" w:color="auto" w:sz="6" w:space="0"/>
                      <w:bottom w:val="outset" w:color="auto" w:sz="6" w:space="0"/>
                      <w:right w:val="outset" w:color="auto" w:sz="6" w:space="0"/>
                    </w:tcBorders>
                    <w:vAlign w:val="center"/>
                  </w:tcPr>
                  <w:sdt>
                    <w:sdtPr>
                      <w:tag w:val="_PLD_2b01add84ac3492abc16500182326d8e"/>
                      <w:id w:val="6387"/>
                    </w:sdtPr>
                    <w:sdtContent>
                      <w:p>
                        <w:pPr>
                          <w:rPr>
                            <w:color w:val="000000" w:themeColor="text1"/>
                            <w14:textFill>
                              <w14:solidFill>
                                <w14:schemeClr w14:val="tx1"/>
                              </w14:solidFill>
                            </w14:textFill>
                          </w:rPr>
                        </w:pPr>
                        <w:r>
                          <w:rPr>
                            <w:rFonts w:hint="eastAsia"/>
                            <w:b/>
                            <w:color w:val="000000" w:themeColor="text1"/>
                            <w14:textFill>
                              <w14:solidFill>
                                <w14:schemeClr w14:val="tx1"/>
                              </w14:solidFill>
                            </w14:textFill>
                          </w:rPr>
                          <w:t>非流动资产：</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发放贷款和垫款</w:t>
                    </w:r>
                  </w:p>
                </w:tc>
                <w:tc>
                  <w:tcPr>
                    <w:tcW w:w="1133" w:type="dxa"/>
                    <w:tcBorders>
                      <w:top w:val="outset" w:color="auto" w:sz="6" w:space="0"/>
                      <w:left w:val="outset" w:color="auto" w:sz="6" w:space="0"/>
                      <w:bottom w:val="outset" w:color="auto" w:sz="6" w:space="0"/>
                      <w:right w:val="outset" w:color="auto" w:sz="6" w:space="0"/>
                    </w:tcBorders>
                    <w:vAlign w:val="center"/>
                  </w:tc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债权投资</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其他债权投资</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长期应收款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七、16</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357,093.09</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1,032,140.40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长期股权投资</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其他权益工具投资</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七、18</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292,200,000.00</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Style w:val="71"/>
                        <w:rFonts w:hint="eastAsia"/>
                        <w:color w:val="auto"/>
                      </w:rPr>
                      <w:t>292,200,000.00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其他非流动金融资产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投资性房地产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七、20</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43,226,336.62</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44,384,985.49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固定资产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七、21</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279,520,253.27</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276,830,833.14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在建工程</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七、22</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22,821,377.61</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8,274,122.56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生产性生物资产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油气资产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使用权资产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Style w:val="71"/>
                        <w:rFonts w:hint="eastAsia"/>
                        <w:color w:val="auto"/>
                      </w:rPr>
                      <w:t>七、25</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Style w:val="71"/>
                        <w:rFonts w:hint="eastAsia"/>
                        <w:color w:val="auto"/>
                      </w:rPr>
                      <w:t>4,893,676.51</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Style w:val="71"/>
                        <w:rFonts w:hint="eastAsia"/>
                        <w:color w:val="auto"/>
                      </w:rPr>
                      <w:t>7,198,033.54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无形资产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七、26</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75,729,720.91</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78,001,209.54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其中：数据资源</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开发支出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其中：数据资源</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商誉</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七、27</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3,405,975.91</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3,405,975.91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长期待摊费用</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七、28</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4,204,742.89</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4,212,247.06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递延所得税资产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七、29</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4,666,186.36</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5,964,056.94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其他非流动资产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七、30</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9,629,841.99</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12,640,136.49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非流动资产合计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740,655,205.16</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734,143,741.07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资产总计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2,723,561,869.40</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2,720,923,571.60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38" w:type="dxa"/>
                    <w:gridSpan w:val="4"/>
                    <w:tcBorders>
                      <w:top w:val="outset" w:color="auto" w:sz="6" w:space="0"/>
                      <w:left w:val="outset" w:color="auto" w:sz="6" w:space="0"/>
                      <w:bottom w:val="outset" w:color="auto" w:sz="6" w:space="0"/>
                      <w:right w:val="outset" w:color="auto" w:sz="6" w:space="0"/>
                    </w:tcBorders>
                    <w:vAlign w:val="center"/>
                  </w:tcPr>
                  <w:sdt>
                    <w:sdtPr>
                      <w:tag w:val="_PLD_411fdd3766f04bf1851e3afed0dd2f74"/>
                      <w:id w:val="6388"/>
                    </w:sdtPr>
                    <w:sdtContent>
                      <w:p>
                        <w:pPr>
                          <w:rPr>
                            <w:color w:val="000000" w:themeColor="text1"/>
                            <w14:textFill>
                              <w14:solidFill>
                                <w14:schemeClr w14:val="tx1"/>
                              </w14:solidFill>
                            </w14:textFill>
                          </w:rPr>
                        </w:pPr>
                        <w:r>
                          <w:rPr>
                            <w:rFonts w:hint="eastAsia"/>
                            <w:b/>
                            <w:color w:val="000000" w:themeColor="text1"/>
                            <w14:textFill>
                              <w14:solidFill>
                                <w14:schemeClr w14:val="tx1"/>
                              </w14:solidFill>
                            </w14:textFill>
                          </w:rPr>
                          <w:t>流动负债：</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短期借款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七、32</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102,000,000.00</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90,000,000.00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向中央银行借款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拆入资金</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交易性金融负债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衍生金融负债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应付票据</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应付账款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七、36</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277,877,960.59</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257,115,198.83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预收款项</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合同负债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七、38</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31,648,995.68</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41,490,985.33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卖出回购金融资产款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吸收存款及同业存放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代理买卖证券款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代理承销证券款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应付职工薪酬</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七、39</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4,192,194.43</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4,439,768.54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应交税费</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七、40</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4,166,759.58</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5,889,684.98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其他应付款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七、41</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35,964,957.29</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36,049,600.51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其中：应付利息</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840" w:firstLineChars="400"/>
                      <w:rPr>
                        <w:color w:val="000000" w:themeColor="text1"/>
                        <w14:textFill>
                          <w14:solidFill>
                            <w14:schemeClr w14:val="tx1"/>
                          </w14:solidFill>
                        </w14:textFill>
                      </w:rPr>
                    </w:pPr>
                    <w:r>
                      <w:rPr>
                        <w:rFonts w:hint="eastAsia"/>
                        <w:color w:val="000000" w:themeColor="text1"/>
                        <w14:textFill>
                          <w14:solidFill>
                            <w14:schemeClr w14:val="tx1"/>
                          </w14:solidFill>
                        </w14:textFill>
                      </w:rPr>
                      <w:t>应付股利</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8,545,009.38</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8,541,399.93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应付手续费及佣金</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应付分保账款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持有待售负债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一年内到期的非流动负债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七、43</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2,282,973.87</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2,214,089.97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其他流动负债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七、44</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18,111,562.61</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24,972,441.95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流动负债合计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476,245,404.05</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462,171,770.11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38" w:type="dxa"/>
                    <w:gridSpan w:val="4"/>
                    <w:tcBorders>
                      <w:top w:val="outset" w:color="auto" w:sz="6" w:space="0"/>
                      <w:left w:val="outset" w:color="auto" w:sz="6" w:space="0"/>
                      <w:bottom w:val="outset" w:color="auto" w:sz="6" w:space="0"/>
                      <w:right w:val="outset" w:color="auto" w:sz="6" w:space="0"/>
                    </w:tcBorders>
                    <w:vAlign w:val="center"/>
                  </w:tcPr>
                  <w:sdt>
                    <w:sdtPr>
                      <w:tag w:val="_PLD_371b1fd441234f58b41e1d581fa3f62e"/>
                      <w:id w:val="6389"/>
                    </w:sdtPr>
                    <w:sdtContent>
                      <w:p>
                        <w:pPr>
                          <w:rPr>
                            <w:color w:val="000000" w:themeColor="text1"/>
                            <w14:textFill>
                              <w14:solidFill>
                                <w14:schemeClr w14:val="tx1"/>
                              </w14:solidFill>
                            </w14:textFill>
                          </w:rPr>
                        </w:pPr>
                        <w:r>
                          <w:rPr>
                            <w:rFonts w:hint="eastAsia"/>
                            <w:b/>
                            <w:color w:val="000000" w:themeColor="text1"/>
                            <w14:textFill>
                              <w14:solidFill>
                                <w14:schemeClr w14:val="tx1"/>
                              </w14:solidFill>
                            </w14:textFill>
                          </w:rPr>
                          <w:t>非流动负债：</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保险合同准备金</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长期借款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应付债券</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其中：优先股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left="630" w:leftChars="300"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永续债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租赁负债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Style w:val="71"/>
                        <w:rFonts w:hint="eastAsia"/>
                        <w:color w:val="auto"/>
                      </w:rPr>
                      <w:t>七、47</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Style w:val="71"/>
                        <w:rFonts w:hint="eastAsia"/>
                        <w:color w:val="auto"/>
                      </w:rPr>
                      <w:t>1,842,655.40</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Style w:val="71"/>
                        <w:rFonts w:hint="eastAsia"/>
                        <w:color w:val="auto"/>
                      </w:rPr>
                      <w:t>4,451,509.25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长期应付款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长期应付职工薪酬</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七、49</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361,592.00</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786,071.00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预计负债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递延收益</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七、51</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7,695,427.39</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7,922,016.31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递延所得税负债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七、29</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61,151,535.93</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63,324,041.66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其他非流动负债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非流动负债合计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71,051,210.72</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76,483,638.22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负债合计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547,296,614.77</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538,655,408.33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38" w:type="dxa"/>
                    <w:gridSpan w:val="4"/>
                    <w:tcBorders>
                      <w:top w:val="outset" w:color="auto" w:sz="6" w:space="0"/>
                      <w:left w:val="outset" w:color="auto" w:sz="6" w:space="0"/>
                      <w:bottom w:val="outset" w:color="auto" w:sz="6" w:space="0"/>
                      <w:right w:val="outset" w:color="auto" w:sz="6" w:space="0"/>
                    </w:tcBorders>
                    <w:vAlign w:val="center"/>
                  </w:tcPr>
                  <w:sdt>
                    <w:sdtPr>
                      <w:tag w:val="_PLD_7d66d1050f504dbab14e7e96bff21c69"/>
                      <w:id w:val="6390"/>
                    </w:sdtPr>
                    <w:sdtContent>
                      <w:p>
                        <w:pPr>
                          <w:rPr>
                            <w:color w:val="000000" w:themeColor="text1"/>
                            <w14:textFill>
                              <w14:solidFill>
                                <w14:schemeClr w14:val="tx1"/>
                              </w14:solidFill>
                            </w14:textFill>
                          </w:rPr>
                        </w:pPr>
                        <w:r>
                          <w:rPr>
                            <w:rFonts w:hint="eastAsia"/>
                            <w:b/>
                            <w:color w:val="000000" w:themeColor="text1"/>
                            <w14:textFill>
                              <w14:solidFill>
                                <w14:schemeClr w14:val="tx1"/>
                              </w14:solidFill>
                            </w14:textFill>
                          </w:rPr>
                          <w:t>所有者权益（或股东权益）：</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实收资本（或股本）</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七、53</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550,000,000.00</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550,000,000.00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其他权益工具</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其中：优先股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left="630" w:leftChars="300"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永续债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资本公积</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七、55</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1,184,901,870.95</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1,184,901,870.95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减：库存股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其他综合收益</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七、57</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-8,825,807.26</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-8,825,807.26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专项储备</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盈余公积</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七、59</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252,166,141.87</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252,166,141.87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一般风险准备</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未分配利润</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七、60</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199,553,090.41</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206,206,942.51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归属于母公司所有者权益（或股东权益）合计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2,177,795,295.97</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2,184,449,148.07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少数股东权益</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-1,530,041.34</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-2,180,984.80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所有者权益（或股东权益）合计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2,176,265,254.63</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2,182,268,163.27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负债和所有者权益（或股东权益）总计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2,723,561,869.40</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2,720,923,571.60</w:t>
                    </w:r>
                  </w:p>
                </w:tc>
              </w:tr>
              <w:bookmarkEnd w:id="179"/>
            </w:tbl>
            <w:p>
              <w:pPr>
                <w:keepNext w:val="0"/>
                <w:keepLines w:val="0"/>
                <w:pageBreakBefore w:val="0"/>
                <w:widowControl/>
                <w:kinsoku/>
                <w:wordWrap/>
                <w:overflowPunct/>
                <w:topLinePunct w:val="0"/>
                <w:autoSpaceDE/>
                <w:autoSpaceDN/>
                <w:bidi w:val="0"/>
                <w:adjustRightInd/>
                <w:snapToGrid/>
                <w:spacing w:line="400" w:lineRule="exact"/>
                <w:ind w:right="-153" w:rightChars="-73"/>
                <w:textAlignment w:val="auto"/>
                <w:rPr>
                  <w:color w:val="008000"/>
                  <w:szCs w:val="21"/>
                  <w:u w:val="single"/>
                </w:rPr>
              </w:pPr>
              <w:r>
                <w:rPr>
                  <w:rFonts w:hint="eastAsia"/>
                  <w:szCs w:val="21"/>
                </w:rPr>
                <w:t>公司负责</w:t>
              </w:r>
              <w:r>
                <w:rPr>
                  <w:szCs w:val="21"/>
                </w:rPr>
                <w:t>人</w:t>
              </w:r>
              <w:r>
                <w:rPr>
                  <w:rFonts w:hint="eastAsia"/>
                  <w:szCs w:val="21"/>
                </w:rPr>
                <w:t>：</w:t>
              </w:r>
              <w:sdt>
                <w:sdtPr>
                  <w:rPr>
                    <w:rFonts w:hint="eastAsia"/>
                    <w:szCs w:val="21"/>
                  </w:rPr>
                  <w:alias w:val="公司负责人姓名"/>
                  <w:tag w:val="_GBC_295740a12aa8498286bf2ef11896dbe9"/>
                  <w:id w:val="6391"/>
                  <w:placeholder>
                    <w:docPart w:val="GBC22222222222222222222222222222"/>
                  </w:placeholder>
                  <w:dataBinding w:prefixMappings="xmlns:clcid-mr='clcid-mr'" w:xpath="/*/clcid-mr:GongSiFuZeRenXingMing[not(@periodRef)]" w:storeItemID="{89EBAB94-44A0-46A2-B712-30D997D04A6D}"/>
                  <w:text/>
                </w:sdtPr>
                <w:sdtEndPr>
                  <w:rPr>
                    <w:rFonts w:hint="eastAsia"/>
                    <w:szCs w:val="21"/>
                  </w:rPr>
                </w:sdtEndPr>
                <w:sdtContent>
                  <w:r>
                    <w:rPr>
                      <w:rFonts w:hint="eastAsia"/>
                      <w:szCs w:val="21"/>
                      <w:lang w:eastAsia="zh-CN"/>
                    </w:rPr>
                    <w:t>周云祥</w:t>
                  </w:r>
                </w:sdtContent>
              </w:sdt>
              <w:r>
                <w:rPr>
                  <w:rFonts w:hint="eastAsia"/>
                  <w:szCs w:val="21"/>
                </w:rPr>
                <w:t xml:space="preserve"> </w:t>
              </w:r>
              <w:r>
                <w:rPr>
                  <w:rFonts w:hint="eastAsia"/>
                  <w:szCs w:val="21"/>
                  <w:lang w:val="en-US" w:eastAsia="zh-CN"/>
                </w:rPr>
                <w:t xml:space="preserve">       </w:t>
              </w:r>
              <w:r>
                <w:rPr>
                  <w:szCs w:val="21"/>
                </w:rPr>
                <w:t>主管会计工作负责人</w:t>
              </w:r>
              <w:r>
                <w:rPr>
                  <w:rFonts w:hint="eastAsia"/>
                  <w:szCs w:val="21"/>
                </w:rPr>
                <w:t>：</w:t>
              </w:r>
              <w:sdt>
                <w:sdtPr>
                  <w:rPr>
                    <w:rFonts w:hint="eastAsia"/>
                    <w:szCs w:val="21"/>
                  </w:rPr>
                  <w:alias w:val="主管会计工作负责人姓名"/>
                  <w:tag w:val="_GBC_095c1df7dd6b412590466f3e711cd1e6"/>
                  <w:id w:val="6392"/>
                  <w:placeholder>
                    <w:docPart w:val="GBC22222222222222222222222222222"/>
                  </w:placeholder>
                  <w:dataBinding w:prefixMappings="xmlns:clcid-mr='clcid-mr'" w:xpath="/*/clcid-mr:ZhuGuanKuaiJiGongZuoFuZeRenXingMing[not(@periodRef)]" w:storeItemID="{89EBAB94-44A0-46A2-B712-30D997D04A6D}"/>
                  <w:text/>
                </w:sdtPr>
                <w:sdtEndPr>
                  <w:rPr>
                    <w:rFonts w:hint="eastAsia"/>
                    <w:szCs w:val="21"/>
                  </w:rPr>
                </w:sdtEndPr>
                <w:sdtContent>
                  <w:r>
                    <w:rPr>
                      <w:rFonts w:hint="eastAsia"/>
                      <w:szCs w:val="21"/>
                      <w:lang w:eastAsia="zh-CN"/>
                    </w:rPr>
                    <w:t>龚慧泉</w:t>
                  </w:r>
                </w:sdtContent>
              </w:sdt>
              <w:r>
                <w:rPr>
                  <w:rFonts w:hint="eastAsia"/>
                  <w:szCs w:val="21"/>
                </w:rPr>
                <w:t xml:space="preserve"> </w:t>
              </w:r>
              <w:r>
                <w:rPr>
                  <w:rFonts w:hint="eastAsia"/>
                  <w:szCs w:val="21"/>
                  <w:lang w:val="en-US" w:eastAsia="zh-CN"/>
                </w:rPr>
                <w:t xml:space="preserve">         </w:t>
              </w:r>
              <w:r>
                <w:rPr>
                  <w:szCs w:val="21"/>
                </w:rPr>
                <w:t>会计机构负责人</w:t>
              </w:r>
              <w:r>
                <w:rPr>
                  <w:rFonts w:hint="eastAsia"/>
                  <w:szCs w:val="21"/>
                </w:rPr>
                <w:t>：</w:t>
              </w:r>
              <w:sdt>
                <w:sdtPr>
                  <w:rPr>
                    <w:rFonts w:hint="eastAsia"/>
                    <w:szCs w:val="21"/>
                  </w:rPr>
                  <w:alias w:val="会计机构负责人姓名"/>
                  <w:tag w:val="_GBC_b9cb47d6db784ba8a6b148d9331df451"/>
                  <w:id w:val="6393"/>
                  <w:placeholder>
                    <w:docPart w:val="GBC22222222222222222222222222222"/>
                  </w:placeholder>
                  <w:dataBinding w:prefixMappings="xmlns:clcid-mr='clcid-mr'" w:xpath="/*/clcid-mr:KuaiJiJiGouFuZeRenXingMing[not(@periodRef)]" w:storeItemID="{89EBAB94-44A0-46A2-B712-30D997D04A6D}"/>
                  <w:text/>
                </w:sdtPr>
                <w:sdtEndPr>
                  <w:rPr>
                    <w:rFonts w:hint="eastAsia"/>
                    <w:szCs w:val="21"/>
                  </w:rPr>
                </w:sdtEndPr>
                <w:sdtContent>
                  <w:r>
                    <w:rPr>
                      <w:rFonts w:hint="eastAsia"/>
                      <w:szCs w:val="21"/>
                      <w:lang w:val="en-US" w:eastAsia="zh-CN"/>
                    </w:rPr>
                    <w:t>游发禄</w:t>
                  </w:r>
                </w:sdtContent>
              </w:sdt>
            </w:p>
            <w:p/>
          </w:sdtContent>
        </w:sdt>
        <w:p/>
        <w:sdt>
          <w:sdtPr>
            <w:rPr>
              <w:rFonts w:hint="eastAsia" w:ascii="宋体" w:hAnsi="宋体" w:cs="宋体"/>
              <w:b w:val="0"/>
              <w:bCs w:val="0"/>
              <w:kern w:val="0"/>
              <w:szCs w:val="24"/>
            </w:rPr>
            <w:tag w:val="_SEC_d76935fe25d141cfbe5d3c4ac87a2e6b"/>
            <w:id w:val="6394"/>
            <w:placeholder>
              <w:docPart w:val="GBC22222222222222222222222222222"/>
            </w:placeholder>
          </w:sdtPr>
          <w:sdtEndPr>
            <w:rPr>
              <w:rFonts w:hint="eastAsia" w:ascii="Times New Roman" w:hAnsi="Times New Roman" w:cs="Times New Roman"/>
              <w:b w:val="0"/>
              <w:bCs w:val="0"/>
              <w:kern w:val="0"/>
              <w:szCs w:val="21"/>
            </w:rPr>
          </w:sdtEndPr>
          <w:sdtContent>
            <w:p>
              <w:pPr>
                <w:pStyle w:val="4"/>
                <w:jc w:val="center"/>
              </w:pPr>
              <w:bookmarkStart w:id="180" w:name="_Hlk24034197"/>
              <w:r>
                <w:rPr>
                  <w:rFonts w:hint="eastAsia"/>
                </w:rPr>
                <w:t>母公司</w:t>
              </w:r>
              <w:r>
                <w:t>资产负债表</w:t>
              </w:r>
            </w:p>
            <w:p>
              <w:pPr>
                <w:jc w:val="center"/>
                <w:rPr>
                  <w:b/>
                  <w:bCs/>
                  <w:szCs w:val="21"/>
                </w:rPr>
              </w:pPr>
              <w:r>
                <w:rPr>
                  <w:szCs w:val="21"/>
                </w:rPr>
                <w:t>2025年12月31日</w:t>
              </w:r>
            </w:p>
            <w:p>
              <w:pPr>
                <w:rPr>
                  <w:szCs w:val="21"/>
                </w:rPr>
              </w:pPr>
              <w:r>
                <w:rPr>
                  <w:szCs w:val="21"/>
                </w:rPr>
                <w:t>编制单位</w:t>
              </w:r>
              <w:r>
                <w:rPr>
                  <w:rFonts w:hint="eastAsia"/>
                  <w:szCs w:val="21"/>
                </w:rPr>
                <w:t>：</w:t>
              </w:r>
              <w:sdt>
                <w:sdtPr>
                  <w:rPr>
                    <w:szCs w:val="21"/>
                  </w:rPr>
                  <w:alias w:val="公司法定中文名称"/>
                  <w:tag w:val="_GBC_476f9df1cf8d4d36868d3058a4da7d15"/>
                  <w:id w:val="6395"/>
                  <w:placeholder>
                    <w:docPart w:val="GBC22222222222222222222222222222"/>
                  </w:placeholder>
                  <w:dataBinding w:prefixMappings="xmlns:clcid-cgi='clcid-cgi'" w:xpath="/*/clcid-cgi:GongSiFaDingZhongWenMingCheng[not(@periodRef)]" w:storeItemID="{89EBAB94-44A0-46A2-B712-30D997D04A6D}"/>
                  <w:text/>
                </w:sdtPr>
                <w:sdtEndPr>
                  <w:rPr>
                    <w:szCs w:val="21"/>
                  </w:rPr>
                </w:sdtEndPr>
                <w:sdtContent>
                  <w:r>
                    <w:rPr>
                      <w:rFonts w:hint="eastAsia"/>
                      <w:szCs w:val="21"/>
                      <w:lang w:eastAsia="zh-CN"/>
                    </w:rPr>
                    <w:t>柳州两面针股份有限公司</w:t>
                  </w:r>
                </w:sdtContent>
              </w:sdt>
              <w:r>
                <w:rPr>
                  <w:szCs w:val="21"/>
                </w:rPr>
                <w:t> </w:t>
              </w:r>
            </w:p>
            <w:p>
              <w:pPr>
                <w:jc w:val="right"/>
                <w:rPr>
                  <w:szCs w:val="21"/>
                </w:rPr>
              </w:pPr>
              <w:r>
                <w:rPr>
                  <w:szCs w:val="21"/>
                </w:rPr>
                <w:t>单位：</w:t>
              </w:r>
              <w:sdt>
                <w:sdtPr>
                  <w:rPr>
                    <w:szCs w:val="21"/>
                  </w:rPr>
                  <w:alias w:val="单位：母公司资产负债表"/>
                  <w:tag w:val="_GBC_e3e6bb2b9b89482085daf4528af32780"/>
                  <w:id w:val="639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szCs w:val="21"/>
                  </w:rPr>
                </w:sdtEndPr>
                <w:sdtContent>
                  <w:r>
                    <w:rPr>
                      <w:szCs w:val="21"/>
                    </w:rPr>
                    <w:t>元</w:t>
                  </w:r>
                </w:sdtContent>
              </w:sdt>
              <w:r>
                <w:rPr>
                  <w:szCs w:val="21"/>
                </w:rPr>
                <w:t xml:space="preserve">  币种：</w:t>
              </w:r>
              <w:sdt>
                <w:sdtPr>
                  <w:rPr>
                    <w:szCs w:val="21"/>
                  </w:rPr>
                  <w:alias w:val="币种：母公司资产负债表"/>
                  <w:tag w:val="_GBC_31e3f7c7e30144c684d9b3387d64ec2f"/>
                  <w:id w:val="639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szCs w:val="21"/>
                  </w:rPr>
                </w:sdtEndPr>
                <w:sdtContent>
                  <w:r>
                    <w:rPr>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944"/>
                <w:gridCol w:w="1133"/>
                <w:gridCol w:w="2550"/>
                <w:gridCol w:w="24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sdt>
                    <w:sdtPr>
                      <w:tag w:val="_PLD_e123561b4eea486cbee629a83db9ddc0"/>
                      <w:id w:val="6398"/>
                    </w:sdtPr>
                    <w:sdtContent>
                      <w:p>
                        <w:pPr>
                          <w:jc w:val="center"/>
                          <w:rPr>
                            <w:b/>
                            <w:bCs/>
                            <w:color w:val="000000" w:themeColor="text1"/>
                            <w14:textFill>
                              <w14:solidFill>
                                <w14:schemeClr w14:val="tx1"/>
                              </w14:solidFill>
                            </w14:textFill>
                          </w:rPr>
                        </w:pPr>
                        <w:bookmarkStart w:id="181" w:name="_Hlk105686791"/>
                        <w:r>
                          <w:rPr>
                            <w:b/>
                            <w:color w:val="000000" w:themeColor="text1"/>
                            <w14:textFill>
                              <w14:solidFill>
                                <w14:schemeClr w14:val="tx1"/>
                              </w14:solidFill>
                            </w14:textFill>
                          </w:rPr>
                          <w:t>项目</w:t>
                        </w:r>
                      </w:p>
                    </w:sdtContent>
                  </w:sdt>
                </w:tc>
                <w:tc>
                  <w:tcPr>
                    <w:tcW w:w="1133" w:type="dxa"/>
                    <w:tcBorders>
                      <w:top w:val="outset" w:color="auto" w:sz="6" w:space="0"/>
                      <w:left w:val="outset" w:color="auto" w:sz="6" w:space="0"/>
                      <w:bottom w:val="outset" w:color="auto" w:sz="6" w:space="0"/>
                      <w:right w:val="outset" w:color="auto" w:sz="6" w:space="0"/>
                    </w:tcBorders>
                    <w:vAlign w:val="center"/>
                  </w:tcPr>
                  <w:sdt>
                    <w:sdtPr>
                      <w:tag w:val="_PLD_06c4ac69e0084d108604170c58444649"/>
                      <w:id w:val="6399"/>
                    </w:sdtPr>
                    <w:sdtContent>
                      <w:p>
                        <w:pPr>
                          <w:jc w:val="center"/>
                          <w:rPr>
                            <w:b/>
                            <w:bCs/>
                            <w:color w:val="000000" w:themeColor="text1"/>
                            <w14:textFill>
                              <w14:solidFill>
                                <w14:schemeClr w14:val="tx1"/>
                              </w14:solidFill>
                            </w14:textFill>
                          </w:rPr>
                        </w:pPr>
                        <w:r>
                          <w:rPr>
                            <w:rFonts w:hint="eastAsia"/>
                            <w:b/>
                            <w:color w:val="000000" w:themeColor="text1"/>
                            <w14:textFill>
                              <w14:solidFill>
                                <w14:schemeClr w14:val="tx1"/>
                              </w14:solidFill>
                            </w14:textFill>
                          </w:rPr>
                          <w:t>附注</w:t>
                        </w:r>
                      </w:p>
                    </w:sdtContent>
                  </w:sdt>
                </w:tc>
                <w:tc>
                  <w:tcPr>
                    <w:tcW w:w="2550" w:type="dxa"/>
                    <w:tcBorders>
                      <w:top w:val="outset" w:color="auto" w:sz="6" w:space="0"/>
                      <w:left w:val="outset" w:color="auto" w:sz="6" w:space="0"/>
                      <w:bottom w:val="outset" w:color="auto" w:sz="6" w:space="0"/>
                      <w:right w:val="outset" w:color="auto" w:sz="6" w:space="0"/>
                    </w:tcBorders>
                    <w:vAlign w:val="center"/>
                  </w:tcPr>
                  <w:sdt>
                    <w:sdtPr>
                      <w:tag w:val="_PLD_b1c54371985a4504b749b9d71cf1412e"/>
                      <w:id w:val="6400"/>
                    </w:sdtPr>
                    <w:sdtContent>
                      <w:p>
                        <w:pPr>
                          <w:jc w:val="center"/>
                          <w:rPr>
                            <w:b/>
                            <w:bCs/>
                            <w:color w:val="000000" w:themeColor="text1"/>
                            <w14:textFill>
                              <w14:solidFill>
                                <w14:schemeClr w14:val="tx1"/>
                              </w14:solidFill>
                            </w14:textFill>
                          </w:rPr>
                        </w:pPr>
                        <w:r>
                          <w:rPr>
                            <w:rFonts w:hint="eastAsia"/>
                            <w:b/>
                            <w:color w:val="000000" w:themeColor="text1"/>
                            <w14:textFill>
                              <w14:solidFill>
                                <w14:schemeClr w14:val="tx1"/>
                              </w14:solidFill>
                            </w14:textFill>
                          </w:rPr>
                          <w:t>2025年12月</w:t>
                        </w:r>
                        <w:r>
                          <w:rPr>
                            <w:b/>
                            <w:color w:val="000000" w:themeColor="text1"/>
                            <w14:textFill>
                              <w14:solidFill>
                                <w14:schemeClr w14:val="tx1"/>
                              </w14:solidFill>
                            </w14:textFill>
                          </w:rPr>
                          <w:t>3</w:t>
                        </w:r>
                        <w:r>
                          <w:rPr>
                            <w:rFonts w:hint="eastAsia"/>
                            <w:b/>
                            <w:color w:val="000000" w:themeColor="text1"/>
                            <w14:textFill>
                              <w14:solidFill>
                                <w14:schemeClr w14:val="tx1"/>
                              </w14:solidFill>
                            </w14:textFill>
                          </w:rPr>
                          <w:t>1日</w:t>
                        </w:r>
                      </w:p>
                    </w:sdtContent>
                  </w:sdt>
                </w:tc>
                <w:tc>
                  <w:tcPr>
                    <w:tcW w:w="2409" w:type="dxa"/>
                    <w:tcBorders>
                      <w:top w:val="outset" w:color="auto" w:sz="6" w:space="0"/>
                      <w:left w:val="outset" w:color="auto" w:sz="6" w:space="0"/>
                      <w:bottom w:val="outset" w:color="auto" w:sz="6" w:space="0"/>
                      <w:right w:val="outset" w:color="auto" w:sz="6" w:space="0"/>
                    </w:tcBorders>
                    <w:vAlign w:val="center"/>
                  </w:tcPr>
                  <w:sdt>
                    <w:sdtPr>
                      <w:tag w:val="_PLD_26edb5cd36ce4083a97dc26772b099ab"/>
                      <w:id w:val="6401"/>
                    </w:sdtPr>
                    <w:sdtContent>
                      <w:p>
                        <w:pPr>
                          <w:jc w:val="center"/>
                          <w:rPr>
                            <w:b/>
                            <w:bCs/>
                            <w:color w:val="000000" w:themeColor="text1"/>
                            <w14:textFill>
                              <w14:solidFill>
                                <w14:schemeClr w14:val="tx1"/>
                              </w14:solidFill>
                            </w14:textFill>
                          </w:rPr>
                        </w:pPr>
                        <w:r>
                          <w:rPr>
                            <w:b/>
                            <w:color w:val="000000" w:themeColor="text1"/>
                            <w14:textFill>
                              <w14:solidFill>
                                <w14:schemeClr w14:val="tx1"/>
                              </w14:solidFill>
                            </w14:textFill>
                          </w:rPr>
                          <w:t>2024年12月31日</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38" w:type="dxa"/>
                    <w:gridSpan w:val="4"/>
                    <w:tcBorders>
                      <w:top w:val="outset" w:color="auto" w:sz="6" w:space="0"/>
                      <w:left w:val="outset" w:color="auto" w:sz="6" w:space="0"/>
                      <w:bottom w:val="outset" w:color="auto" w:sz="6" w:space="0"/>
                      <w:right w:val="outset" w:color="auto" w:sz="6" w:space="0"/>
                    </w:tcBorders>
                    <w:vAlign w:val="center"/>
                  </w:tcPr>
                  <w:sdt>
                    <w:sdtPr>
                      <w:tag w:val="_PLD_b54d834a04b8464892f4dccc28fbd9e0"/>
                      <w:id w:val="6402"/>
                    </w:sdtPr>
                    <w:sdtContent>
                      <w:p>
                        <w:pPr>
                          <w:rPr>
                            <w:b/>
                            <w:color w:val="000000" w:themeColor="text1"/>
                            <w14:textFill>
                              <w14:solidFill>
                                <w14:schemeClr w14:val="tx1"/>
                              </w14:solidFill>
                            </w14:textFill>
                          </w:rPr>
                        </w:pPr>
                        <w:r>
                          <w:rPr>
                            <w:rFonts w:hint="eastAsia"/>
                            <w:b/>
                            <w:color w:val="000000" w:themeColor="text1"/>
                            <w14:textFill>
                              <w14:solidFill>
                                <w14:schemeClr w14:val="tx1"/>
                              </w14:solidFill>
                            </w14:textFill>
                          </w:rPr>
                          <w:t>流动资产：</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货币资金</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color w:val="auto"/>
                      </w:rPr>
                      <w:t>1,118,624,403.48</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1,141,869,341.63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交易性金融资产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287,207,259.61</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290,897,872.17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衍生金融资产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应收票据</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525,421.85</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785,571.55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应收账款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十九、1</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27,340,924.18</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34,835,239.27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应收款项融资</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预付款项</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1,708,324.54</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1,579,314.25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其他应收款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十九、2</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84,612,773.30</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80,928,242.06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其中：应收利息</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840" w:firstLineChars="400"/>
                      <w:rPr>
                        <w:color w:val="000000" w:themeColor="text1"/>
                        <w14:textFill>
                          <w14:solidFill>
                            <w14:schemeClr w14:val="tx1"/>
                          </w14:solidFill>
                        </w14:textFill>
                      </w:rPr>
                    </w:pPr>
                    <w:r>
                      <w:rPr>
                        <w:rFonts w:hint="eastAsia"/>
                        <w:color w:val="000000" w:themeColor="text1"/>
                        <w14:textFill>
                          <w14:solidFill>
                            <w14:schemeClr w14:val="tx1"/>
                          </w14:solidFill>
                        </w14:textFill>
                      </w:rPr>
                      <w:t>应收股利</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2,888,043.30</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存货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39,794,854.15</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42,865,941.45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其中：数据资源</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合同资产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持有待售资产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一年内到期的非流动资产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其他流动资产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2,050,425.59</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2,045,006.86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流动资产合计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1,561,864,386.70</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1,595,806,529.24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38" w:type="dxa"/>
                    <w:gridSpan w:val="4"/>
                    <w:tcBorders>
                      <w:top w:val="outset" w:color="auto" w:sz="6" w:space="0"/>
                      <w:left w:val="outset" w:color="auto" w:sz="6" w:space="0"/>
                      <w:bottom w:val="outset" w:color="auto" w:sz="6" w:space="0"/>
                      <w:right w:val="outset" w:color="auto" w:sz="6" w:space="0"/>
                    </w:tcBorders>
                    <w:vAlign w:val="center"/>
                  </w:tcPr>
                  <w:sdt>
                    <w:sdtPr>
                      <w:tag w:val="_PLD_3bf4878ec6d14b78be43557bc0d9a302"/>
                      <w:id w:val="6403"/>
                    </w:sdtPr>
                    <w:sdtContent>
                      <w:p>
                        <w:pPr>
                          <w:rPr>
                            <w:color w:val="000000" w:themeColor="text1"/>
                            <w14:textFill>
                              <w14:solidFill>
                                <w14:schemeClr w14:val="tx1"/>
                              </w14:solidFill>
                            </w14:textFill>
                          </w:rPr>
                        </w:pPr>
                        <w:r>
                          <w:rPr>
                            <w:rFonts w:hint="eastAsia"/>
                            <w:b/>
                            <w:color w:val="000000" w:themeColor="text1"/>
                            <w14:textFill>
                              <w14:solidFill>
                                <w14:schemeClr w14:val="tx1"/>
                              </w14:solidFill>
                            </w14:textFill>
                          </w:rPr>
                          <w:t>非流动资产：</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债权投资</w:t>
                    </w:r>
                  </w:p>
                </w:tc>
                <w:tc>
                  <w:tcPr>
                    <w:tcW w:w="1133" w:type="dxa"/>
                    <w:tcBorders>
                      <w:top w:val="outset" w:color="auto" w:sz="6" w:space="0"/>
                      <w:left w:val="outset" w:color="auto" w:sz="6" w:space="0"/>
                      <w:bottom w:val="outset" w:color="auto" w:sz="6" w:space="0"/>
                      <w:right w:val="outset" w:color="auto" w:sz="6" w:space="0"/>
                    </w:tcBorders>
                    <w:vAlign w:val="center"/>
                  </w:tc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其他债权投资</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center"/>
                    </w:pPr>
                  </w:p>
                </w:tc>
                <w:tc>
                  <w:tcPr>
                    <w:tcW w:w="2409" w:type="dxa"/>
                    <w:tcBorders>
                      <w:top w:val="outset" w:color="auto" w:sz="6" w:space="0"/>
                      <w:left w:val="outset" w:color="auto" w:sz="6" w:space="0"/>
                      <w:bottom w:val="outset" w:color="auto" w:sz="6" w:space="0"/>
                      <w:right w:val="outset" w:color="auto" w:sz="6"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长期应收款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长期股权投资</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r>
                      <w:rPr>
                        <w:rFonts w:hint="eastAsia"/>
                        <w:color w:val="auto"/>
                      </w:rPr>
                      <w:t>十九、3</w:t>
                    </w: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162,894,417.59</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160,894,417.59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其他权益工具投资</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292,200,000.00</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Style w:val="71"/>
                        <w:rFonts w:hint="eastAsia"/>
                        <w:color w:val="auto"/>
                      </w:rPr>
                      <w:t>292,200,000.00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其他非流动金融资产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投资性房地产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25,001,908.55</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25,690,437.23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固定资产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125,312,437.47</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123,529,024.08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在建工程</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3,026,770.12</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7,122,594.52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生产性生物资产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油气资产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使用权资产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无形资产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49,741,806.43</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52,700,111.94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其中：数据资源</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开发支出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其中：数据资源</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商誉</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长期待摊费用</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500,147.67</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341,925.05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递延所得税资产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其他非流动资产</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3,005,040.00</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非流动资产合计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661,682,527.83</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662,478,510.41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资产总计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2,223,546,914.53</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2,258,285,039.65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38" w:type="dxa"/>
                    <w:gridSpan w:val="4"/>
                    <w:tcBorders>
                      <w:top w:val="outset" w:color="auto" w:sz="6" w:space="0"/>
                      <w:left w:val="outset" w:color="auto" w:sz="6" w:space="0"/>
                      <w:bottom w:val="outset" w:color="auto" w:sz="6" w:space="0"/>
                      <w:right w:val="outset" w:color="auto" w:sz="6" w:space="0"/>
                    </w:tcBorders>
                    <w:vAlign w:val="center"/>
                  </w:tcPr>
                  <w:sdt>
                    <w:sdtPr>
                      <w:tag w:val="_PLD_3c4382c3caa043de84ae1c13bc2ce793"/>
                      <w:id w:val="6404"/>
                    </w:sdtPr>
                    <w:sdtContent>
                      <w:p>
                        <w:pPr>
                          <w:rPr>
                            <w:color w:val="000000" w:themeColor="text1"/>
                            <w14:textFill>
                              <w14:solidFill>
                                <w14:schemeClr w14:val="tx1"/>
                              </w14:solidFill>
                            </w14:textFill>
                          </w:rPr>
                        </w:pPr>
                        <w:r>
                          <w:rPr>
                            <w:rFonts w:hint="eastAsia"/>
                            <w:b/>
                            <w:color w:val="000000" w:themeColor="text1"/>
                            <w14:textFill>
                              <w14:solidFill>
                                <w14:schemeClr w14:val="tx1"/>
                              </w14:solidFill>
                            </w14:textFill>
                          </w:rPr>
                          <w:t>流动负债：</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短期借款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65,000,000.00</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65,000,000.00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交易性金融负债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衍生金融负债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应付票据</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应付账款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31,051,253.43</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35,625,233.96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预收款项</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合同负债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4,365,580.88</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3,873,278.20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应付职工薪酬</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1,408,876.68</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1,924,894.51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应交税费</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700,845.52</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720,542.22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其他应付款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18,196,810.99</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18,011,970.75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其中：应付利息</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840" w:firstLineChars="400"/>
                      <w:rPr>
                        <w:color w:val="000000" w:themeColor="text1"/>
                        <w14:textFill>
                          <w14:solidFill>
                            <w14:schemeClr w14:val="tx1"/>
                          </w14:solidFill>
                        </w14:textFill>
                      </w:rPr>
                    </w:pPr>
                    <w:r>
                      <w:rPr>
                        <w:rFonts w:hint="eastAsia"/>
                        <w:color w:val="000000" w:themeColor="text1"/>
                        <w14:textFill>
                          <w14:solidFill>
                            <w14:schemeClr w14:val="tx1"/>
                          </w14:solidFill>
                        </w14:textFill>
                      </w:rPr>
                      <w:t>应付股利</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8,545,009.38</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8,541,399.93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持有待售负债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一年内到期的非流动负债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其他流动负债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10,675,306.99</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14,009,848.56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流动负债合计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131,398,674.49</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139,165,768.20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38" w:type="dxa"/>
                    <w:gridSpan w:val="4"/>
                    <w:tcBorders>
                      <w:top w:val="outset" w:color="auto" w:sz="6" w:space="0"/>
                      <w:left w:val="outset" w:color="auto" w:sz="6" w:space="0"/>
                      <w:bottom w:val="outset" w:color="auto" w:sz="6" w:space="0"/>
                      <w:right w:val="outset" w:color="auto" w:sz="6" w:space="0"/>
                    </w:tcBorders>
                    <w:vAlign w:val="center"/>
                  </w:tcPr>
                  <w:sdt>
                    <w:sdtPr>
                      <w:tag w:val="_PLD_96b3279b94864dce855f778a549d0817"/>
                      <w:id w:val="6405"/>
                    </w:sdtPr>
                    <w:sdtContent>
                      <w:p>
                        <w:pPr>
                          <w:rPr>
                            <w:color w:val="000000" w:themeColor="text1"/>
                            <w14:textFill>
                              <w14:solidFill>
                                <w14:schemeClr w14:val="tx1"/>
                              </w14:solidFill>
                            </w14:textFill>
                          </w:rPr>
                        </w:pPr>
                        <w:r>
                          <w:rPr>
                            <w:rFonts w:hint="eastAsia"/>
                            <w:b/>
                            <w:color w:val="000000" w:themeColor="text1"/>
                            <w14:textFill>
                              <w14:solidFill>
                                <w14:schemeClr w14:val="tx1"/>
                              </w14:solidFill>
                            </w14:textFill>
                          </w:rPr>
                          <w:t>非流动负债：</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长期借款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center"/>
                    </w:pPr>
                  </w:p>
                </w:tc>
                <w:tc>
                  <w:tcPr>
                    <w:tcW w:w="2409" w:type="dxa"/>
                    <w:tcBorders>
                      <w:top w:val="outset" w:color="auto" w:sz="6" w:space="0"/>
                      <w:left w:val="outset" w:color="auto" w:sz="6" w:space="0"/>
                      <w:bottom w:val="outset" w:color="auto" w:sz="6" w:space="0"/>
                      <w:right w:val="outset" w:color="auto" w:sz="6"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应付债券</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center"/>
                    </w:pPr>
                  </w:p>
                </w:tc>
                <w:tc>
                  <w:tcPr>
                    <w:tcW w:w="2409" w:type="dxa"/>
                    <w:tcBorders>
                      <w:top w:val="outset" w:color="auto" w:sz="6" w:space="0"/>
                      <w:left w:val="outset" w:color="auto" w:sz="6" w:space="0"/>
                      <w:bottom w:val="outset" w:color="auto" w:sz="6" w:space="0"/>
                      <w:right w:val="outset" w:color="auto" w:sz="6"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其中：优先股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center"/>
                    </w:pPr>
                  </w:p>
                </w:tc>
                <w:tc>
                  <w:tcPr>
                    <w:tcW w:w="2409" w:type="dxa"/>
                    <w:tcBorders>
                      <w:top w:val="outset" w:color="auto" w:sz="6" w:space="0"/>
                      <w:left w:val="outset" w:color="auto" w:sz="6" w:space="0"/>
                      <w:bottom w:val="outset" w:color="auto" w:sz="6" w:space="0"/>
                      <w:right w:val="outset" w:color="auto" w:sz="6"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left="630" w:leftChars="300"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永续债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租赁负债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长期应付款</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长期应付职工薪酬</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361,592.00</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786,071.00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预计负债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递延收益</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1,068,999.80</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1,014,999.84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递延所得税负债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60,417,484.46</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61,524,533.28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其他非流动负债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非流动负债合计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61,848,076.26</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63,325,604.12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负债合计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193,246,750.75</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202,491,372.32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38" w:type="dxa"/>
                    <w:gridSpan w:val="4"/>
                    <w:tcBorders>
                      <w:top w:val="outset" w:color="auto" w:sz="6" w:space="0"/>
                      <w:left w:val="outset" w:color="auto" w:sz="6" w:space="0"/>
                      <w:bottom w:val="outset" w:color="auto" w:sz="6" w:space="0"/>
                      <w:right w:val="outset" w:color="auto" w:sz="6" w:space="0"/>
                    </w:tcBorders>
                    <w:vAlign w:val="center"/>
                  </w:tcPr>
                  <w:sdt>
                    <w:sdtPr>
                      <w:tag w:val="_PLD_2b8d2554b6394d8daf706f571f2c850a"/>
                      <w:id w:val="6406"/>
                    </w:sdtPr>
                    <w:sdtContent>
                      <w:p>
                        <w:pPr>
                          <w:rPr>
                            <w:color w:val="000000" w:themeColor="text1"/>
                            <w14:textFill>
                              <w14:solidFill>
                                <w14:schemeClr w14:val="tx1"/>
                              </w14:solidFill>
                            </w14:textFill>
                          </w:rPr>
                        </w:pPr>
                        <w:r>
                          <w:rPr>
                            <w:rFonts w:hint="eastAsia"/>
                            <w:b/>
                            <w:color w:val="000000" w:themeColor="text1"/>
                            <w14:textFill>
                              <w14:solidFill>
                                <w14:schemeClr w14:val="tx1"/>
                              </w14:solidFill>
                            </w14:textFill>
                          </w:rPr>
                          <w:t>所有者权益（或股东权益）：</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实收资本（或股本）</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550,000,000.00</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550,000,000.00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其他权益工具</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其中：优先股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left="630" w:leftChars="300"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永续债</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资本公积</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579,271,389.07</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579,271,389.07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减：库存股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其他综合收益</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专项储备</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盈余公积</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223,870,112.55</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223,870,112.55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21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未分配利润</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677,158,662.16</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702,652,165.71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所有者权益（或股东权益）合计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2,030,300,163.78</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2,055,793,667.33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944" w:type="dxa"/>
                    <w:tcBorders>
                      <w:top w:val="outset" w:color="auto" w:sz="6" w:space="0"/>
                      <w:left w:val="outset" w:color="auto" w:sz="6" w:space="0"/>
                      <w:bottom w:val="outset" w:color="auto" w:sz="6" w:space="0"/>
                      <w:right w:val="outset" w:color="auto" w:sz="6" w:space="0"/>
                    </w:tcBorders>
                    <w:vAlign w:val="center"/>
                  </w:tcPr>
                  <w:p>
                    <w:pPr>
                      <w:ind w:firstLine="630" w:firstLineChars="300"/>
                      <w:rPr>
                        <w:color w:val="000000" w:themeColor="text1"/>
                        <w14:textFill>
                          <w14:solidFill>
                            <w14:schemeClr w14:val="tx1"/>
                          </w14:solidFill>
                        </w14:textFill>
                      </w:rPr>
                    </w:pPr>
                    <w:r>
                      <w:rPr>
                        <w:rFonts w:hint="eastAsia"/>
                        <w:color w:val="000000" w:themeColor="text1"/>
                        <w14:textFill>
                          <w14:solidFill>
                            <w14:schemeClr w14:val="tx1"/>
                          </w14:solidFill>
                        </w14:textFill>
                      </w:rPr>
                      <w:t>负债和所有者权益（或股东权益）总计</w:t>
                    </w:r>
                  </w:p>
                </w:tc>
                <w:tc>
                  <w:tcPr>
                    <w:tcW w:w="1133" w:type="dxa"/>
                    <w:tcBorders>
                      <w:top w:val="outset" w:color="auto" w:sz="6" w:space="0"/>
                      <w:left w:val="outset" w:color="auto" w:sz="6" w:space="0"/>
                      <w:bottom w:val="outset" w:color="auto" w:sz="6" w:space="0"/>
                      <w:right w:val="outset" w:color="auto" w:sz="6" w:space="0"/>
                    </w:tcBorders>
                    <w:vAlign w:val="center"/>
                  </w:tcPr>
                  <w:p>
                    <w:pPr>
                      <w:jc w:val="center"/>
                    </w:pPr>
                  </w:p>
                </w:tc>
                <w:tc>
                  <w:tcPr>
                    <w:tcW w:w="2550"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2,223,546,914.53</w:t>
                    </w:r>
                  </w:p>
                </w:tc>
                <w:tc>
                  <w:tcPr>
                    <w:tcW w:w="2409" w:type="dxa"/>
                    <w:tcBorders>
                      <w:top w:val="outset" w:color="auto" w:sz="6" w:space="0"/>
                      <w:left w:val="outset" w:color="auto" w:sz="6" w:space="0"/>
                      <w:bottom w:val="outset" w:color="auto" w:sz="6" w:space="0"/>
                      <w:right w:val="outset" w:color="auto" w:sz="6" w:space="0"/>
                    </w:tcBorders>
                    <w:vAlign w:val="center"/>
                  </w:tcPr>
                  <w:p>
                    <w:pPr>
                      <w:jc w:val="right"/>
                    </w:pPr>
                    <w:r>
                      <w:rPr>
                        <w:rFonts w:hint="eastAsia"/>
                        <w:color w:val="auto"/>
                      </w:rPr>
                      <w:t>2,258,285,039.65</w:t>
                    </w:r>
                  </w:p>
                </w:tc>
              </w:tr>
              <w:bookmarkEnd w:id="178"/>
              <w:bookmarkEnd w:id="180"/>
              <w:bookmarkEnd w:id="181"/>
            </w:tbl>
            <w:p>
              <w:pPr>
                <w:keepNext w:val="0"/>
                <w:keepLines w:val="0"/>
                <w:pageBreakBefore w:val="0"/>
                <w:widowControl/>
                <w:kinsoku/>
                <w:wordWrap/>
                <w:overflowPunct/>
                <w:topLinePunct w:val="0"/>
                <w:autoSpaceDE/>
                <w:autoSpaceDN/>
                <w:bidi w:val="0"/>
                <w:adjustRightInd/>
                <w:snapToGrid/>
                <w:spacing w:line="400" w:lineRule="exact"/>
                <w:textAlignment w:val="auto"/>
                <w:rPr>
                  <w:color w:val="FF0000"/>
                  <w:szCs w:val="21"/>
                </w:rPr>
              </w:pPr>
              <w:bookmarkStart w:id="182" w:name="_Hlk24033458"/>
              <w:bookmarkEnd w:id="182"/>
              <w:r>
                <w:rPr>
                  <w:rFonts w:hint="eastAsia"/>
                  <w:szCs w:val="21"/>
                </w:rPr>
                <w:t>公司负责人：周云祥        主管会计工作负责人：龚慧泉          会计机构负责人：游发禄</w:t>
              </w:r>
            </w:p>
          </w:sdtContent>
        </w:sdt>
      </w:sdtContent>
    </w:sdt>
    <w:sdt>
      <w:sdtPr>
        <w:rPr>
          <w:rFonts w:hint="eastAsia" w:ascii="宋体" w:hAnsi="宋体" w:cs="宋体"/>
          <w:b w:val="0"/>
          <w:bCs w:val="0"/>
          <w:kern w:val="0"/>
          <w:szCs w:val="24"/>
        </w:rPr>
        <w:alias w:val="选项模块:需要编制合并报表（利润表）"/>
        <w:tag w:val="_SEC_38812834cfb34e9393dcbecc309c8615"/>
        <w:id w:val="6410"/>
        <w:placeholder>
          <w:docPart w:val="GBC22222222222222222222222222222"/>
        </w:placeholder>
      </w:sdtPr>
      <w:sdtEndPr>
        <w:rPr>
          <w:rFonts w:hint="default" w:ascii="Times New Roman" w:hAnsi="Times New Roman" w:cs="Times New Roman"/>
          <w:b w:val="0"/>
          <w:bCs w:val="0"/>
          <w:color w:val="FF0000"/>
          <w:kern w:val="0"/>
          <w:szCs w:val="21"/>
        </w:rPr>
      </w:sdtEndPr>
      <w:sdtContent>
        <w:sdt>
          <w:sdtPr>
            <w:rPr>
              <w:rFonts w:hint="eastAsia" w:ascii="宋体" w:hAnsi="宋体" w:cs="宋体"/>
              <w:b w:val="0"/>
              <w:bCs w:val="0"/>
              <w:kern w:val="0"/>
              <w:szCs w:val="24"/>
            </w:rPr>
            <w:tag w:val="_SEC_38d2275e2dcd4f8eb0870715a2a226c7"/>
            <w:id w:val="6411"/>
            <w:placeholder>
              <w:docPart w:val="GBC22222222222222222222222222222"/>
            </w:placeholder>
          </w:sdtPr>
          <w:sdtEndPr>
            <w:rPr>
              <w:rFonts w:hint="eastAsia" w:ascii="Times New Roman" w:hAnsi="Times New Roman" w:cs="Times New Roman"/>
              <w:b w:val="0"/>
              <w:bCs w:val="0"/>
              <w:kern w:val="0"/>
              <w:sz w:val="21"/>
              <w:szCs w:val="21"/>
            </w:rPr>
          </w:sdtEndPr>
          <w:sdtContent>
            <w:p>
              <w:pPr>
                <w:pStyle w:val="4"/>
                <w:jc w:val="center"/>
              </w:pPr>
              <w:bookmarkStart w:id="183" w:name="_Hlk24038378"/>
              <w:r>
                <w:rPr>
                  <w:rFonts w:hint="eastAsia"/>
                </w:rPr>
                <w:t>合并</w:t>
              </w:r>
              <w:r>
                <w:t>利润表</w:t>
              </w:r>
            </w:p>
            <w:p>
              <w:pPr>
                <w:jc w:val="center"/>
                <w:rPr>
                  <w:b/>
                  <w:bCs/>
                  <w:szCs w:val="21"/>
                </w:rPr>
              </w:pPr>
              <w:r>
                <w:rPr>
                  <w:szCs w:val="21"/>
                </w:rPr>
                <w:t>2025年</w:t>
              </w:r>
              <w:r>
                <w:rPr>
                  <w:rFonts w:hint="eastAsia"/>
                  <w:szCs w:val="21"/>
                </w:rPr>
                <w:t>1—</w:t>
              </w:r>
              <w:r>
                <w:rPr>
                  <w:szCs w:val="21"/>
                </w:rPr>
                <w:t>12月</w:t>
              </w:r>
            </w:p>
            <w:p>
              <w:pPr>
                <w:jc w:val="right"/>
                <w:rPr>
                  <w:szCs w:val="21"/>
                </w:rPr>
              </w:pPr>
              <w:r>
                <w:rPr>
                  <w:szCs w:val="21"/>
                </w:rPr>
                <w:t>单位：</w:t>
              </w:r>
              <w:sdt>
                <w:sdtPr>
                  <w:rPr>
                    <w:szCs w:val="21"/>
                  </w:rPr>
                  <w:alias w:val="单位：合并利润表"/>
                  <w:tag w:val="_GBC_95830fead96c480388a2e386c3331383"/>
                  <w:id w:val="641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szCs w:val="21"/>
                  </w:rPr>
                </w:sdtEndPr>
                <w:sdtContent>
                  <w:r>
                    <w:rPr>
                      <w:szCs w:val="21"/>
                    </w:rPr>
                    <w:t>元</w:t>
                  </w:r>
                </w:sdtContent>
              </w:sdt>
              <w:r>
                <w:rPr>
                  <w:szCs w:val="21"/>
                </w:rPr>
                <w:t xml:space="preserve">  币种：</w:t>
              </w:r>
              <w:sdt>
                <w:sdtPr>
                  <w:rPr>
                    <w:szCs w:val="21"/>
                  </w:rPr>
                  <w:alias w:val="币种：合并利润表"/>
                  <w:tag w:val="_GBC_4902a1798447427ba99922213b04b39b"/>
                  <w:id w:val="64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szCs w:val="21"/>
                  </w:rPr>
                </w:sdtEndPr>
                <w:sdtContent>
                  <w:r>
                    <w:rPr>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507"/>
                <w:gridCol w:w="1516"/>
                <w:gridCol w:w="2008"/>
                <w:gridCol w:w="201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3507" w:type="dxa"/>
                    <w:tcBorders>
                      <w:top w:val="outset" w:color="auto" w:sz="4" w:space="0"/>
                      <w:left w:val="outset" w:color="auto" w:sz="4" w:space="0"/>
                      <w:bottom w:val="outset" w:color="auto" w:sz="4" w:space="0"/>
                      <w:right w:val="outset" w:color="auto" w:sz="4" w:space="0"/>
                    </w:tcBorders>
                    <w:vAlign w:val="center"/>
                  </w:tcPr>
                  <w:sdt>
                    <w:sdtPr>
                      <w:tag w:val="_PLD_2e3f33fcce354b339a86add10899a6c5"/>
                      <w:id w:val="6414"/>
                    </w:sdtPr>
                    <w:sdtContent>
                      <w:p>
                        <w:pPr>
                          <w:ind w:leftChars="-19" w:hanging="39" w:hangingChars="19"/>
                          <w:jc w:val="center"/>
                          <w:rPr>
                            <w:b/>
                            <w:szCs w:val="21"/>
                          </w:rPr>
                        </w:pPr>
                        <w:r>
                          <w:rPr>
                            <w:b/>
                            <w:szCs w:val="21"/>
                          </w:rPr>
                          <w:t>项目</w:t>
                        </w:r>
                      </w:p>
                    </w:sdtContent>
                  </w:sdt>
                </w:tc>
                <w:tc>
                  <w:tcPr>
                    <w:tcW w:w="1516" w:type="dxa"/>
                    <w:tcBorders>
                      <w:top w:val="outset" w:color="auto" w:sz="4" w:space="0"/>
                      <w:left w:val="outset" w:color="auto" w:sz="4" w:space="0"/>
                      <w:bottom w:val="outset" w:color="auto" w:sz="4" w:space="0"/>
                      <w:right w:val="outset" w:color="auto" w:sz="4" w:space="0"/>
                    </w:tcBorders>
                    <w:vAlign w:val="center"/>
                  </w:tcPr>
                  <w:sdt>
                    <w:sdtPr>
                      <w:tag w:val="_PLD_93edd7a3846d4cd58b14d043e9b33f2c"/>
                      <w:id w:val="6415"/>
                    </w:sdtPr>
                    <w:sdtContent>
                      <w:p>
                        <w:pPr>
                          <w:jc w:val="center"/>
                          <w:rPr>
                            <w:b/>
                            <w:szCs w:val="21"/>
                          </w:rPr>
                        </w:pPr>
                        <w:r>
                          <w:rPr>
                            <w:rFonts w:hint="eastAsia"/>
                            <w:b/>
                            <w:szCs w:val="21"/>
                          </w:rPr>
                          <w:t>附注</w:t>
                        </w:r>
                      </w:p>
                    </w:sdtContent>
                  </w:sdt>
                </w:tc>
                <w:tc>
                  <w:tcPr>
                    <w:tcW w:w="2008" w:type="dxa"/>
                    <w:tcBorders>
                      <w:top w:val="outset" w:color="auto" w:sz="4" w:space="0"/>
                      <w:left w:val="outset" w:color="auto" w:sz="4" w:space="0"/>
                      <w:bottom w:val="outset" w:color="auto" w:sz="4" w:space="0"/>
                      <w:right w:val="outset" w:color="auto" w:sz="4" w:space="0"/>
                    </w:tcBorders>
                    <w:vAlign w:val="center"/>
                  </w:tcPr>
                  <w:sdt>
                    <w:sdtPr>
                      <w:tag w:val="_PLD_49f84cca199c45e7bc0f9fea5b73078c"/>
                      <w:id w:val="6416"/>
                    </w:sdtPr>
                    <w:sdtContent>
                      <w:p>
                        <w:pPr>
                          <w:jc w:val="center"/>
                          <w:rPr>
                            <w:b/>
                            <w:szCs w:val="21"/>
                          </w:rPr>
                        </w:pPr>
                        <w:r>
                          <w:rPr>
                            <w:rFonts w:hint="eastAsia"/>
                            <w:b/>
                            <w:szCs w:val="21"/>
                          </w:rPr>
                          <w:t>2025年度</w:t>
                        </w:r>
                      </w:p>
                    </w:sdtContent>
                  </w:sdt>
                </w:tc>
                <w:tc>
                  <w:tcPr>
                    <w:tcW w:w="2016" w:type="dxa"/>
                    <w:tcBorders>
                      <w:top w:val="outset" w:color="auto" w:sz="4" w:space="0"/>
                      <w:left w:val="outset" w:color="auto" w:sz="4" w:space="0"/>
                      <w:bottom w:val="outset" w:color="auto" w:sz="4" w:space="0"/>
                      <w:right w:val="outset" w:color="auto" w:sz="4" w:space="0"/>
                    </w:tcBorders>
                    <w:vAlign w:val="center"/>
                  </w:tcPr>
                  <w:sdt>
                    <w:sdtPr>
                      <w:tag w:val="_PLD_8b5fde21bc974404b892a88906dec352"/>
                      <w:id w:val="6417"/>
                    </w:sdtPr>
                    <w:sdtContent>
                      <w:p>
                        <w:pPr>
                          <w:jc w:val="center"/>
                          <w:rPr>
                            <w:b/>
                            <w:szCs w:val="21"/>
                          </w:rPr>
                        </w:pPr>
                        <w:r>
                          <w:rPr>
                            <w:rFonts w:hint="eastAsia"/>
                            <w:b/>
                            <w:szCs w:val="21"/>
                          </w:rPr>
                          <w:t>2024年度</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rPr>
                        <w:color w:val="000000"/>
                        <w:szCs w:val="21"/>
                      </w:rPr>
                    </w:pPr>
                    <w:r>
                      <w:rPr>
                        <w:rFonts w:hint="eastAsia"/>
                        <w:szCs w:val="21"/>
                      </w:rPr>
                      <w:t>一、营业总收入</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1,062,576,709.88</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1,053,051,877.62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rPr>
                        <w:color w:val="000000"/>
                        <w:szCs w:val="21"/>
                      </w:rPr>
                    </w:pPr>
                    <w:r>
                      <w:rPr>
                        <w:rFonts w:hint="eastAsia"/>
                        <w:szCs w:val="21"/>
                      </w:rPr>
                      <w:t>其中：营业收入</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r>
                      <w:rPr>
                        <w:rFonts w:hint="eastAsia"/>
                        <w:color w:val="auto"/>
                        <w:szCs w:val="21"/>
                      </w:rPr>
                      <w:t>七、61</w:t>
                    </w: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1,062,576,709.88</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1,053,051,877.62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color w:val="000000"/>
                        <w:szCs w:val="21"/>
                      </w:rPr>
                    </w:pPr>
                    <w:r>
                      <w:rPr>
                        <w:rFonts w:hint="eastAsia"/>
                        <w:szCs w:val="21"/>
                      </w:rPr>
                      <w:t>利息收入</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已赚保费</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手续费及佣金收入</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rPr>
                        <w:color w:val="000000"/>
                        <w:szCs w:val="21"/>
                      </w:rPr>
                    </w:pPr>
                    <w:r>
                      <w:rPr>
                        <w:rFonts w:hint="eastAsia"/>
                        <w:szCs w:val="21"/>
                      </w:rPr>
                      <w:t>二、营业总成本</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1,072,652,853.53</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1,060,882,957.40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rPr>
                        <w:color w:val="000000"/>
                        <w:szCs w:val="21"/>
                      </w:rPr>
                    </w:pPr>
                    <w:r>
                      <w:rPr>
                        <w:rFonts w:hint="eastAsia"/>
                        <w:szCs w:val="21"/>
                      </w:rPr>
                      <w:t>其中：营业成本</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883,791,640.47</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877,186,367.34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利息支出</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手续费及佣金支出</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退保金</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赔付支出净额</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提取保险责任准备金净额</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保单红利支出</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分保费用</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税金及附加</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r>
                      <w:rPr>
                        <w:rFonts w:hint="eastAsia"/>
                        <w:color w:val="auto"/>
                        <w:szCs w:val="21"/>
                      </w:rPr>
                      <w:t>七、62</w:t>
                    </w: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8,857,706.69</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8,853,038.99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销售费用</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r>
                      <w:rPr>
                        <w:rFonts w:hint="eastAsia"/>
                        <w:color w:val="auto"/>
                        <w:szCs w:val="21"/>
                      </w:rPr>
                      <w:t>七、63</w:t>
                    </w: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108,176,877.86</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113,024,197.01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管理费用</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r>
                      <w:rPr>
                        <w:rFonts w:hint="eastAsia"/>
                        <w:color w:val="auto"/>
                        <w:szCs w:val="21"/>
                      </w:rPr>
                      <w:t>七、64</w:t>
                    </w: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84,036,550.67</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83,756,671.80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pPr>
                    <w:r>
                      <w:rPr>
                        <w:rFonts w:hint="eastAsia"/>
                      </w:rPr>
                      <w:t>研发费用</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r>
                      <w:rPr>
                        <w:rFonts w:hint="eastAsia"/>
                        <w:color w:val="auto"/>
                      </w:rPr>
                      <w:t>七、65</w:t>
                    </w: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19,099,016.14</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17,325,721.40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财务费用</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r>
                      <w:rPr>
                        <w:rFonts w:hint="eastAsia"/>
                        <w:color w:val="auto"/>
                        <w:szCs w:val="21"/>
                      </w:rPr>
                      <w:t>七、66</w:t>
                    </w: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-31,308,938.30</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-39,263,039.14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pPr>
                    <w:r>
                      <w:rPr>
                        <w:rFonts w:hint="eastAsia"/>
                      </w:rPr>
                      <w:t>其中：利息费用</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2,367,383.72</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2,335,611.78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1260" w:firstLineChars="600"/>
                    </w:pPr>
                    <w:r>
                      <w:rPr>
                        <w:rFonts w:hint="eastAsia"/>
                      </w:rPr>
                      <w:t>利息收入</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34,446,603.92</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40,724,565.82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rPr>
                      <w:t>加：</w:t>
                    </w:r>
                    <w:r>
                      <w:rPr>
                        <w:rFonts w:hint="eastAsia"/>
                        <w:szCs w:val="21"/>
                      </w:rPr>
                      <w:t>其他收益</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r>
                      <w:rPr>
                        <w:rFonts w:hint="eastAsia"/>
                        <w:color w:val="auto"/>
                      </w:rPr>
                      <w:t>七、67</w:t>
                    </w: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8,763,866.18</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7,842,837.25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投资收益（损失以“－”号填列）</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r>
                      <w:rPr>
                        <w:rFonts w:hint="eastAsia"/>
                        <w:color w:val="auto"/>
                        <w:szCs w:val="21"/>
                      </w:rPr>
                      <w:t>七、68</w:t>
                    </w: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18,232,895.36</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23,354,107.51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其中：对联营企业和合营企业的投资收益</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1155" w:firstLineChars="550"/>
                    </w:pPr>
                    <w:r>
                      <w:rPr>
                        <w:rFonts w:hint="eastAsia"/>
                      </w:rPr>
                      <w:t>以摊余成本计量的金融资产终止确认收益</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汇兑收益（损失以“－”号填列）</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pPr>
                    <w:r>
                      <w:rPr>
                        <w:rFonts w:hint="eastAsia"/>
                      </w:rPr>
                      <w:t>净敞口套期收益（损失以“</w:t>
                    </w:r>
                    <w:r>
                      <w:t>-”号填列）</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color w:val="000000"/>
                        <w:szCs w:val="21"/>
                      </w:rPr>
                    </w:pPr>
                    <w:r>
                      <w:rPr>
                        <w:rFonts w:hint="eastAsia"/>
                        <w:szCs w:val="21"/>
                      </w:rPr>
                      <w:t>公允价值变动收益（损失以“－”号填列）</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r>
                      <w:rPr>
                        <w:rFonts w:hint="eastAsia"/>
                        <w:color w:val="auto"/>
                        <w:szCs w:val="21"/>
                      </w:rPr>
                      <w:t>七、70</w:t>
                    </w: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-4,428,195.28</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87,741,824.53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pPr>
                    <w:r>
                      <w:rPr>
                        <w:rFonts w:hint="eastAsia"/>
                      </w:rPr>
                      <w:t>信用减值损失（损失以“</w:t>
                    </w:r>
                    <w:r>
                      <w:t>-”号填列）</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r>
                      <w:rPr>
                        <w:rFonts w:hint="eastAsia"/>
                        <w:color w:val="auto"/>
                      </w:rPr>
                      <w:t>七、71</w:t>
                    </w: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-2,387,262.52</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380,768.66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资产减值损失</w:t>
                    </w:r>
                    <w:r>
                      <w:rPr>
                        <w:rFonts w:hint="eastAsia"/>
                      </w:rPr>
                      <w:t>（损失以“</w:t>
                    </w:r>
                    <w:r>
                      <w:t>-”号填列）</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r>
                      <w:rPr>
                        <w:rFonts w:hint="eastAsia"/>
                        <w:color w:val="auto"/>
                        <w:szCs w:val="21"/>
                      </w:rPr>
                      <w:t>七、72</w:t>
                    </w: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-2,258,608.73</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-1,218,493.51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pPr>
                    <w:r>
                      <w:rPr>
                        <w:rFonts w:hint="eastAsia"/>
                      </w:rPr>
                      <w:t>资产处置收益（损失以“－”号填列）</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r>
                      <w:rPr>
                        <w:rFonts w:hint="eastAsia"/>
                        <w:color w:val="auto"/>
                      </w:rPr>
                      <w:t>七、73</w:t>
                    </w: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-9,826.60</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rPr>
                        <w:color w:val="000000"/>
                        <w:szCs w:val="21"/>
                      </w:rPr>
                    </w:pPr>
                    <w:r>
                      <w:rPr>
                        <w:rFonts w:hint="eastAsia"/>
                        <w:szCs w:val="21"/>
                      </w:rPr>
                      <w:t>三、营业利润（亏损以“－”号填列）</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7,836,724.76</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110,269,964.66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加：营业外收入</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r>
                      <w:rPr>
                        <w:rFonts w:hint="eastAsia"/>
                        <w:color w:val="auto"/>
                        <w:szCs w:val="21"/>
                      </w:rPr>
                      <w:t>七、74</w:t>
                    </w: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2,877,542.55</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1,183,575.08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减：营业外支出</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r>
                      <w:rPr>
                        <w:rFonts w:hint="eastAsia"/>
                        <w:color w:val="auto"/>
                        <w:szCs w:val="21"/>
                      </w:rPr>
                      <w:t>七、75</w:t>
                    </w: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153,106.03</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1,006,483.81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rPr>
                        <w:color w:val="000000"/>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10,561,161.28</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110,447,055.93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减：所得税费用</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r>
                      <w:rPr>
                        <w:rFonts w:hint="eastAsia"/>
                        <w:color w:val="auto"/>
                        <w:szCs w:val="21"/>
                      </w:rPr>
                      <w:t>七、76</w:t>
                    </w: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-134,128.08</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27,885,146.90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rPr>
                        <w:color w:val="000000"/>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10,695,289.36</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82,561,909.03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49" w:type="dxa"/>
                    <w:gridSpan w:val="4"/>
                    <w:tcBorders>
                      <w:top w:val="outset" w:color="auto" w:sz="4" w:space="0"/>
                      <w:left w:val="outset" w:color="auto" w:sz="4" w:space="0"/>
                      <w:bottom w:val="outset" w:color="auto" w:sz="4" w:space="0"/>
                      <w:right w:val="outset" w:color="auto" w:sz="4" w:space="0"/>
                    </w:tcBorders>
                    <w:vAlign w:val="center"/>
                  </w:tcPr>
                  <w:sdt>
                    <w:sdtPr>
                      <w:tag w:val="_PLD_9445f61075384ccaafee7a9aff738d9c"/>
                      <w:id w:val="6418"/>
                    </w:sdtPr>
                    <w:sdtContent>
                      <w:p>
                        <w:pPr>
                          <w:rPr>
                            <w:szCs w:val="21"/>
                          </w:rPr>
                        </w:pPr>
                        <w:r>
                          <w:rPr>
                            <w:rFonts w:hint="eastAsia"/>
                            <w:szCs w:val="21"/>
                          </w:rPr>
                          <w:t>（一）</w:t>
                        </w:r>
                        <w:r>
                          <w:t>按经营持续性分类</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420" w:firstLineChars="200"/>
                    </w:pPr>
                    <w:r>
                      <w:t>1.持续经营净利润（净亏损以“－”号填列）</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10,695,289.36</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82,561,909.03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420" w:firstLineChars="200"/>
                    </w:pPr>
                    <w:r>
                      <w:t>2.终止经营净利润（净亏损以“－”号填列）</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49" w:type="dxa"/>
                    <w:gridSpan w:val="4"/>
                    <w:tcBorders>
                      <w:top w:val="outset" w:color="auto" w:sz="4" w:space="0"/>
                      <w:left w:val="outset" w:color="auto" w:sz="4" w:space="0"/>
                      <w:bottom w:val="outset" w:color="auto" w:sz="4" w:space="0"/>
                      <w:right w:val="outset" w:color="auto" w:sz="4" w:space="0"/>
                    </w:tcBorders>
                    <w:vAlign w:val="center"/>
                  </w:tcPr>
                  <w:sdt>
                    <w:sdtPr>
                      <w:tag w:val="_PLD_5703d86636cb476dab82350c9f6475fc"/>
                      <w:id w:val="6419"/>
                    </w:sdtPr>
                    <w:sdtContent>
                      <w:p>
                        <w:pPr>
                          <w:rPr>
                            <w:szCs w:val="21"/>
                          </w:rPr>
                        </w:pPr>
                        <w:r>
                          <w:rPr>
                            <w:rFonts w:hint="eastAsia"/>
                            <w:szCs w:val="21"/>
                          </w:rPr>
                          <w:t>（二）</w:t>
                        </w:r>
                        <w:r>
                          <w:t>按所有权归属分类</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420" w:firstLineChars="200"/>
                      <w:rPr>
                        <w:szCs w:val="21"/>
                      </w:rPr>
                    </w:pPr>
                    <w:r>
                      <w:t>1.</w:t>
                    </w:r>
                    <w:r>
                      <w:rPr>
                        <w:rFonts w:hint="eastAsia"/>
                        <w:szCs w:val="21"/>
                      </w:rPr>
                      <w:t>归属于母</w:t>
                    </w:r>
                    <w:r>
                      <w:rPr>
                        <w:rFonts w:hint="eastAsia"/>
                      </w:rPr>
                      <w:t>公司</w:t>
                    </w:r>
                    <w:r>
                      <w:rPr>
                        <w:rFonts w:hint="eastAsia"/>
                        <w:szCs w:val="21"/>
                      </w:rPr>
                      <w:t>股东的净利润（净亏损以“</w:t>
                    </w:r>
                    <w:r>
                      <w:rPr>
                        <w:szCs w:val="21"/>
                      </w:rPr>
                      <w:t>-”号填列）</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9,846,147.90</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81,098,815.85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420" w:firstLineChars="200"/>
                      <w:rPr>
                        <w:szCs w:val="21"/>
                      </w:rPr>
                    </w:pPr>
                    <w:r>
                      <w:t>2.</w:t>
                    </w:r>
                    <w:r>
                      <w:rPr>
                        <w:rFonts w:hint="eastAsia"/>
                        <w:szCs w:val="21"/>
                      </w:rPr>
                      <w:t>少数股东损益（净亏损以“</w:t>
                    </w:r>
                    <w:r>
                      <w:rPr>
                        <w:szCs w:val="21"/>
                      </w:rPr>
                      <w:t>-”号填列）</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849,141.46</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1,463,093.18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rPr>
                        <w:szCs w:val="21"/>
                      </w:rPr>
                    </w:pPr>
                    <w:r>
                      <w:rPr>
                        <w:rFonts w:hint="eastAsia"/>
                        <w:szCs w:val="21"/>
                      </w:rPr>
                      <w:t>六、其他综合收益的税后净额</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（一）归属母公司所有者的其他综合收益的税后净额</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420" w:firstLineChars="200"/>
                      <w:rPr>
                        <w:szCs w:val="21"/>
                      </w:rPr>
                    </w:pPr>
                    <w:r>
                      <w:rPr>
                        <w:szCs w:val="21"/>
                      </w:rPr>
                      <w:t>1</w:t>
                    </w:r>
                    <w:r>
                      <w:rPr>
                        <w:rFonts w:hint="eastAsia"/>
                        <w:szCs w:val="21"/>
                      </w:rPr>
                      <w:t>．不能重分类进损益的其他综合收益</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rPr>
                      <w:t>（1）</w:t>
                    </w:r>
                    <w:r>
                      <w:rPr>
                        <w:szCs w:val="21"/>
                      </w:rPr>
                      <w:t>重新计量设定受益计划变动额</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rPr>
                      <w:t>（2）</w:t>
                    </w:r>
                    <w:r>
                      <w:t>权益法下不能转损益的其他综合收益</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pPr>
                    <w:r>
                      <w:rPr>
                        <w:rFonts w:hint="eastAsia"/>
                      </w:rPr>
                      <w:t>（3）</w:t>
                    </w:r>
                    <w:r>
                      <w:t>其他权益工具投资公允价值变动</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pPr>
                    <w:r>
                      <w:rPr>
                        <w:rFonts w:hint="eastAsia"/>
                      </w:rPr>
                      <w:t>（4）</w:t>
                    </w:r>
                    <w:r>
                      <w:t>企业自身信用风险公允价值变动</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420" w:firstLineChars="200"/>
                      <w:rPr>
                        <w:szCs w:val="21"/>
                      </w:rPr>
                    </w:pPr>
                    <w:r>
                      <w:rPr>
                        <w:szCs w:val="21"/>
                      </w:rPr>
                      <w:t>2</w:t>
                    </w:r>
                    <w:r>
                      <w:rPr>
                        <w:rFonts w:hint="eastAsia"/>
                        <w:szCs w:val="21"/>
                      </w:rPr>
                      <w:t>．将重分类进损益的其他综合收益</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rPr>
                      <w:t>（1）</w:t>
                    </w:r>
                    <w:r>
                      <w:t>权益法下可转损益的其他综合收益</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pPr>
                    <w:r>
                      <w:rPr>
                        <w:rFonts w:hint="eastAsia"/>
                      </w:rPr>
                      <w:t>（2）</w:t>
                    </w:r>
                    <w:r>
                      <w:t>其他债权投资公允价值变动</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pPr>
                    <w:r>
                      <w:rPr>
                        <w:rFonts w:hint="eastAsia"/>
                      </w:rPr>
                      <w:t>（3）</w:t>
                    </w:r>
                    <w:r>
                      <w:t>金融资产重分类计入其他综合收益的金额</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pPr>
                    <w:r>
                      <w:rPr>
                        <w:rFonts w:hint="eastAsia"/>
                      </w:rPr>
                      <w:t>（4）</w:t>
                    </w:r>
                    <w:r>
                      <w:t>其他债权投资信用减值准备</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pPr>
                    <w:r>
                      <w:rPr>
                        <w:rFonts w:hint="eastAsia"/>
                      </w:rPr>
                      <w:t>（5）</w:t>
                    </w:r>
                    <w:r>
                      <w:t>现金流量套期储备</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pPr>
                    <w:r>
                      <w:rPr>
                        <w:rFonts w:hint="eastAsia"/>
                      </w:rPr>
                      <w:t>（6）</w:t>
                    </w:r>
                    <w:r>
                      <w:t>外币财务报表折算差额</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pPr>
                    <w:r>
                      <w:rPr>
                        <w:rFonts w:hint="eastAsia"/>
                      </w:rPr>
                      <w:t>（7）</w:t>
                    </w:r>
                    <w:r>
                      <w:t>其他</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szCs w:val="21"/>
                      </w:rPr>
                      <w:t>（二）</w:t>
                    </w:r>
                    <w:r>
                      <w:rPr>
                        <w:rFonts w:hint="eastAsia"/>
                        <w:szCs w:val="21"/>
                      </w:rPr>
                      <w:t>归属于少数股东的其他综合收益的税后净额</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rPr>
                        <w:szCs w:val="21"/>
                      </w:rPr>
                    </w:pPr>
                    <w:r>
                      <w:rPr>
                        <w:rFonts w:hint="eastAsia"/>
                        <w:szCs w:val="21"/>
                      </w:rPr>
                      <w:t>七、综合收益总额</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10,695,289.36</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82,561,909.03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szCs w:val="21"/>
                      </w:rPr>
                      <w:t>（一）</w:t>
                    </w:r>
                    <w:r>
                      <w:rPr>
                        <w:rFonts w:hint="eastAsia"/>
                        <w:szCs w:val="21"/>
                      </w:rPr>
                      <w:t>归属于母公司所有者的综合收益总额</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9,846,147.90</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81,098,815.85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szCs w:val="21"/>
                      </w:rPr>
                      <w:t>（二）</w:t>
                    </w:r>
                    <w:r>
                      <w:rPr>
                        <w:rFonts w:hint="eastAsia"/>
                        <w:szCs w:val="21"/>
                      </w:rPr>
                      <w:t>归属于少数股东的综合收益总额</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849,141.46</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1,463,093.18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49" w:type="dxa"/>
                    <w:gridSpan w:val="4"/>
                    <w:tcBorders>
                      <w:top w:val="outset" w:color="auto" w:sz="4" w:space="0"/>
                      <w:left w:val="outset" w:color="auto" w:sz="4" w:space="0"/>
                      <w:bottom w:val="outset" w:color="auto" w:sz="4" w:space="0"/>
                      <w:right w:val="outset" w:color="auto" w:sz="4" w:space="0"/>
                    </w:tcBorders>
                    <w:vAlign w:val="center"/>
                  </w:tcPr>
                  <w:sdt>
                    <w:sdtPr>
                      <w:tag w:val="_PLD_6e9655fe2b7c48e3964f7a74f9c6deea"/>
                      <w:id w:val="6420"/>
                    </w:sdtPr>
                    <w:sdtContent>
                      <w:p>
                        <w:pPr>
                          <w:rPr>
                            <w:color w:val="008000"/>
                            <w:szCs w:val="21"/>
                          </w:rPr>
                        </w:pPr>
                        <w:r>
                          <w:rPr>
                            <w:rFonts w:hint="eastAsia"/>
                            <w:szCs w:val="21"/>
                          </w:rPr>
                          <w:t>八、每股收益：</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szCs w:val="21"/>
                      </w:rPr>
                      <w:t>（一）基本每股收益</w:t>
                    </w:r>
                    <w:r>
                      <w:rPr>
                        <w:rFonts w:hint="eastAsia"/>
                        <w:szCs w:val="21"/>
                      </w:rPr>
                      <w:t>(元/股)</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0.0179</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0.1475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szCs w:val="21"/>
                      </w:rPr>
                      <w:t>（二）稀释每股收益</w:t>
                    </w:r>
                    <w:r>
                      <w:rPr>
                        <w:rFonts w:hint="eastAsia"/>
                        <w:szCs w:val="21"/>
                      </w:rPr>
                      <w:t>(元/股)</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rFonts w:hint="eastAsia"/>
                        <w:szCs w:val="21"/>
                      </w:rPr>
                    </w:pPr>
                  </w:p>
                </w:tc>
              </w:tr>
            </w:tbl>
            <w:p/>
            <w:bookmarkEnd w:id="183"/>
            <w:p>
              <w:pPr>
                <w:keepNext w:val="0"/>
                <w:keepLines w:val="0"/>
                <w:pageBreakBefore w:val="0"/>
                <w:kinsoku/>
                <w:wordWrap/>
                <w:overflowPunct/>
                <w:topLinePunct w:val="0"/>
                <w:autoSpaceDE/>
                <w:autoSpaceDN/>
                <w:bidi w:val="0"/>
                <w:adjustRightInd/>
                <w:snapToGrid/>
                <w:spacing w:line="400" w:lineRule="exact"/>
                <w:textAlignment w:val="auto"/>
                <w:rPr>
                  <w:rFonts w:hint="eastAsia"/>
                  <w:sz w:val="21"/>
                  <w:szCs w:val="21"/>
                </w:rPr>
              </w:pPr>
              <w:bookmarkStart w:id="184" w:name="_Hlk24038476"/>
              <w:r>
                <w:rPr>
                  <w:rFonts w:hint="eastAsia"/>
                  <w:sz w:val="21"/>
                  <w:szCs w:val="21"/>
                </w:rPr>
                <w:t>公司负责人：周云祥        主管会计工作负责人：龚慧泉          会计机构负责人：游发禄</w:t>
              </w:r>
            </w:p>
            <w:p>
              <w:pPr>
                <w:keepNext w:val="0"/>
                <w:keepLines w:val="0"/>
                <w:pageBreakBefore w:val="0"/>
                <w:kinsoku/>
                <w:wordWrap/>
                <w:overflowPunct/>
                <w:topLinePunct w:val="0"/>
                <w:autoSpaceDE/>
                <w:autoSpaceDN/>
                <w:bidi w:val="0"/>
                <w:adjustRightInd/>
                <w:snapToGrid/>
                <w:spacing w:line="400" w:lineRule="exact"/>
                <w:textAlignment w:val="auto"/>
                <w:rPr>
                  <w:rFonts w:hint="eastAsia"/>
                  <w:sz w:val="21"/>
                  <w:szCs w:val="21"/>
                </w:rPr>
              </w:pPr>
            </w:p>
          </w:sdtContent>
        </w:sdt>
        <w:sdt>
          <w:sdtPr>
            <w:rPr>
              <w:rFonts w:hint="eastAsia" w:ascii="宋体" w:hAnsi="宋体" w:cs="宋体"/>
              <w:b w:val="0"/>
              <w:bCs w:val="0"/>
              <w:kern w:val="0"/>
              <w:szCs w:val="24"/>
            </w:rPr>
            <w:tag w:val="_SEC_7398696337e643be900ea0fa28731754"/>
            <w:id w:val="6426"/>
            <w:placeholder>
              <w:docPart w:val="GBC22222222222222222222222222222"/>
            </w:placeholder>
          </w:sdtPr>
          <w:sdtEndPr>
            <w:rPr>
              <w:rFonts w:hint="eastAsia" w:ascii="Times New Roman" w:hAnsi="Times New Roman" w:cs="宋体-方正超大字符集"/>
              <w:b w:val="0"/>
              <w:bCs w:val="0"/>
              <w:kern w:val="0"/>
              <w:szCs w:val="21"/>
            </w:rPr>
          </w:sdtEndPr>
          <w:sdtContent>
            <w:p>
              <w:pPr>
                <w:pStyle w:val="4"/>
                <w:jc w:val="center"/>
              </w:pPr>
              <w:r>
                <w:rPr>
                  <w:rFonts w:hint="eastAsia"/>
                </w:rPr>
                <w:t>母公司</w:t>
              </w:r>
              <w:r>
                <w:t>利润表</w:t>
              </w:r>
            </w:p>
            <w:p>
              <w:pPr>
                <w:jc w:val="center"/>
                <w:rPr>
                  <w:b/>
                  <w:bCs/>
                  <w:szCs w:val="21"/>
                </w:rPr>
              </w:pPr>
              <w:r>
                <w:rPr>
                  <w:szCs w:val="21"/>
                </w:rPr>
                <w:t>2025年</w:t>
              </w:r>
              <w:r>
                <w:rPr>
                  <w:rFonts w:hint="eastAsia"/>
                  <w:szCs w:val="21"/>
                </w:rPr>
                <w:t>1—</w:t>
              </w:r>
              <w:r>
                <w:rPr>
                  <w:szCs w:val="21"/>
                </w:rPr>
                <w:t>12月</w:t>
              </w:r>
            </w:p>
            <w:p>
              <w:pPr>
                <w:snapToGrid w:val="0"/>
                <w:spacing w:line="240" w:lineRule="atLeast"/>
                <w:jc w:val="right"/>
                <w:rPr>
                  <w:b/>
                  <w:bCs/>
                  <w:color w:val="FF0000"/>
                  <w:szCs w:val="21"/>
                </w:rPr>
              </w:pPr>
              <w:r>
                <w:rPr>
                  <w:szCs w:val="21"/>
                </w:rPr>
                <w:t>单位：</w:t>
              </w:r>
              <w:sdt>
                <w:sdtPr>
                  <w:rPr>
                    <w:szCs w:val="21"/>
                  </w:rPr>
                  <w:alias w:val="单位：母公司利润表"/>
                  <w:tag w:val="_GBC_f17e8cd8a21b417cb065f4c3b94f9c26"/>
                  <w:id w:val="642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szCs w:val="21"/>
                  </w:rPr>
                </w:sdtEndPr>
                <w:sdtContent>
                  <w:r>
                    <w:rPr>
                      <w:szCs w:val="21"/>
                    </w:rPr>
                    <w:t>元</w:t>
                  </w:r>
                </w:sdtContent>
              </w:sdt>
              <w:r>
                <w:rPr>
                  <w:szCs w:val="21"/>
                </w:rPr>
                <w:t xml:space="preserve">  币种：</w:t>
              </w:r>
              <w:sdt>
                <w:sdtPr>
                  <w:rPr>
                    <w:szCs w:val="21"/>
                  </w:rPr>
                  <w:alias w:val="币种：母公司利润表"/>
                  <w:tag w:val="_GBC_514289adafbe4fe995f8f3791e23e392"/>
                  <w:id w:val="64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szCs w:val="21"/>
                  </w:rPr>
                </w:sdtEndPr>
                <w:sdtContent>
                  <w:r>
                    <w:rPr>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507"/>
                <w:gridCol w:w="1516"/>
                <w:gridCol w:w="2008"/>
                <w:gridCol w:w="201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3507" w:type="dxa"/>
                    <w:tcBorders>
                      <w:top w:val="outset" w:color="auto" w:sz="4" w:space="0"/>
                      <w:left w:val="outset" w:color="auto" w:sz="4" w:space="0"/>
                      <w:bottom w:val="outset" w:color="auto" w:sz="4" w:space="0"/>
                      <w:right w:val="outset" w:color="auto" w:sz="4" w:space="0"/>
                    </w:tcBorders>
                    <w:vAlign w:val="center"/>
                  </w:tcPr>
                  <w:sdt>
                    <w:sdtPr>
                      <w:tag w:val="_PLD_a25f325e0afe4d279180290df7e1dd6d"/>
                      <w:id w:val="6429"/>
                    </w:sdtPr>
                    <w:sdtContent>
                      <w:p>
                        <w:pPr>
                          <w:ind w:leftChars="-19" w:hanging="39" w:hangingChars="19"/>
                          <w:jc w:val="center"/>
                          <w:rPr>
                            <w:b/>
                          </w:rPr>
                        </w:pPr>
                        <w:r>
                          <w:rPr>
                            <w:rFonts w:hint="eastAsia"/>
                            <w:b/>
                          </w:rPr>
                          <w:t>项目</w:t>
                        </w:r>
                      </w:p>
                    </w:sdtContent>
                  </w:sdt>
                </w:tc>
                <w:tc>
                  <w:tcPr>
                    <w:tcW w:w="1516" w:type="dxa"/>
                    <w:tcBorders>
                      <w:top w:val="outset" w:color="auto" w:sz="4" w:space="0"/>
                      <w:left w:val="outset" w:color="auto" w:sz="4" w:space="0"/>
                      <w:bottom w:val="outset" w:color="auto" w:sz="4" w:space="0"/>
                      <w:right w:val="outset" w:color="auto" w:sz="4" w:space="0"/>
                    </w:tcBorders>
                    <w:vAlign w:val="center"/>
                  </w:tcPr>
                  <w:sdt>
                    <w:sdtPr>
                      <w:tag w:val="_PLD_4bea71a35f204b56bca2b7ea223d4b71"/>
                      <w:id w:val="6430"/>
                    </w:sdtPr>
                    <w:sdtContent>
                      <w:p>
                        <w:pPr>
                          <w:jc w:val="center"/>
                          <w:rPr>
                            <w:b/>
                          </w:rPr>
                        </w:pPr>
                        <w:r>
                          <w:rPr>
                            <w:rFonts w:hint="eastAsia"/>
                            <w:b/>
                          </w:rPr>
                          <w:t>附注</w:t>
                        </w:r>
                      </w:p>
                    </w:sdtContent>
                  </w:sdt>
                </w:tc>
                <w:tc>
                  <w:tcPr>
                    <w:tcW w:w="2008" w:type="dxa"/>
                    <w:tcBorders>
                      <w:top w:val="outset" w:color="auto" w:sz="4" w:space="0"/>
                      <w:left w:val="outset" w:color="auto" w:sz="4" w:space="0"/>
                      <w:bottom w:val="outset" w:color="auto" w:sz="4" w:space="0"/>
                      <w:right w:val="outset" w:color="auto" w:sz="4" w:space="0"/>
                    </w:tcBorders>
                    <w:vAlign w:val="center"/>
                  </w:tcPr>
                  <w:sdt>
                    <w:sdtPr>
                      <w:tag w:val="_PLD_a2bf02ec3f0b4ce2b9d25f751262d2b0"/>
                      <w:id w:val="6431"/>
                    </w:sdtPr>
                    <w:sdtContent>
                      <w:p>
                        <w:pPr>
                          <w:jc w:val="center"/>
                          <w:rPr>
                            <w:b/>
                          </w:rPr>
                        </w:pPr>
                        <w:r>
                          <w:rPr>
                            <w:rFonts w:hint="eastAsia"/>
                            <w:b/>
                          </w:rPr>
                          <w:t>2025年度</w:t>
                        </w:r>
                      </w:p>
                    </w:sdtContent>
                  </w:sdt>
                </w:tc>
                <w:tc>
                  <w:tcPr>
                    <w:tcW w:w="2016" w:type="dxa"/>
                    <w:tcBorders>
                      <w:top w:val="outset" w:color="auto" w:sz="4" w:space="0"/>
                      <w:left w:val="outset" w:color="auto" w:sz="4" w:space="0"/>
                      <w:bottom w:val="outset" w:color="auto" w:sz="4" w:space="0"/>
                      <w:right w:val="outset" w:color="auto" w:sz="4" w:space="0"/>
                    </w:tcBorders>
                    <w:vAlign w:val="center"/>
                  </w:tcPr>
                  <w:sdt>
                    <w:sdtPr>
                      <w:tag w:val="_PLD_7a01f378d3e3492c9571d4400832431f"/>
                      <w:id w:val="6432"/>
                    </w:sdtPr>
                    <w:sdtContent>
                      <w:p>
                        <w:pPr>
                          <w:jc w:val="center"/>
                          <w:rPr>
                            <w:b/>
                          </w:rPr>
                        </w:pPr>
                        <w:r>
                          <w:rPr>
                            <w:rFonts w:hint="eastAsia"/>
                            <w:b/>
                          </w:rPr>
                          <w:t>2024年度</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left="-19"/>
                      <w:rPr>
                        <w:color w:val="000000"/>
                        <w:szCs w:val="21"/>
                      </w:rPr>
                    </w:pPr>
                    <w:r>
                      <w:rPr>
                        <w:rFonts w:hint="eastAsia"/>
                        <w:szCs w:val="21"/>
                      </w:rPr>
                      <w:t>一、营业收入</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r>
                      <w:rPr>
                        <w:rFonts w:hint="eastAsia"/>
                        <w:color w:val="auto"/>
                        <w:szCs w:val="21"/>
                      </w:rPr>
                      <w:t>十九、4</w:t>
                    </w: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175,665,981.44</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179,762,193.93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减：营业成本</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r>
                      <w:rPr>
                        <w:rFonts w:hint="eastAsia"/>
                        <w:color w:val="auto"/>
                        <w:szCs w:val="21"/>
                      </w:rPr>
                      <w:t>十九、4</w:t>
                    </w: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114,748,957.08</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116,570,676.73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税金及附加</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3,428,836.08</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3,593,049.86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销售费用</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68,885,311.84</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74,634,650.47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管理费用</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36,535,559.49</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39,306,826.12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pPr>
                    <w:r>
                      <w:rPr>
                        <w:rFonts w:hint="eastAsia"/>
                      </w:rPr>
                      <w:t>研发费用</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9,639,015.73</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9,575,906.77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财务费用</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-31,675,605.42</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-38,229,378.86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pPr>
                    <w:r>
                      <w:rPr>
                        <w:rFonts w:hint="eastAsia"/>
                      </w:rPr>
                      <w:t>其中：利息费用</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1,212,261.71</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1,209,206.24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1260" w:firstLineChars="600"/>
                    </w:pPr>
                    <w:r>
                      <w:rPr>
                        <w:rFonts w:hint="eastAsia"/>
                      </w:rPr>
                      <w:t>利息收入</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32,925,312.63</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39,477,845.57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rPr>
                      <w:t>加：</w:t>
                    </w:r>
                    <w:r>
                      <w:rPr>
                        <w:rFonts w:hint="eastAsia"/>
                        <w:szCs w:val="21"/>
                      </w:rPr>
                      <w:t>其他收益</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1,255,503.93</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1,311,722.99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投资收益（损失以“－”号填列）</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r>
                      <w:rPr>
                        <w:rFonts w:hint="eastAsia"/>
                        <w:color w:val="auto"/>
                        <w:szCs w:val="21"/>
                      </w:rPr>
                      <w:t>十九、5</w:t>
                    </w: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20,036,895.36</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23,354,107.51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其中：对联营企业和合营企业的投资收益</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1155" w:firstLineChars="550"/>
                    </w:pPr>
                    <w:r>
                      <w:rPr>
                        <w:rFonts w:hint="eastAsia"/>
                      </w:rPr>
                      <w:t>以摊余成本计量的金融资产终止确认收益</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bCs/>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pPr>
                    <w:r>
                      <w:rPr>
                        <w:rFonts w:hint="eastAsia"/>
                      </w:rPr>
                      <w:t>净敞口套期收益（损失以“</w:t>
                    </w:r>
                    <w:r>
                      <w:t>-”号填列）</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color w:val="000000"/>
                        <w:szCs w:val="21"/>
                      </w:rPr>
                    </w:pPr>
                    <w:r>
                      <w:rPr>
                        <w:rFonts w:hint="eastAsia"/>
                        <w:szCs w:val="21"/>
                      </w:rPr>
                      <w:t>公允价值变动收益（损失以“－”号填列）</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-4,428,195.28</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87,741,824.53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pPr>
                    <w:r>
                      <w:rPr>
                        <w:rFonts w:hint="eastAsia"/>
                      </w:rPr>
                      <w:t>信用减值损失（损失以“</w:t>
                    </w:r>
                    <w:r>
                      <w:t>-”号填列）</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-14,431.60</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35,030.99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rPr>
                        <w:szCs w:val="21"/>
                      </w:rPr>
                    </w:pPr>
                    <w:r>
                      <w:rPr>
                        <w:rFonts w:hint="eastAsia"/>
                        <w:szCs w:val="21"/>
                      </w:rPr>
                      <w:t>资产减值损失（损失以“</w:t>
                    </w:r>
                    <w:r>
                      <w:rPr>
                        <w:szCs w:val="21"/>
                      </w:rPr>
                      <w:t>-”号填列）</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-1,601,176.25</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-1,005,983.09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630" w:firstLineChars="300"/>
                    </w:pPr>
                    <w:r>
                      <w:rPr>
                        <w:rFonts w:hint="eastAsia"/>
                      </w:rPr>
                      <w:t>资产处置收益（损失以“－”号填列）</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left="-19"/>
                      <w:rPr>
                        <w:color w:val="000000"/>
                        <w:szCs w:val="21"/>
                      </w:rPr>
                    </w:pPr>
                    <w:r>
                      <w:rPr>
                        <w:rFonts w:hint="eastAsia"/>
                        <w:szCs w:val="21"/>
                      </w:rPr>
                      <w:t>二、营业利润（亏损以“－”号填列）</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-10,647,497.20</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85,747,165.77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加：营业外收入</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546,331.13</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916,032.40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减：营业外支出</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-613.70</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56,969.84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left="-19"/>
                      <w:rPr>
                        <w:color w:val="000000"/>
                        <w:szCs w:val="21"/>
                      </w:rPr>
                    </w:pPr>
                    <w:r>
                      <w:rPr>
                        <w:rFonts w:hint="eastAsia"/>
                        <w:szCs w:val="21"/>
                      </w:rPr>
                      <w:t>三、利润总额（亏损总额以“－”号填列）</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-10,100,552.37</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86,606,228.33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left="-19" w:firstLine="420" w:firstLineChars="200"/>
                      <w:rPr>
                        <w:color w:val="000000"/>
                        <w:szCs w:val="21"/>
                      </w:rPr>
                    </w:pPr>
                    <w:r>
                      <w:rPr>
                        <w:rFonts w:hint="eastAsia"/>
                        <w:szCs w:val="21"/>
                      </w:rPr>
                      <w:t>减：所得税费用</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-1,107,048.82</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21,935,456.13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left="-19"/>
                      <w:rPr>
                        <w:color w:val="000000"/>
                        <w:szCs w:val="21"/>
                      </w:rPr>
                    </w:pPr>
                    <w:r>
                      <w:rPr>
                        <w:rFonts w:hint="eastAsia"/>
                        <w:szCs w:val="21"/>
                      </w:rPr>
                      <w:t>四、净利润（净亏损以“－”号填列）</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-8,993,503.55</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64,670,772.20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26" w:firstLineChars="108"/>
                    </w:pPr>
                    <w:r>
                      <w:rPr>
                        <w:rFonts w:hint="eastAsia"/>
                        <w:szCs w:val="21"/>
                      </w:rPr>
                      <w:t>（一）</w:t>
                    </w:r>
                    <w:r>
                      <w:t>持续经营净利润（净亏损以“－”号填列）</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-8,993,503.55</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rPr>
                      <w:t>64,670,772.20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26" w:firstLineChars="108"/>
                    </w:pPr>
                    <w:r>
                      <w:rPr>
                        <w:rFonts w:hint="eastAsia"/>
                      </w:rPr>
                      <w:t>（二）终止经营净利润（净亏损以“－”号填列）</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leftChars="-19" w:hanging="39" w:hangingChars="19"/>
                      <w:rPr>
                        <w:szCs w:val="21"/>
                      </w:rPr>
                    </w:pPr>
                    <w:r>
                      <w:rPr>
                        <w:rFonts w:hint="eastAsia"/>
                        <w:szCs w:val="21"/>
                      </w:rPr>
                      <w:t>五、其他综合收益的税后净额</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（一）不能重分类进损益的其他综合收益</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420" w:firstLineChars="200"/>
                      <w:rPr>
                        <w:szCs w:val="21"/>
                      </w:rPr>
                    </w:pPr>
                    <w:r>
                      <w:rPr>
                        <w:szCs w:val="21"/>
                      </w:rPr>
                      <w:t>1.重新计量设定受益计划变动额</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420" w:firstLineChars="200"/>
                      <w:rPr>
                        <w:szCs w:val="21"/>
                      </w:rPr>
                    </w:pPr>
                    <w:r>
                      <w:rPr>
                        <w:szCs w:val="21"/>
                      </w:rPr>
                      <w:t>2.权益法下不能转损益的其他综合收益</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420" w:firstLineChars="200"/>
                    </w:pPr>
                    <w:r>
                      <w:t>3.其他权益工具投资公允价值变动</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420" w:firstLineChars="200"/>
                    </w:pPr>
                    <w:r>
                      <w:t>4.企业自身信用风险公允价值变动</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（二）将重分类进损益的其他综合收益</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420" w:firstLineChars="200"/>
                      <w:rPr>
                        <w:szCs w:val="21"/>
                      </w:rPr>
                    </w:pPr>
                    <w:r>
                      <w:rPr>
                        <w:szCs w:val="21"/>
                      </w:rPr>
                      <w:t>1.权益法下可转损益的其他综合收益</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420" w:firstLineChars="200"/>
                    </w:pPr>
                    <w:r>
                      <w:rPr>
                        <w:szCs w:val="21"/>
                      </w:rPr>
                      <w:t>2.</w:t>
                    </w:r>
                    <w:r>
                      <w:t>其他债权投资公允价值变动</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420" w:firstLineChars="200"/>
                    </w:pPr>
                    <w:r>
                      <w:t>3.金融资产重分类计入其他综合收益的金额</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420" w:firstLineChars="200"/>
                    </w:pPr>
                    <w:r>
                      <w:t>4.其他债权投资信用减值准备</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420" w:firstLineChars="200"/>
                    </w:pPr>
                    <w:r>
                      <w:t>5.现金流量套期储备</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420" w:firstLineChars="200"/>
                    </w:pPr>
                    <w:r>
                      <w:t>6.外币财务报表折算差额</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firstLine="420" w:firstLineChars="200"/>
                    </w:pPr>
                    <w:r>
                      <w:t>7.其他</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left="-19"/>
                      <w:rPr>
                        <w:szCs w:val="21"/>
                      </w:rPr>
                    </w:pPr>
                    <w:r>
                      <w:rPr>
                        <w:rFonts w:hint="eastAsia"/>
                        <w:szCs w:val="21"/>
                      </w:rPr>
                      <w:t>六、综合收益总额</w:t>
                    </w:r>
                  </w:p>
                </w:tc>
                <w:tc>
                  <w:tcPr>
                    <w:tcW w:w="151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-8,993,503.55</w:t>
                    </w: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64,670,772.20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49" w:type="dxa"/>
                    <w:gridSpan w:val="4"/>
                    <w:tcBorders>
                      <w:top w:val="outset" w:color="auto" w:sz="4" w:space="0"/>
                      <w:left w:val="outset" w:color="auto" w:sz="4" w:space="0"/>
                      <w:bottom w:val="outset" w:color="auto" w:sz="4" w:space="0"/>
                      <w:right w:val="outset" w:color="auto" w:sz="4" w:space="0"/>
                    </w:tcBorders>
                    <w:vAlign w:val="center"/>
                  </w:tcPr>
                  <w:sdt>
                    <w:sdtPr>
                      <w:tag w:val="_PLD_3b0447fd122e4105bde5cc49acaea414"/>
                      <w:id w:val="6433"/>
                    </w:sdtPr>
                    <w:sdtContent>
                      <w:p>
                        <w:pPr>
                          <w:rPr>
                            <w:szCs w:val="21"/>
                          </w:rPr>
                        </w:pPr>
                        <w:r>
                          <w:rPr>
                            <w:rFonts w:hint="eastAsia"/>
                            <w:szCs w:val="21"/>
                          </w:rPr>
                          <w:t>七</w:t>
                        </w:r>
                        <w:r>
                          <w:rPr>
                            <w:szCs w:val="21"/>
                          </w:rPr>
                          <w:t>、每股收益：</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left="-19" w:firstLine="420" w:firstLineChars="200"/>
                      <w:rPr>
                        <w:szCs w:val="21"/>
                      </w:rPr>
                    </w:pPr>
                    <w:r>
                      <w:rPr>
                        <w:szCs w:val="21"/>
                      </w:rPr>
                      <w:t>（一）基本每股收益</w:t>
                    </w:r>
                    <w:r>
                      <w:rPr>
                        <w:rFonts w:hint="eastAsia"/>
                        <w:szCs w:val="21"/>
                      </w:rPr>
                      <w:t>(元/股)</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507" w:type="dxa"/>
                    <w:tcBorders>
                      <w:top w:val="outset" w:color="auto" w:sz="4" w:space="0"/>
                      <w:left w:val="outset" w:color="auto" w:sz="4" w:space="0"/>
                      <w:bottom w:val="outset" w:color="auto" w:sz="4" w:space="0"/>
                      <w:right w:val="outset" w:color="auto" w:sz="4" w:space="0"/>
                    </w:tcBorders>
                    <w:vAlign w:val="center"/>
                  </w:tcPr>
                  <w:p>
                    <w:pPr>
                      <w:ind w:left="-19" w:firstLine="420" w:firstLineChars="200"/>
                      <w:rPr>
                        <w:szCs w:val="21"/>
                      </w:rPr>
                    </w:pPr>
                    <w:r>
                      <w:rPr>
                        <w:szCs w:val="21"/>
                      </w:rPr>
                      <w:t>（二）稀释每股收益</w:t>
                    </w:r>
                    <w:r>
                      <w:rPr>
                        <w:rFonts w:hint="eastAsia"/>
                        <w:szCs w:val="21"/>
                      </w:rPr>
                      <w:t>(元/股)</w:t>
                    </w:r>
                  </w:p>
                </w:tc>
                <w:tc>
                  <w:tcPr>
                    <w:tcW w:w="1516"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008"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01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bl>
            <w:p/>
            <w:p>
              <w:pPr>
                <w:snapToGrid w:val="0"/>
                <w:spacing w:line="240" w:lineRule="atLeast"/>
                <w:ind w:right="-153" w:rightChars="-73"/>
                <w:rPr>
                  <w:rFonts w:cs="宋体-方正超大字符集"/>
                  <w:szCs w:val="21"/>
                </w:rPr>
              </w:pPr>
              <w:r>
                <w:rPr>
                  <w:rFonts w:hint="eastAsia"/>
                  <w:szCs w:val="21"/>
                </w:rPr>
                <w:t>公司负责人：周云祥        主管会计工作负责人：龚慧泉          会计机构负责人：游发禄</w:t>
              </w:r>
            </w:p>
          </w:sdtContent>
        </w:sdt>
        <w:p>
          <w:pPr>
            <w:rPr>
              <w:color w:val="FF0000"/>
              <w:szCs w:val="21"/>
            </w:rPr>
          </w:pPr>
        </w:p>
      </w:sdtContent>
    </w:sdt>
    <w:bookmarkEnd w:id="184"/>
    <w:p>
      <w:pPr>
        <w:rPr>
          <w:color w:val="FF0000"/>
          <w:szCs w:val="21"/>
        </w:rPr>
      </w:pPr>
      <w:bookmarkStart w:id="185" w:name="_Hlk24038756"/>
      <w:bookmarkEnd w:id="185"/>
    </w:p>
    <w:p>
      <w:pPr>
        <w:rPr>
          <w:color w:val="FF0000"/>
          <w:szCs w:val="21"/>
        </w:rPr>
      </w:pPr>
    </w:p>
    <w:sdt>
      <w:sdtPr>
        <w:rPr>
          <w:rFonts w:hint="eastAsia"/>
          <w:b/>
          <w:bCs/>
          <w:szCs w:val="21"/>
        </w:rPr>
        <w:alias w:val="选项模块:需要编制合并报表（现金流量表）"/>
        <w:tag w:val="_GBC_d6533048a32749eaa7738390457b7f24"/>
        <w:id w:val="6437"/>
        <w:placeholder>
          <w:docPart w:val="GBC22222222222222222222222222222"/>
        </w:placeholder>
      </w:sdtPr>
      <w:sdtEndPr>
        <w:rPr>
          <w:rFonts w:hint="eastAsia"/>
          <w:b/>
          <w:bCs/>
          <w:szCs w:val="21"/>
        </w:rPr>
      </w:sdtEndPr>
      <w:sdtContent>
        <w:sdt>
          <w:sdtPr>
            <w:rPr>
              <w:rFonts w:hint="eastAsia"/>
              <w:b/>
              <w:bCs/>
              <w:szCs w:val="21"/>
            </w:rPr>
            <w:tag w:val="_GBC_17c43da24c7845d3aa093910aeaf2348"/>
            <w:id w:val="6438"/>
            <w:placeholder>
              <w:docPart w:val="GBC22222222222222222222222222222"/>
            </w:placeholder>
          </w:sdtPr>
          <w:sdtEndPr>
            <w:rPr>
              <w:rFonts w:hint="eastAsia"/>
              <w:b w:val="0"/>
              <w:bCs w:val="0"/>
              <w:szCs w:val="21"/>
            </w:rPr>
          </w:sdtEndPr>
          <w:sdtContent>
            <w:p>
              <w:pPr>
                <w:jc w:val="center"/>
                <w:outlineLvl w:val="2"/>
                <w:rPr>
                  <w:b/>
                  <w:bCs/>
                  <w:szCs w:val="21"/>
                </w:rPr>
              </w:pPr>
              <w:bookmarkStart w:id="186" w:name="_Hlk1156136"/>
              <w:r>
                <w:rPr>
                  <w:rFonts w:hint="eastAsia"/>
                  <w:b/>
                  <w:bCs/>
                  <w:szCs w:val="21"/>
                </w:rPr>
                <w:t>合并</w:t>
              </w:r>
              <w:r>
                <w:rPr>
                  <w:b/>
                  <w:bCs/>
                  <w:szCs w:val="21"/>
                </w:rPr>
                <w:t>现金流量表</w:t>
              </w:r>
            </w:p>
            <w:p>
              <w:pPr>
                <w:jc w:val="center"/>
                <w:rPr>
                  <w:b/>
                  <w:bCs/>
                  <w:szCs w:val="21"/>
                </w:rPr>
              </w:pPr>
              <w:r>
                <w:rPr>
                  <w:szCs w:val="21"/>
                </w:rPr>
                <w:t>2025年</w:t>
              </w:r>
              <w:r>
                <w:rPr>
                  <w:rFonts w:hint="eastAsia"/>
                  <w:szCs w:val="21"/>
                </w:rPr>
                <w:t>1—12</w:t>
              </w:r>
              <w:r>
                <w:rPr>
                  <w:szCs w:val="21"/>
                </w:rPr>
                <w:t>月</w:t>
              </w:r>
            </w:p>
            <w:p>
              <w:pPr>
                <w:jc w:val="right"/>
                <w:rPr>
                  <w:szCs w:val="21"/>
                </w:rPr>
              </w:pPr>
              <w:r>
                <w:rPr>
                  <w:szCs w:val="21"/>
                </w:rPr>
                <w:t>单位</w:t>
              </w:r>
              <w:r>
                <w:rPr>
                  <w:rFonts w:hint="eastAsia"/>
                  <w:szCs w:val="21"/>
                </w:rPr>
                <w:t>：</w:t>
              </w:r>
              <w:sdt>
                <w:sdtPr>
                  <w:rPr>
                    <w:rFonts w:hint="eastAsia"/>
                    <w:szCs w:val="21"/>
                  </w:rPr>
                  <w:alias w:val="单位：合并现金流量表"/>
                  <w:tag w:val="_GBC_7049413ddb8f4e5eac9cb9fb4f802433"/>
                  <w:id w:val="643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szCs w:val="21"/>
                </w:rPr>
                <w:t xml:space="preserve">  币种</w:t>
              </w:r>
              <w:r>
                <w:rPr>
                  <w:rFonts w:hint="eastAsia"/>
                  <w:szCs w:val="21"/>
                </w:rPr>
                <w:t>：</w:t>
              </w:r>
              <w:sdt>
                <w:sdtPr>
                  <w:rPr>
                    <w:rFonts w:hint="eastAsia"/>
                    <w:szCs w:val="21"/>
                  </w:rPr>
                  <w:alias w:val="币种：合并现金流量表"/>
                  <w:tag w:val="_GBC_5ab1c6e244484b228b8cdc6ee3840fd6"/>
                  <w:id w:val="644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141"/>
                <w:gridCol w:w="1567"/>
                <w:gridCol w:w="2173"/>
                <w:gridCol w:w="216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sdt>
                    <w:sdtPr>
                      <w:tag w:val="_PLD_5a1e687815424d54a4dd8744648aa3cb"/>
                      <w:id w:val="6441"/>
                    </w:sdtPr>
                    <w:sdtContent>
                      <w:p>
                        <w:pPr>
                          <w:jc w:val="center"/>
                          <w:rPr>
                            <w:b/>
                          </w:rPr>
                        </w:pPr>
                        <w:r>
                          <w:rPr>
                            <w:rFonts w:hint="eastAsia"/>
                            <w:b/>
                          </w:rPr>
                          <w:t>项目</w:t>
                        </w:r>
                      </w:p>
                    </w:sdtContent>
                  </w:sdt>
                </w:tc>
                <w:tc>
                  <w:tcPr>
                    <w:tcW w:w="1567" w:type="dxa"/>
                    <w:tcBorders>
                      <w:top w:val="outset" w:color="auto" w:sz="4" w:space="0"/>
                      <w:left w:val="outset" w:color="auto" w:sz="4" w:space="0"/>
                      <w:bottom w:val="outset" w:color="auto" w:sz="4" w:space="0"/>
                      <w:right w:val="outset" w:color="auto" w:sz="4" w:space="0"/>
                    </w:tcBorders>
                    <w:vAlign w:val="center"/>
                  </w:tcPr>
                  <w:sdt>
                    <w:sdtPr>
                      <w:tag w:val="_PLD_3c902166982f4ea18b3f3d11c1fe2190"/>
                      <w:id w:val="6442"/>
                    </w:sdtPr>
                    <w:sdtContent>
                      <w:p>
                        <w:pPr>
                          <w:jc w:val="center"/>
                          <w:rPr>
                            <w:b/>
                          </w:rPr>
                        </w:pPr>
                        <w:r>
                          <w:rPr>
                            <w:rFonts w:hint="eastAsia"/>
                            <w:b/>
                          </w:rPr>
                          <w:t>附注</w:t>
                        </w:r>
                      </w:p>
                    </w:sdtContent>
                  </w:sdt>
                </w:tc>
                <w:tc>
                  <w:tcPr>
                    <w:tcW w:w="2173" w:type="dxa"/>
                    <w:tcBorders>
                      <w:top w:val="outset" w:color="auto" w:sz="4" w:space="0"/>
                      <w:left w:val="outset" w:color="auto" w:sz="4" w:space="0"/>
                      <w:bottom w:val="outset" w:color="auto" w:sz="4" w:space="0"/>
                      <w:right w:val="outset" w:color="auto" w:sz="4" w:space="0"/>
                    </w:tcBorders>
                    <w:vAlign w:val="center"/>
                  </w:tcPr>
                  <w:sdt>
                    <w:sdtPr>
                      <w:tag w:val="_PLD_29a06cc719e5467e82013eb798ebb143"/>
                      <w:id w:val="6443"/>
                    </w:sdtPr>
                    <w:sdtContent>
                      <w:p>
                        <w:pPr>
                          <w:autoSpaceDE w:val="0"/>
                          <w:autoSpaceDN w:val="0"/>
                          <w:adjustRightInd w:val="0"/>
                          <w:jc w:val="center"/>
                          <w:rPr>
                            <w:b/>
                          </w:rPr>
                        </w:pPr>
                        <w:r>
                          <w:rPr>
                            <w:rFonts w:hint="eastAsia"/>
                            <w:b/>
                          </w:rPr>
                          <w:t>2025年度</w:t>
                        </w:r>
                      </w:p>
                    </w:sdtContent>
                  </w:sdt>
                </w:tc>
                <w:tc>
                  <w:tcPr>
                    <w:tcW w:w="2166" w:type="dxa"/>
                    <w:tcBorders>
                      <w:top w:val="outset" w:color="auto" w:sz="4" w:space="0"/>
                      <w:left w:val="outset" w:color="auto" w:sz="4" w:space="0"/>
                      <w:bottom w:val="outset" w:color="auto" w:sz="4" w:space="0"/>
                      <w:right w:val="outset" w:color="auto" w:sz="4" w:space="0"/>
                    </w:tcBorders>
                    <w:vAlign w:val="center"/>
                  </w:tcPr>
                  <w:sdt>
                    <w:sdtPr>
                      <w:tag w:val="_PLD_0bd5effed8234e5eb21199f6669657c2"/>
                      <w:id w:val="6444"/>
                    </w:sdtPr>
                    <w:sdtContent>
                      <w:p>
                        <w:pPr>
                          <w:autoSpaceDE w:val="0"/>
                          <w:autoSpaceDN w:val="0"/>
                          <w:adjustRightInd w:val="0"/>
                          <w:jc w:val="center"/>
                          <w:rPr>
                            <w:b/>
                          </w:rPr>
                        </w:pPr>
                        <w:r>
                          <w:rPr>
                            <w:rFonts w:hint="eastAsia"/>
                            <w:b/>
                          </w:rPr>
                          <w:t>2024年度</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49" w:type="dxa"/>
                    <w:gridSpan w:val="4"/>
                    <w:tcBorders>
                      <w:top w:val="outset" w:color="auto" w:sz="4" w:space="0"/>
                      <w:left w:val="outset" w:color="auto" w:sz="4" w:space="0"/>
                      <w:bottom w:val="outset" w:color="auto" w:sz="4" w:space="0"/>
                      <w:right w:val="outset" w:color="auto" w:sz="4" w:space="0"/>
                    </w:tcBorders>
                    <w:vAlign w:val="center"/>
                  </w:tcPr>
                  <w:sdt>
                    <w:sdtPr>
                      <w:tag w:val="_PLD_c03c8258c1684fb989d96332af6834de"/>
                      <w:id w:val="6445"/>
                    </w:sdtPr>
                    <w:sdtContent>
                      <w:p>
                        <w:pPr>
                          <w:rPr>
                            <w:szCs w:val="21"/>
                          </w:rPr>
                        </w:pPr>
                        <w:r>
                          <w:rPr>
                            <w:rFonts w:hint="eastAsia"/>
                            <w:b/>
                            <w:bCs/>
                            <w:szCs w:val="21"/>
                          </w:rPr>
                          <w:t>一、经营活动产生的现金流量：</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销售商品、提供劳务收到的现金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1,133,800,461.22</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1,187,953,526.42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客户存款和同业存放款项净增加额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向中央银行借款净增加额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向其他金融机构拆入资金净增加额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收到原保险合同保费取得的现金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收到再保业务现金净额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保户储金及投资款净增加额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收取利息、手续费及佣金的现金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拆入资金净增加额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回购业务资金净增加额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pPr>
                    <w:r>
                      <w:rPr>
                        <w:rFonts w:hint="eastAsia"/>
                      </w:rPr>
                      <w:t>代理买卖证券收到的现金净额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收到的税费返还</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15,600.00</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308,055.43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收到其他与经营活动有关的现金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r>
                      <w:rPr>
                        <w:rFonts w:hint="eastAsia"/>
                        <w:color w:val="auto"/>
                        <w:szCs w:val="21"/>
                      </w:rPr>
                      <w:t>七、78.（1）</w:t>
                    </w: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51,131,858.34</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50,369,441.20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420" w:firstLineChars="200"/>
                      <w:rPr>
                        <w:color w:val="000000"/>
                        <w:szCs w:val="21"/>
                      </w:rPr>
                    </w:pPr>
                    <w:r>
                      <w:rPr>
                        <w:rFonts w:hint="eastAsia"/>
                        <w:szCs w:val="21"/>
                      </w:rPr>
                      <w:t>经营活动现金流入小计</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1,184,947,919.56</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1,238,631,023.05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购买商品、接受劳务支付的现金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810,902,676.18</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890,635,874.21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客户贷款及垫款净增加额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存放中央银行和同业款项净增加额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支付原保险合同赔付款项的现金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pPr>
                    <w:r>
                      <w:rPr>
                        <w:rFonts w:hint="eastAsia"/>
                      </w:rPr>
                      <w:t>拆出资金净增加额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支付利息、手续费及佣金的现金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支付保单红利的现金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支付给职工及为职工支付的现金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174,245,379.73</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172,235,142.56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支付的各项税费</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37,057,598.58</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30,243,808.35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支付其他与经营活动有关的现金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r>
                      <w:rPr>
                        <w:rFonts w:hint="eastAsia"/>
                        <w:color w:val="auto"/>
                        <w:szCs w:val="21"/>
                      </w:rPr>
                      <w:t>七、78.（1）</w:t>
                    </w: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101,730,315.85</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131,236,251.44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420" w:firstLineChars="200"/>
                      <w:rPr>
                        <w:color w:val="000000"/>
                        <w:szCs w:val="21"/>
                      </w:rPr>
                    </w:pPr>
                    <w:r>
                      <w:rPr>
                        <w:rFonts w:hint="eastAsia"/>
                        <w:szCs w:val="21"/>
                      </w:rPr>
                      <w:t>经营活动现金流出小计</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1,123,935,970.34</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1,224,351,076.56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630" w:firstLineChars="300"/>
                      <w:rPr>
                        <w:color w:val="000000"/>
                        <w:szCs w:val="21"/>
                      </w:rPr>
                    </w:pPr>
                    <w:r>
                      <w:rPr>
                        <w:rFonts w:hint="eastAsia"/>
                        <w:szCs w:val="21"/>
                      </w:rPr>
                      <w:t>经营活动产生的现金流量净额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61,011,949.22</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14,279,946.49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49" w:type="dxa"/>
                    <w:gridSpan w:val="4"/>
                    <w:tcBorders>
                      <w:top w:val="outset" w:color="auto" w:sz="4" w:space="0"/>
                      <w:left w:val="outset" w:color="auto" w:sz="4" w:space="0"/>
                      <w:bottom w:val="outset" w:color="auto" w:sz="4" w:space="0"/>
                      <w:right w:val="outset" w:color="auto" w:sz="4" w:space="0"/>
                    </w:tcBorders>
                    <w:vAlign w:val="center"/>
                  </w:tcPr>
                  <w:sdt>
                    <w:sdtPr>
                      <w:tag w:val="_PLD_cb59aa0e2bd944b8ba7271368c6da00a"/>
                      <w:id w:val="6446"/>
                    </w:sdtPr>
                    <w:sdtContent>
                      <w:p>
                        <w:pPr>
                          <w:rPr>
                            <w:color w:val="008000"/>
                            <w:szCs w:val="21"/>
                          </w:rPr>
                        </w:pPr>
                        <w:r>
                          <w:rPr>
                            <w:rFonts w:hint="eastAsia"/>
                            <w:b/>
                            <w:bCs/>
                            <w:szCs w:val="21"/>
                          </w:rPr>
                          <w:t>二、投资活动产生的现金流量：</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收回投资收到的现金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10,218,234.64</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7,356,130.68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取得投资收益收到的现金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15,988,907.30</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23,354,107.51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处置固定资产、无形资产和其他长期资产收回的现金净额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9,160.00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处置子公司及其他营业单位收到的现金净额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收到其他与投资活动有关的现金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420" w:firstLineChars="200"/>
                      <w:rPr>
                        <w:color w:val="000000"/>
                        <w:szCs w:val="21"/>
                      </w:rPr>
                    </w:pPr>
                    <w:r>
                      <w:rPr>
                        <w:rFonts w:hint="eastAsia"/>
                        <w:szCs w:val="21"/>
                      </w:rPr>
                      <w:t>投资活动现金流入小计</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26,207,141.94</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30,719,398.19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购建固定资产、无形资产和其他长期资产支付的现金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48,256,981.13</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29,766,368.68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投资支付的现金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10,218,234.64</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7,356,130.68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质押贷款净增加额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取得子公司及其他营业单位支付的现金净额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支付其他与投资活动有关的现金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420" w:firstLineChars="200"/>
                      <w:rPr>
                        <w:color w:val="000000"/>
                        <w:szCs w:val="21"/>
                      </w:rPr>
                    </w:pPr>
                    <w:r>
                      <w:rPr>
                        <w:rFonts w:hint="eastAsia"/>
                        <w:szCs w:val="21"/>
                      </w:rPr>
                      <w:t>投资活动现金流出小计</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58,475,215.77</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37,122,499.36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630" w:firstLineChars="300"/>
                      <w:rPr>
                        <w:color w:val="000000"/>
                        <w:szCs w:val="21"/>
                      </w:rPr>
                    </w:pPr>
                    <w:r>
                      <w:rPr>
                        <w:rFonts w:hint="eastAsia"/>
                        <w:szCs w:val="21"/>
                      </w:rPr>
                      <w:t>投资活动产生的现金流量净额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-32,268,073.83</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-6,403,101.17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49" w:type="dxa"/>
                    <w:gridSpan w:val="4"/>
                    <w:tcBorders>
                      <w:top w:val="outset" w:color="auto" w:sz="4" w:space="0"/>
                      <w:left w:val="outset" w:color="auto" w:sz="4" w:space="0"/>
                      <w:bottom w:val="outset" w:color="auto" w:sz="4" w:space="0"/>
                      <w:right w:val="outset" w:color="auto" w:sz="4" w:space="0"/>
                    </w:tcBorders>
                    <w:vAlign w:val="center"/>
                  </w:tcPr>
                  <w:sdt>
                    <w:sdtPr>
                      <w:tag w:val="_PLD_8e0d926902804b5baefad8990e4523b4"/>
                      <w:id w:val="6447"/>
                    </w:sdtPr>
                    <w:sdtContent>
                      <w:p>
                        <w:pPr>
                          <w:rPr>
                            <w:color w:val="008000"/>
                            <w:szCs w:val="21"/>
                          </w:rPr>
                        </w:pPr>
                        <w:r>
                          <w:rPr>
                            <w:rFonts w:hint="eastAsia"/>
                            <w:b/>
                            <w:bCs/>
                            <w:szCs w:val="21"/>
                          </w:rPr>
                          <w:t>三、筹资活动产生的现金流量：</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吸收投资收到的现金</w:t>
                    </w:r>
                  </w:p>
                </w:tc>
                <w:tc>
                  <w:tcPr>
                    <w:tcW w:w="1567"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其中：子公司吸收少数股东投资收到的现金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取得借款收到的现金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102,000,000.00</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95,000,000.00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收到其他与筹资活动有关的现金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420" w:firstLineChars="200"/>
                      <w:rPr>
                        <w:color w:val="000000"/>
                        <w:szCs w:val="21"/>
                      </w:rPr>
                    </w:pPr>
                    <w:r>
                      <w:rPr>
                        <w:rFonts w:hint="eastAsia"/>
                        <w:szCs w:val="21"/>
                      </w:rPr>
                      <w:t>筹资活动现金流入小计</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102,000,000.00</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95,000,000.00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偿还债务支付的现金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90,000,000.00</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87,000,000.00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分配股利、利润或偿付利息支付的现金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17,980,234.19</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18,758,341.57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其中：子公司支付给少数股东的股利、利润</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198,000.00</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支付其他与筹资活动有关的现金</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r>
                      <w:rPr>
                        <w:rFonts w:hint="eastAsia"/>
                        <w:color w:val="auto"/>
                        <w:szCs w:val="21"/>
                      </w:rPr>
                      <w:t>七、78.（3）</w:t>
                    </w: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2,631,589.00</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2,543,280.00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420" w:firstLineChars="200"/>
                      <w:rPr>
                        <w:color w:val="000000"/>
                        <w:szCs w:val="21"/>
                      </w:rPr>
                    </w:pPr>
                    <w:r>
                      <w:rPr>
                        <w:rFonts w:hint="eastAsia"/>
                        <w:szCs w:val="21"/>
                      </w:rPr>
                      <w:t>筹资活动现金流出小计</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110,611,823.19</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108,301,621.57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630" w:firstLineChars="300"/>
                      <w:rPr>
                        <w:color w:val="000000"/>
                        <w:szCs w:val="21"/>
                      </w:rPr>
                    </w:pPr>
                    <w:r>
                      <w:rPr>
                        <w:rFonts w:hint="eastAsia"/>
                        <w:szCs w:val="21"/>
                      </w:rPr>
                      <w:t>筹资活动产生的现金流量净额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-8,611,823.19</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-13,301,621.57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rPr>
                        <w:color w:val="000000"/>
                        <w:szCs w:val="21"/>
                      </w:rPr>
                    </w:pPr>
                    <w:r>
                      <w:rPr>
                        <w:rFonts w:hint="eastAsia"/>
                        <w:b/>
                        <w:bCs/>
                        <w:szCs w:val="21"/>
                      </w:rPr>
                      <w:t>四、汇率变动对现金及现金等价物的影响</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-502,520.75</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481,883.65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rPr>
                        <w:color w:val="000000"/>
                        <w:szCs w:val="21"/>
                      </w:rPr>
                    </w:pPr>
                    <w:r>
                      <w:rPr>
                        <w:rFonts w:hint="eastAsia"/>
                        <w:b/>
                        <w:bCs/>
                        <w:szCs w:val="21"/>
                      </w:rPr>
                      <w:t>五、现金及现金等价物净增加额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19,629,531.45</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-4,942,892.60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加：期初现金及现金等价物余额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1,272,877,948.54</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1,277,820,841.14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1" w:type="dxa"/>
                    <w:tcBorders>
                      <w:top w:val="outset" w:color="auto" w:sz="4" w:space="0"/>
                      <w:left w:val="outset" w:color="auto" w:sz="4" w:space="0"/>
                      <w:bottom w:val="outset" w:color="auto" w:sz="4" w:space="0"/>
                      <w:right w:val="outset" w:color="auto" w:sz="4" w:space="0"/>
                    </w:tcBorders>
                    <w:vAlign w:val="center"/>
                  </w:tcPr>
                  <w:p>
                    <w:pPr>
                      <w:rPr>
                        <w:color w:val="000000"/>
                        <w:szCs w:val="21"/>
                      </w:rPr>
                    </w:pPr>
                    <w:r>
                      <w:rPr>
                        <w:rFonts w:hint="eastAsia"/>
                        <w:b/>
                        <w:bCs/>
                        <w:szCs w:val="21"/>
                      </w:rPr>
                      <w:t>六、期末现金及现金等价物余额</w:t>
                    </w:r>
                  </w:p>
                </w:tc>
                <w:tc>
                  <w:tcPr>
                    <w:tcW w:w="1567"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3"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1,292,507,479.99</w:t>
                    </w:r>
                  </w:p>
                </w:tc>
                <w:tc>
                  <w:tcPr>
                    <w:tcW w:w="2166"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1,272,877,948.54</w:t>
                    </w:r>
                  </w:p>
                </w:tc>
              </w:tr>
            </w:tbl>
            <w:p/>
            <w:p>
              <w:pPr>
                <w:rPr>
                  <w:szCs w:val="21"/>
                </w:rPr>
              </w:pPr>
              <w:r>
                <w:rPr>
                  <w:rFonts w:hint="eastAsia"/>
                  <w:szCs w:val="21"/>
                </w:rPr>
                <w:t>公司负责人：周云祥        主管会计工作负责人：龚慧泉          会计机构负责人：游发禄</w:t>
              </w:r>
            </w:p>
          </w:sdtContent>
        </w:sdt>
        <w:p>
          <w:pPr>
            <w:jc w:val="center"/>
            <w:rPr>
              <w:b/>
              <w:bCs/>
              <w:szCs w:val="21"/>
            </w:rPr>
          </w:pPr>
        </w:p>
        <w:sdt>
          <w:sdtPr>
            <w:rPr>
              <w:rFonts w:hint="eastAsia"/>
              <w:b/>
              <w:bCs/>
              <w:szCs w:val="21"/>
            </w:rPr>
            <w:tag w:val="_GBC_fa07832b39b14b348ba105d6cedbd7b8"/>
            <w:id w:val="6451"/>
            <w:placeholder>
              <w:docPart w:val="GBC22222222222222222222222222222"/>
            </w:placeholder>
          </w:sdtPr>
          <w:sdtEndPr>
            <w:rPr>
              <w:rFonts w:hint="eastAsia"/>
              <w:b w:val="0"/>
              <w:bCs w:val="0"/>
              <w:szCs w:val="21"/>
            </w:rPr>
          </w:sdtEndPr>
          <w:sdtContent>
            <w:p>
              <w:pPr>
                <w:jc w:val="center"/>
                <w:outlineLvl w:val="2"/>
                <w:rPr>
                  <w:b/>
                  <w:bCs/>
                  <w:szCs w:val="21"/>
                </w:rPr>
              </w:pPr>
              <w:r>
                <w:rPr>
                  <w:rFonts w:hint="eastAsia"/>
                  <w:b/>
                  <w:bCs/>
                  <w:szCs w:val="21"/>
                </w:rPr>
                <w:t>母公司</w:t>
              </w:r>
              <w:r>
                <w:rPr>
                  <w:b/>
                  <w:bCs/>
                  <w:szCs w:val="21"/>
                </w:rPr>
                <w:t>现金流量表</w:t>
              </w:r>
            </w:p>
            <w:p>
              <w:pPr>
                <w:jc w:val="center"/>
                <w:rPr>
                  <w:b/>
                  <w:bCs/>
                  <w:szCs w:val="21"/>
                </w:rPr>
              </w:pPr>
              <w:r>
                <w:rPr>
                  <w:szCs w:val="21"/>
                </w:rPr>
                <w:t>2025年</w:t>
              </w:r>
              <w:r>
                <w:rPr>
                  <w:rFonts w:hint="eastAsia"/>
                  <w:szCs w:val="21"/>
                </w:rPr>
                <w:t>1—12</w:t>
              </w:r>
              <w:r>
                <w:rPr>
                  <w:szCs w:val="21"/>
                </w:rPr>
                <w:t>月</w:t>
              </w:r>
            </w:p>
            <w:p>
              <w:pPr>
                <w:jc w:val="right"/>
                <w:rPr>
                  <w:szCs w:val="21"/>
                </w:rPr>
              </w:pPr>
              <w:r>
                <w:rPr>
                  <w:szCs w:val="21"/>
                </w:rPr>
                <w:t>单位</w:t>
              </w:r>
              <w:r>
                <w:rPr>
                  <w:rFonts w:hint="eastAsia"/>
                  <w:szCs w:val="21"/>
                </w:rPr>
                <w:t>：</w:t>
              </w:r>
              <w:sdt>
                <w:sdtPr>
                  <w:rPr>
                    <w:szCs w:val="21"/>
                  </w:rPr>
                  <w:alias w:val="单位：母公司现金流量表"/>
                  <w:tag w:val="_GBC_993ead81b27a41dfaccaacfaec8b7c78"/>
                  <w:id w:val="645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szCs w:val="21"/>
                  </w:rPr>
                </w:sdtEndPr>
                <w:sdtContent>
                  <w:r>
                    <w:rPr>
                      <w:szCs w:val="21"/>
                    </w:rPr>
                    <w:t>元</w:t>
                  </w:r>
                </w:sdtContent>
              </w:sdt>
              <w:r>
                <w:rPr>
                  <w:szCs w:val="21"/>
                </w:rPr>
                <w:t xml:space="preserve">  币种</w:t>
              </w:r>
              <w:r>
                <w:rPr>
                  <w:rFonts w:hint="eastAsia"/>
                  <w:szCs w:val="21"/>
                </w:rPr>
                <w:t>：</w:t>
              </w:r>
              <w:sdt>
                <w:sdtPr>
                  <w:rPr>
                    <w:szCs w:val="21"/>
                  </w:rPr>
                  <w:alias w:val="币种：母公司现金流量表"/>
                  <w:tag w:val="_GBC_2dd4b706d0a244a4b4c21166025356cc"/>
                  <w:id w:val="645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szCs w:val="21"/>
                  </w:rPr>
                </w:sdtEndPr>
                <w:sdtContent>
                  <w:r>
                    <w:rPr>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145"/>
                <w:gridCol w:w="1569"/>
                <w:gridCol w:w="2171"/>
                <w:gridCol w:w="216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sdt>
                    <w:sdtPr>
                      <w:tag w:val="_PLD_fa8a4a4fe8df4f0086d4a3f59744ef0c"/>
                      <w:id w:val="6454"/>
                    </w:sdtPr>
                    <w:sdtContent>
                      <w:p>
                        <w:pPr>
                          <w:jc w:val="center"/>
                          <w:rPr>
                            <w:b/>
                          </w:rPr>
                        </w:pPr>
                        <w:r>
                          <w:rPr>
                            <w:rFonts w:hint="eastAsia"/>
                            <w:b/>
                          </w:rPr>
                          <w:t>项目</w:t>
                        </w:r>
                      </w:p>
                    </w:sdtContent>
                  </w:sdt>
                </w:tc>
                <w:tc>
                  <w:tcPr>
                    <w:tcW w:w="1569" w:type="dxa"/>
                    <w:tcBorders>
                      <w:top w:val="outset" w:color="auto" w:sz="4" w:space="0"/>
                      <w:left w:val="outset" w:color="auto" w:sz="4" w:space="0"/>
                      <w:bottom w:val="outset" w:color="auto" w:sz="4" w:space="0"/>
                      <w:right w:val="outset" w:color="auto" w:sz="4" w:space="0"/>
                    </w:tcBorders>
                    <w:vAlign w:val="center"/>
                  </w:tcPr>
                  <w:sdt>
                    <w:sdtPr>
                      <w:tag w:val="_PLD_e2b9d4cf46994f4f99a9560554670b54"/>
                      <w:id w:val="6455"/>
                    </w:sdtPr>
                    <w:sdtContent>
                      <w:p>
                        <w:pPr>
                          <w:autoSpaceDE w:val="0"/>
                          <w:autoSpaceDN w:val="0"/>
                          <w:adjustRightInd w:val="0"/>
                          <w:jc w:val="center"/>
                          <w:rPr>
                            <w:b/>
                          </w:rPr>
                        </w:pPr>
                        <w:r>
                          <w:rPr>
                            <w:rFonts w:hint="eastAsia"/>
                            <w:b/>
                          </w:rPr>
                          <w:t>附注</w:t>
                        </w:r>
                      </w:p>
                    </w:sdtContent>
                  </w:sdt>
                </w:tc>
                <w:tc>
                  <w:tcPr>
                    <w:tcW w:w="2171" w:type="dxa"/>
                    <w:tcBorders>
                      <w:top w:val="outset" w:color="auto" w:sz="4" w:space="0"/>
                      <w:left w:val="outset" w:color="auto" w:sz="4" w:space="0"/>
                      <w:bottom w:val="outset" w:color="auto" w:sz="4" w:space="0"/>
                      <w:right w:val="outset" w:color="auto" w:sz="4" w:space="0"/>
                    </w:tcBorders>
                    <w:vAlign w:val="center"/>
                  </w:tcPr>
                  <w:sdt>
                    <w:sdtPr>
                      <w:tag w:val="_PLD_a5e1076b6ae14d71abde0e9180405588"/>
                      <w:id w:val="6456"/>
                    </w:sdtPr>
                    <w:sdtContent>
                      <w:p>
                        <w:pPr>
                          <w:autoSpaceDE w:val="0"/>
                          <w:autoSpaceDN w:val="0"/>
                          <w:adjustRightInd w:val="0"/>
                          <w:jc w:val="center"/>
                          <w:rPr>
                            <w:b/>
                          </w:rPr>
                        </w:pPr>
                        <w:r>
                          <w:rPr>
                            <w:rFonts w:hint="eastAsia"/>
                            <w:b/>
                          </w:rPr>
                          <w:t>2025年度</w:t>
                        </w:r>
                      </w:p>
                    </w:sdtContent>
                  </w:sdt>
                </w:tc>
                <w:tc>
                  <w:tcPr>
                    <w:tcW w:w="2162" w:type="dxa"/>
                    <w:tcBorders>
                      <w:top w:val="outset" w:color="auto" w:sz="4" w:space="0"/>
                      <w:left w:val="outset" w:color="auto" w:sz="4" w:space="0"/>
                      <w:bottom w:val="outset" w:color="auto" w:sz="4" w:space="0"/>
                      <w:right w:val="outset" w:color="auto" w:sz="4" w:space="0"/>
                    </w:tcBorders>
                    <w:vAlign w:val="center"/>
                  </w:tcPr>
                  <w:sdt>
                    <w:sdtPr>
                      <w:tag w:val="_PLD_9f1994ac47d2487c870c64df42698a51"/>
                      <w:id w:val="6457"/>
                    </w:sdtPr>
                    <w:sdtContent>
                      <w:p>
                        <w:pPr>
                          <w:autoSpaceDE w:val="0"/>
                          <w:autoSpaceDN w:val="0"/>
                          <w:adjustRightInd w:val="0"/>
                          <w:jc w:val="center"/>
                          <w:rPr>
                            <w:b/>
                          </w:rPr>
                        </w:pPr>
                        <w:r>
                          <w:rPr>
                            <w:rFonts w:hint="eastAsia"/>
                            <w:b/>
                          </w:rPr>
                          <w:t>2024年度</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49" w:type="dxa"/>
                    <w:gridSpan w:val="4"/>
                    <w:tcBorders>
                      <w:top w:val="outset" w:color="auto" w:sz="4" w:space="0"/>
                      <w:left w:val="outset" w:color="auto" w:sz="4" w:space="0"/>
                      <w:bottom w:val="outset" w:color="auto" w:sz="4" w:space="0"/>
                      <w:right w:val="outset" w:color="auto" w:sz="4" w:space="0"/>
                    </w:tcBorders>
                    <w:vAlign w:val="center"/>
                  </w:tcPr>
                  <w:sdt>
                    <w:sdtPr>
                      <w:tag w:val="_PLD_d5384e7a1c2841c78793ee2e647fdb97"/>
                      <w:id w:val="6458"/>
                    </w:sdtPr>
                    <w:sdtContent>
                      <w:p>
                        <w:pPr>
                          <w:rPr>
                            <w:szCs w:val="21"/>
                          </w:rPr>
                        </w:pPr>
                        <w:r>
                          <w:rPr>
                            <w:rFonts w:hint="eastAsia"/>
                            <w:b/>
                            <w:bCs/>
                            <w:szCs w:val="21"/>
                          </w:rPr>
                          <w:t>一、经营活动产生的现金流量：</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销售商品、提供劳务收到的现金</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183,334,520.13</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193,566,857.03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收到的税费返还</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收到其他与经营活动有关的现金</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39,408,816.40</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45,382,482.05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420" w:firstLineChars="200"/>
                      <w:rPr>
                        <w:color w:val="000000"/>
                        <w:szCs w:val="21"/>
                      </w:rPr>
                    </w:pPr>
                    <w:r>
                      <w:rPr>
                        <w:rFonts w:hint="eastAsia"/>
                        <w:szCs w:val="21"/>
                      </w:rPr>
                      <w:t>经营活动现金流入小计</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222,743,336.53</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238,949,339.08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购买商品、接受劳务支付的现金</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126,311,510.78</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129,012,230.39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支付给职工及为职工支付的现金</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54,838,951.86</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55,223,540.62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支付的各项税费</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7,949,819.36</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9,130,173.21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支付其他与经营活动有关的现金</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44,847,898.34</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46,437,613.19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420" w:firstLineChars="200"/>
                      <w:rPr>
                        <w:color w:val="000000"/>
                        <w:szCs w:val="21"/>
                      </w:rPr>
                    </w:pPr>
                    <w:r>
                      <w:rPr>
                        <w:rFonts w:hint="eastAsia"/>
                        <w:szCs w:val="21"/>
                      </w:rPr>
                      <w:t>经营活动现金流出小计</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233,948,180.34</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239,803,557.41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经营活动产生的现金流量净额</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-11,204,843.81</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-854,218.33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49" w:type="dxa"/>
                    <w:gridSpan w:val="4"/>
                    <w:tcBorders>
                      <w:top w:val="outset" w:color="auto" w:sz="4" w:space="0"/>
                      <w:left w:val="outset" w:color="auto" w:sz="4" w:space="0"/>
                      <w:bottom w:val="outset" w:color="auto" w:sz="4" w:space="0"/>
                      <w:right w:val="outset" w:color="auto" w:sz="4" w:space="0"/>
                    </w:tcBorders>
                    <w:vAlign w:val="center"/>
                  </w:tcPr>
                  <w:sdt>
                    <w:sdtPr>
                      <w:tag w:val="_PLD_ea89a8f6b76943769d484d535b94417c"/>
                      <w:id w:val="6459"/>
                    </w:sdtPr>
                    <w:sdtContent>
                      <w:p>
                        <w:pPr>
                          <w:rPr>
                            <w:color w:val="008000"/>
                            <w:szCs w:val="21"/>
                          </w:rPr>
                        </w:pPr>
                        <w:r>
                          <w:rPr>
                            <w:rFonts w:hint="eastAsia"/>
                            <w:b/>
                            <w:bCs/>
                            <w:szCs w:val="21"/>
                          </w:rPr>
                          <w:t>二、投资活动产生的现金流量：</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收回投资收到的现金</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10,218,234.64</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7,356,130.68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取得投资收益收到的现金</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17,792,907.30</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23,354,107.51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处置固定资产、无形资产和其他长期资产收回的现金净额</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处置子公司及其他营业单位收到的现金净额</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收到其他与投资活动有关的现金</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420" w:firstLineChars="200"/>
                      <w:rPr>
                        <w:color w:val="000000"/>
                        <w:szCs w:val="21"/>
                      </w:rPr>
                    </w:pPr>
                    <w:r>
                      <w:rPr>
                        <w:rFonts w:hint="eastAsia"/>
                        <w:szCs w:val="21"/>
                      </w:rPr>
                      <w:t>投资活动现金流入小计</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28,011,141.94</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30,710,238.19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购建固定资产、无形资产和其他长期资产支付的现金</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10,957,174.41</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7,840,087.55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投资支付的现金</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12,218,234.64</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7,356,130.68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取得子公司及其他营业单位支付的现金净额</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支付其他与投资活动有关的现金</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420" w:firstLineChars="200"/>
                      <w:rPr>
                        <w:color w:val="000000"/>
                        <w:szCs w:val="21"/>
                      </w:rPr>
                    </w:pPr>
                    <w:r>
                      <w:rPr>
                        <w:rFonts w:hint="eastAsia"/>
                        <w:szCs w:val="21"/>
                      </w:rPr>
                      <w:t>投资活动现金流出小计</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23,175,409.05</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15,196,218.23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630" w:firstLineChars="300"/>
                      <w:rPr>
                        <w:color w:val="000000"/>
                        <w:szCs w:val="21"/>
                      </w:rPr>
                    </w:pPr>
                    <w:r>
                      <w:rPr>
                        <w:rFonts w:hint="eastAsia"/>
                        <w:szCs w:val="21"/>
                      </w:rPr>
                      <w:t>投资活动产生的现金流量净额</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4,835,732.89</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15,514,019.96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49" w:type="dxa"/>
                    <w:gridSpan w:val="4"/>
                    <w:tcBorders>
                      <w:top w:val="outset" w:color="auto" w:sz="4" w:space="0"/>
                      <w:left w:val="outset" w:color="auto" w:sz="4" w:space="0"/>
                      <w:bottom w:val="outset" w:color="auto" w:sz="4" w:space="0"/>
                      <w:right w:val="outset" w:color="auto" w:sz="4" w:space="0"/>
                    </w:tcBorders>
                    <w:vAlign w:val="center"/>
                  </w:tcPr>
                  <w:sdt>
                    <w:sdtPr>
                      <w:tag w:val="_PLD_8b6929c78db14ee1bde1ca4b9a47a65c"/>
                      <w:id w:val="6460"/>
                    </w:sdtPr>
                    <w:sdtContent>
                      <w:p>
                        <w:pPr>
                          <w:rPr>
                            <w:color w:val="008000"/>
                            <w:szCs w:val="21"/>
                          </w:rPr>
                        </w:pPr>
                        <w:r>
                          <w:rPr>
                            <w:rFonts w:hint="eastAsia"/>
                            <w:b/>
                            <w:bCs/>
                            <w:szCs w:val="21"/>
                          </w:rPr>
                          <w:t>三、筹资活动产生的现金流量：</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吸收投资收到的现金</w:t>
                    </w:r>
                  </w:p>
                </w:tc>
                <w:tc>
                  <w:tcPr>
                    <w:tcW w:w="1569" w:type="dxa"/>
                    <w:tcBorders>
                      <w:top w:val="outset" w:color="auto" w:sz="4" w:space="0"/>
                      <w:left w:val="outset" w:color="auto" w:sz="4" w:space="0"/>
                      <w:bottom w:val="outset" w:color="auto" w:sz="4" w:space="0"/>
                      <w:right w:val="outset" w:color="auto" w:sz="4" w:space="0"/>
                    </w:tcBorders>
                    <w:vAlign w:val="center"/>
                  </w:tcPr>
                  <w:p>
                    <w:pP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取得借款收到的现金</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65,000,000.00</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70,000,000.00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收到其他与筹资活动有关的现金</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420" w:firstLineChars="200"/>
                      <w:rPr>
                        <w:color w:val="000000"/>
                        <w:szCs w:val="21"/>
                      </w:rPr>
                    </w:pPr>
                    <w:r>
                      <w:rPr>
                        <w:rFonts w:hint="eastAsia"/>
                        <w:szCs w:val="21"/>
                      </w:rPr>
                      <w:t>筹资活动现金流入小计</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65,000,000.00</w:t>
                    </w:r>
                  </w:p>
                </w:tc>
                <w:tc>
                  <w:tcPr>
                    <w:tcW w:w="2162" w:type="dxa"/>
                    <w:tcBorders>
                      <w:top w:val="outset" w:color="auto" w:sz="4" w:space="0"/>
                      <w:left w:val="outset" w:color="auto" w:sz="4" w:space="0"/>
                      <w:bottom w:val="outset" w:color="auto" w:sz="4" w:space="0"/>
                      <w:right w:val="outset" w:color="auto" w:sz="4" w:space="0"/>
                    </w:tcBorders>
                    <w:vAlign w:val="center"/>
                  </w:tcPr>
                  <w:p>
                    <w:pPr>
                      <w:tabs>
                        <w:tab w:val="center" w:pos="989"/>
                        <w:tab w:val="right" w:pos="1979"/>
                      </w:tabs>
                      <w:jc w:val="right"/>
                      <w:rPr>
                        <w:szCs w:val="21"/>
                      </w:rPr>
                    </w:pPr>
                    <w:r>
                      <w:rPr>
                        <w:rFonts w:hint="eastAsia"/>
                        <w:color w:val="auto"/>
                        <w:szCs w:val="21"/>
                      </w:rPr>
                      <w:t>70,000,000.00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偿还债务支付的现金</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65,000,000.00</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63,000,000.00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szCs w:val="21"/>
                      </w:rPr>
                    </w:pPr>
                    <w:r>
                      <w:rPr>
                        <w:rFonts w:hint="eastAsia"/>
                        <w:szCs w:val="21"/>
                      </w:rPr>
                      <w:t>分配股利、利润或偿付利息支付的现金</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16,875,827.23</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17,962,738.78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支付其他与筹资活动有关的现金</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420" w:firstLineChars="200"/>
                      <w:rPr>
                        <w:color w:val="000000"/>
                        <w:szCs w:val="21"/>
                      </w:rPr>
                    </w:pPr>
                    <w:r>
                      <w:rPr>
                        <w:rFonts w:hint="eastAsia"/>
                        <w:szCs w:val="21"/>
                      </w:rPr>
                      <w:t>筹资活动现金流出小计</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81,875,827.23</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80,962,738.78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630" w:firstLineChars="300"/>
                      <w:rPr>
                        <w:color w:val="000000"/>
                        <w:szCs w:val="21"/>
                      </w:rPr>
                    </w:pPr>
                    <w:r>
                      <w:rPr>
                        <w:rFonts w:hint="eastAsia"/>
                        <w:szCs w:val="21"/>
                      </w:rPr>
                      <w:t>筹资活动产生的现金流量净额</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-16,875,827.23</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-10,962,738.78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rPr>
                        <w:color w:val="000000"/>
                        <w:szCs w:val="21"/>
                      </w:rPr>
                    </w:pPr>
                    <w:r>
                      <w:rPr>
                        <w:rFonts w:hint="eastAsia"/>
                        <w:b/>
                        <w:bCs/>
                        <w:szCs w:val="21"/>
                      </w:rPr>
                      <w:t>四、汇率变动对现金及现金等价物的影响</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rPr>
                        <w:color w:val="000000"/>
                        <w:szCs w:val="21"/>
                      </w:rPr>
                    </w:pPr>
                    <w:r>
                      <w:rPr>
                        <w:rFonts w:hint="eastAsia"/>
                        <w:b/>
                        <w:bCs/>
                        <w:szCs w:val="21"/>
                      </w:rPr>
                      <w:t>五、现金及现金等价物净增加额</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-23,244,938.15</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3,697,062.85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ind w:firstLine="210" w:firstLineChars="100"/>
                      <w:rPr>
                        <w:color w:val="000000"/>
                        <w:szCs w:val="21"/>
                      </w:rPr>
                    </w:pPr>
                    <w:r>
                      <w:rPr>
                        <w:rFonts w:hint="eastAsia"/>
                        <w:szCs w:val="21"/>
                      </w:rPr>
                      <w:t>加：期初现金及现金等价物余额</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1,141,869,341.63</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1,138,172,278.78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145" w:type="dxa"/>
                    <w:tcBorders>
                      <w:top w:val="outset" w:color="auto" w:sz="4" w:space="0"/>
                      <w:left w:val="outset" w:color="auto" w:sz="4" w:space="0"/>
                      <w:bottom w:val="outset" w:color="auto" w:sz="4" w:space="0"/>
                      <w:right w:val="outset" w:color="auto" w:sz="4" w:space="0"/>
                    </w:tcBorders>
                    <w:vAlign w:val="center"/>
                  </w:tcPr>
                  <w:p>
                    <w:pPr>
                      <w:rPr>
                        <w:color w:val="000000"/>
                        <w:szCs w:val="21"/>
                      </w:rPr>
                    </w:pPr>
                    <w:r>
                      <w:rPr>
                        <w:rFonts w:hint="eastAsia"/>
                        <w:b/>
                        <w:bCs/>
                        <w:szCs w:val="21"/>
                      </w:rPr>
                      <w:t>六、期末现金及现金等价物余额</w:t>
                    </w:r>
                  </w:p>
                </w:tc>
                <w:tc>
                  <w:tcPr>
                    <w:tcW w:w="1569" w:type="dxa"/>
                    <w:tcBorders>
                      <w:top w:val="outset" w:color="auto" w:sz="4" w:space="0"/>
                      <w:left w:val="outset" w:color="auto" w:sz="4" w:space="0"/>
                      <w:bottom w:val="outset" w:color="auto" w:sz="4" w:space="0"/>
                      <w:right w:val="outset" w:color="auto" w:sz="4" w:space="0"/>
                    </w:tcBorders>
                    <w:vAlign w:val="center"/>
                  </w:tcPr>
                  <w:p>
                    <w:pPr>
                      <w:jc w:val="center"/>
                      <w:rPr>
                        <w:szCs w:val="21"/>
                      </w:rPr>
                    </w:pPr>
                  </w:p>
                </w:tc>
                <w:tc>
                  <w:tcPr>
                    <w:tcW w:w="2171"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1,118,624,403.48</w:t>
                    </w:r>
                  </w:p>
                </w:tc>
                <w:tc>
                  <w:tcPr>
                    <w:tcW w:w="2162" w:type="dxa"/>
                    <w:tcBorders>
                      <w:top w:val="outset" w:color="auto" w:sz="4" w:space="0"/>
                      <w:left w:val="outset" w:color="auto" w:sz="4" w:space="0"/>
                      <w:bottom w:val="outset" w:color="auto" w:sz="4" w:space="0"/>
                      <w:right w:val="outset" w:color="auto" w:sz="4" w:space="0"/>
                    </w:tcBorders>
                    <w:vAlign w:val="center"/>
                  </w:tcPr>
                  <w:p>
                    <w:pPr>
                      <w:jc w:val="right"/>
                      <w:rPr>
                        <w:szCs w:val="21"/>
                      </w:rPr>
                    </w:pPr>
                    <w:r>
                      <w:rPr>
                        <w:rFonts w:hint="eastAsia"/>
                        <w:color w:val="auto"/>
                        <w:szCs w:val="21"/>
                      </w:rPr>
                      <w:t>1,141,869,341.63</w:t>
                    </w:r>
                  </w:p>
                </w:tc>
              </w:tr>
            </w:tbl>
            <w:p/>
            <w:bookmarkEnd w:id="186"/>
            <w:p>
              <w:pPr>
                <w:snapToGrid w:val="0"/>
                <w:spacing w:line="240" w:lineRule="atLeast"/>
                <w:ind w:right="-153" w:rightChars="-73"/>
                <w:rPr>
                  <w:szCs w:val="21"/>
                </w:rPr>
              </w:pPr>
              <w:bookmarkStart w:id="187" w:name="OLE_LINK1"/>
              <w:r>
                <w:rPr>
                  <w:rFonts w:hint="eastAsia"/>
                  <w:szCs w:val="21"/>
                </w:rPr>
                <w:t>公司负责人：周云祥        主管会计工作负责人：龚慧泉          会计机构负责人：游发禄</w:t>
              </w:r>
            </w:p>
          </w:sdtContent>
        </w:sdt>
      </w:sdtContent>
    </w:sdt>
    <w:p>
      <w:pPr>
        <w:snapToGrid w:val="0"/>
        <w:spacing w:line="240" w:lineRule="atLeast"/>
        <w:ind w:right="-153" w:rightChars="-73"/>
        <w:rPr>
          <w:szCs w:val="21"/>
        </w:rPr>
        <w:sectPr>
          <w:pgSz w:w="11906" w:h="16838"/>
          <w:pgMar w:top="1525" w:right="1276" w:bottom="1440" w:left="1797" w:header="856" w:footer="992" w:gutter="0"/>
          <w:cols w:space="425" w:num="1"/>
          <w:docGrid w:linePitch="312" w:charSpace="0"/>
        </w:sectPr>
      </w:pPr>
    </w:p>
    <w:bookmarkEnd w:id="187"/>
    <w:sdt>
      <w:sdtPr>
        <w:rPr>
          <w:b/>
          <w:szCs w:val="21"/>
        </w:rPr>
        <w:alias w:val="选项模块:需要编制合并报表（所有者权益变动表）"/>
        <w:tag w:val="_GBC_3b1dcbfa33024cc0a5c2f3d693817342"/>
        <w:id w:val="6464"/>
        <w:placeholder>
          <w:docPart w:val="GBC22222222222222222222222222222"/>
        </w:placeholder>
      </w:sdtPr>
      <w:sdtEndPr>
        <w:rPr>
          <w:b w:val="0"/>
          <w:color w:val="FF0000"/>
          <w:szCs w:val="20"/>
        </w:rPr>
      </w:sdtEndPr>
      <w:sdtContent>
        <w:p>
          <w:pPr>
            <w:tabs>
              <w:tab w:val="left" w:pos="10080"/>
            </w:tabs>
            <w:snapToGrid w:val="0"/>
            <w:spacing w:line="240" w:lineRule="atLeast"/>
            <w:ind w:right="25" w:rightChars="12"/>
            <w:jc w:val="center"/>
            <w:rPr>
              <w:b/>
              <w:szCs w:val="21"/>
            </w:rPr>
          </w:pPr>
          <w:bookmarkStart w:id="188" w:name="_Hlk533930052"/>
        </w:p>
        <w:sdt>
          <w:sdtPr>
            <w:rPr>
              <w:b/>
              <w:szCs w:val="21"/>
            </w:rPr>
            <w:tag w:val="_GBC_3eeab460b9b64d53b91f5e0ddcd3030f"/>
            <w:id w:val="6465"/>
            <w:placeholder>
              <w:docPart w:val="GBC22222222222222222222222222222"/>
            </w:placeholder>
          </w:sdtPr>
          <w:sdtEndPr>
            <w:rPr>
              <w:rFonts w:hint="eastAsia"/>
              <w:b w:val="0"/>
              <w:szCs w:val="21"/>
            </w:rPr>
          </w:sdtEndPr>
          <w:sdtContent>
            <w:p>
              <w:pPr>
                <w:tabs>
                  <w:tab w:val="left" w:pos="10080"/>
                </w:tabs>
                <w:snapToGrid w:val="0"/>
                <w:spacing w:line="240" w:lineRule="atLeast"/>
                <w:ind w:right="25" w:rightChars="12"/>
                <w:jc w:val="center"/>
                <w:outlineLvl w:val="2"/>
                <w:rPr>
                  <w:b/>
                  <w:szCs w:val="21"/>
                </w:rPr>
              </w:pPr>
              <w:r>
                <w:rPr>
                  <w:b/>
                  <w:szCs w:val="21"/>
                </w:rPr>
                <w:t>合并</w:t>
              </w:r>
              <w:r>
                <w:rPr>
                  <w:rFonts w:hint="eastAsia"/>
                  <w:b/>
                  <w:szCs w:val="21"/>
                </w:rPr>
                <w:t>所有者权益变动表</w:t>
              </w:r>
            </w:p>
            <w:p>
              <w:pPr>
                <w:tabs>
                  <w:tab w:val="left" w:pos="10080"/>
                </w:tabs>
                <w:snapToGrid w:val="0"/>
                <w:spacing w:line="240" w:lineRule="atLeast"/>
                <w:ind w:right="25" w:rightChars="12"/>
                <w:jc w:val="center"/>
                <w:rPr>
                  <w:szCs w:val="21"/>
                </w:rPr>
              </w:pPr>
              <w:r>
                <w:rPr>
                  <w:szCs w:val="21"/>
                </w:rPr>
                <w:t>2025年</w:t>
              </w:r>
              <w:r>
                <w:rPr>
                  <w:rFonts w:hint="eastAsia"/>
                  <w:szCs w:val="21"/>
                </w:rPr>
                <w:t>1—12月</w:t>
              </w:r>
            </w:p>
            <w:p>
              <w:pPr>
                <w:tabs>
                  <w:tab w:val="left" w:pos="10080"/>
                </w:tabs>
                <w:snapToGrid w:val="0"/>
                <w:spacing w:line="240" w:lineRule="atLeast"/>
                <w:jc w:val="right"/>
                <w:rPr>
                  <w:szCs w:val="21"/>
                </w:rPr>
              </w:pPr>
              <w:r>
                <w:rPr>
                  <w:szCs w:val="21"/>
                </w:rPr>
                <w:t>单位</w:t>
              </w:r>
              <w:r>
                <w:rPr>
                  <w:rFonts w:hint="eastAsia"/>
                  <w:szCs w:val="21"/>
                </w:rPr>
                <w:t>：</w:t>
              </w:r>
              <w:sdt>
                <w:sdtPr>
                  <w:rPr>
                    <w:szCs w:val="21"/>
                  </w:rPr>
                  <w:alias w:val="单位：合并股东权益调节表"/>
                  <w:tag w:val="_GBC_57faea4e453e49ad93821b7dd6ce8bc4"/>
                  <w:id w:val="646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szCs w:val="21"/>
                  </w:rPr>
                </w:sdtEndPr>
                <w:sdtContent>
                  <w:r>
                    <w:rPr>
                      <w:szCs w:val="21"/>
                    </w:rPr>
                    <w:t>元</w:t>
                  </w:r>
                </w:sdtContent>
              </w:sdt>
              <w:r>
                <w:rPr>
                  <w:szCs w:val="21"/>
                </w:rPr>
                <w:t xml:space="preserve">  币种</w:t>
              </w:r>
              <w:r>
                <w:rPr>
                  <w:rFonts w:hint="eastAsia"/>
                  <w:szCs w:val="21"/>
                </w:rPr>
                <w:t>：</w:t>
              </w:r>
              <w:sdt>
                <w:sdtPr>
                  <w:rPr>
                    <w:szCs w:val="21"/>
                  </w:rPr>
                  <w:alias w:val="币种：合并股东权益调节表"/>
                  <w:tag w:val="_GBC_cef77704267643d794145c73763360e5"/>
                  <w:id w:val="64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szCs w:val="21"/>
                  </w:rPr>
                </w:sdtEndPr>
                <w:sdtContent>
                  <w:r>
                    <w:rPr>
                      <w:szCs w:val="21"/>
                    </w:rPr>
                    <w:t>人民币</w:t>
                  </w:r>
                </w:sdtContent>
              </w:sdt>
            </w:p>
            <w:tbl>
              <w:tblPr>
                <w:tblStyle w:val="38"/>
                <w:tblW w:w="145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9"/>
                <w:gridCol w:w="1356"/>
                <w:gridCol w:w="248"/>
                <w:gridCol w:w="240"/>
                <w:gridCol w:w="240"/>
                <w:gridCol w:w="1484"/>
                <w:gridCol w:w="240"/>
                <w:gridCol w:w="1276"/>
                <w:gridCol w:w="240"/>
                <w:gridCol w:w="1395"/>
                <w:gridCol w:w="240"/>
                <w:gridCol w:w="1366"/>
                <w:gridCol w:w="249"/>
                <w:gridCol w:w="1519"/>
                <w:gridCol w:w="1254"/>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59" w:type="dxa"/>
                    <w:vMerge w:val="restart"/>
                    <w:vAlign w:val="center"/>
                  </w:tcPr>
                  <w:sdt>
                    <w:sdtPr>
                      <w:tag w:val="_PLD_245a9e71ca1b403fad3a821efeb272de"/>
                      <w:id w:val="6468"/>
                    </w:sdtPr>
                    <w:sdtContent>
                      <w:p>
                        <w:pPr>
                          <w:snapToGrid w:val="0"/>
                          <w:spacing w:line="240" w:lineRule="atLeast"/>
                          <w:jc w:val="center"/>
                          <w:rPr>
                            <w:sz w:val="18"/>
                            <w:szCs w:val="18"/>
                          </w:rPr>
                        </w:pPr>
                        <w:r>
                          <w:rPr>
                            <w:rFonts w:hint="eastAsia"/>
                            <w:sz w:val="18"/>
                            <w:szCs w:val="18"/>
                          </w:rPr>
                          <w:t>项目</w:t>
                        </w:r>
                      </w:p>
                    </w:sdtContent>
                  </w:sdt>
                </w:tc>
                <w:tc>
                  <w:tcPr>
                    <w:tcW w:w="12940" w:type="dxa"/>
                    <w:gridSpan w:val="15"/>
                    <w:vAlign w:val="center"/>
                  </w:tcPr>
                  <w:p>
                    <w:pPr>
                      <w:snapToGrid w:val="0"/>
                      <w:spacing w:line="240" w:lineRule="atLeast"/>
                      <w:ind w:right="-1594" w:rightChars="-759"/>
                      <w:jc w:val="center"/>
                    </w:pPr>
                    <w:r>
                      <w:rPr>
                        <w:rFonts w:hint="eastAsia"/>
                      </w:rPr>
                      <w:t xml:space="preserve"> </w:t>
                    </w:r>
                    <w:sdt>
                      <w:sdtPr>
                        <w:tag w:val="_PLD_74b2c30f72fb403387c8b0e2a353f994"/>
                        <w:id w:val="6469"/>
                      </w:sdtPr>
                      <w:sdtContent>
                        <w:r>
                          <w:rPr>
                            <w:rFonts w:hint="eastAsia"/>
                            <w:sz w:val="18"/>
                          </w:rPr>
                          <w:t>2025年度</w:t>
                        </w:r>
                      </w:sdtContent>
                    </w:sdt>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1659" w:type="dxa"/>
                    <w:vMerge w:val="continue"/>
                    <w:vAlign w:val="center"/>
                  </w:tcPr>
                  <w:p>
                    <w:pPr>
                      <w:snapToGrid w:val="0"/>
                      <w:spacing w:line="240" w:lineRule="atLeast"/>
                      <w:ind w:right="-1594" w:rightChars="-759"/>
                      <w:rPr>
                        <w:sz w:val="18"/>
                        <w:szCs w:val="18"/>
                      </w:rPr>
                    </w:pPr>
                  </w:p>
                </w:tc>
                <w:tc>
                  <w:tcPr>
                    <w:tcW w:w="10093" w:type="dxa"/>
                    <w:gridSpan w:val="13"/>
                    <w:vAlign w:val="center"/>
                  </w:tcPr>
                  <w:sdt>
                    <w:sdtPr>
                      <w:tag w:val="_PLD_48b1c4daa55343f0a820ecc94c441958"/>
                      <w:id w:val="6470"/>
                    </w:sdtPr>
                    <w:sdtContent>
                      <w:p>
                        <w:pPr>
                          <w:jc w:val="center"/>
                        </w:pPr>
                        <w:r>
                          <w:rPr>
                            <w:sz w:val="18"/>
                            <w:szCs w:val="18"/>
                          </w:rPr>
                          <w:t>归属于母公司所有者权益</w:t>
                        </w:r>
                      </w:p>
                    </w:sdtContent>
                  </w:sdt>
                </w:tc>
                <w:tc>
                  <w:tcPr>
                    <w:tcW w:w="1254" w:type="dxa"/>
                    <w:vMerge w:val="restart"/>
                    <w:vAlign w:val="center"/>
                  </w:tcPr>
                  <w:sdt>
                    <w:sdtPr>
                      <w:tag w:val="_PLD_de4010a56d78401ebd4bb48e62167082"/>
                      <w:id w:val="6471"/>
                    </w:sdtPr>
                    <w:sdtContent>
                      <w:p>
                        <w:pPr>
                          <w:jc w:val="center"/>
                          <w:rPr>
                            <w:sz w:val="18"/>
                            <w:szCs w:val="18"/>
                          </w:rPr>
                        </w:pPr>
                        <w:r>
                          <w:rPr>
                            <w:sz w:val="18"/>
                            <w:szCs w:val="18"/>
                          </w:rPr>
                          <w:t>少数股东权益</w:t>
                        </w:r>
                      </w:p>
                    </w:sdtContent>
                  </w:sdt>
                </w:tc>
                <w:tc>
                  <w:tcPr>
                    <w:tcW w:w="1593" w:type="dxa"/>
                    <w:vMerge w:val="restart"/>
                    <w:vAlign w:val="center"/>
                  </w:tcPr>
                  <w:sdt>
                    <w:sdtPr>
                      <w:tag w:val="_PLD_ff9bc6143ed9429e80e1ed144f5ff16d"/>
                      <w:id w:val="6472"/>
                    </w:sdtPr>
                    <w:sdtContent>
                      <w:p>
                        <w:pPr>
                          <w:jc w:val="center"/>
                          <w:rPr>
                            <w:sz w:val="18"/>
                            <w:szCs w:val="18"/>
                          </w:rPr>
                        </w:pPr>
                        <w:r>
                          <w:rPr>
                            <w:sz w:val="18"/>
                            <w:szCs w:val="18"/>
                          </w:rPr>
                          <w:t>所有者权益合计</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trPr>
                <w:tc>
                  <w:tcPr>
                    <w:tcW w:w="1659" w:type="dxa"/>
                    <w:vMerge w:val="continue"/>
                    <w:vAlign w:val="center"/>
                  </w:tcPr>
                  <w:p>
                    <w:pPr>
                      <w:snapToGrid w:val="0"/>
                      <w:spacing w:line="240" w:lineRule="atLeast"/>
                      <w:ind w:right="-1594" w:rightChars="-759"/>
                      <w:rPr>
                        <w:sz w:val="18"/>
                        <w:szCs w:val="18"/>
                      </w:rPr>
                    </w:pPr>
                  </w:p>
                </w:tc>
                <w:tc>
                  <w:tcPr>
                    <w:tcW w:w="1356" w:type="dxa"/>
                    <w:vMerge w:val="restart"/>
                    <w:vAlign w:val="center"/>
                  </w:tcPr>
                  <w:sdt>
                    <w:sdtPr>
                      <w:tag w:val="_PLD_2a43f0f223d141f0855f6cbb9e60b12f"/>
                      <w:id w:val="6473"/>
                    </w:sdtPr>
                    <w:sdtContent>
                      <w:p>
                        <w:pPr>
                          <w:snapToGrid w:val="0"/>
                          <w:spacing w:line="240" w:lineRule="atLeast"/>
                          <w:jc w:val="center"/>
                          <w:rPr>
                            <w:sz w:val="18"/>
                            <w:szCs w:val="18"/>
                          </w:rPr>
                        </w:pPr>
                        <w:r>
                          <w:rPr>
                            <w:rFonts w:hint="eastAsia"/>
                            <w:sz w:val="18"/>
                            <w:szCs w:val="18"/>
                          </w:rPr>
                          <w:t>实收资本(或股本)</w:t>
                        </w:r>
                      </w:p>
                    </w:sdtContent>
                  </w:sdt>
                </w:tc>
                <w:tc>
                  <w:tcPr>
                    <w:tcW w:w="728" w:type="dxa"/>
                    <w:gridSpan w:val="3"/>
                    <w:vAlign w:val="center"/>
                  </w:tcPr>
                  <w:sdt>
                    <w:sdtPr>
                      <w:tag w:val="_PLD_39cb94703877409e9e50d4bf964d43e4"/>
                      <w:id w:val="6474"/>
                    </w:sdtPr>
                    <w:sdtContent>
                      <w:p>
                        <w:pPr>
                          <w:snapToGrid w:val="0"/>
                          <w:spacing w:line="240" w:lineRule="atLeast"/>
                          <w:jc w:val="center"/>
                          <w:rPr>
                            <w:sz w:val="18"/>
                            <w:szCs w:val="18"/>
                          </w:rPr>
                        </w:pPr>
                        <w:r>
                          <w:rPr>
                            <w:rFonts w:hint="eastAsia"/>
                            <w:sz w:val="18"/>
                            <w:szCs w:val="18"/>
                          </w:rPr>
                          <w:t>其他权益工具</w:t>
                        </w:r>
                      </w:p>
                    </w:sdtContent>
                  </w:sdt>
                </w:tc>
                <w:tc>
                  <w:tcPr>
                    <w:tcW w:w="1484" w:type="dxa"/>
                    <w:vMerge w:val="restart"/>
                    <w:vAlign w:val="center"/>
                  </w:tcPr>
                  <w:sdt>
                    <w:sdtPr>
                      <w:tag w:val="_PLD_0a2a84969d8f4cc5ab2f59451a4cf45c"/>
                      <w:id w:val="6475"/>
                    </w:sdtPr>
                    <w:sdtContent>
                      <w:p>
                        <w:pPr>
                          <w:snapToGrid w:val="0"/>
                          <w:spacing w:line="240" w:lineRule="atLeast"/>
                          <w:jc w:val="center"/>
                          <w:rPr>
                            <w:sz w:val="18"/>
                            <w:szCs w:val="18"/>
                          </w:rPr>
                        </w:pPr>
                        <w:r>
                          <w:rPr>
                            <w:rFonts w:hint="eastAsia"/>
                            <w:sz w:val="18"/>
                            <w:szCs w:val="18"/>
                          </w:rPr>
                          <w:t>资本公积</w:t>
                        </w:r>
                      </w:p>
                    </w:sdtContent>
                  </w:sdt>
                </w:tc>
                <w:tc>
                  <w:tcPr>
                    <w:tcW w:w="240" w:type="dxa"/>
                    <w:vMerge w:val="restart"/>
                    <w:vAlign w:val="center"/>
                  </w:tcPr>
                  <w:sdt>
                    <w:sdtPr>
                      <w:tag w:val="_PLD_3eb4af6d758d4787987e21e90e79351d"/>
                      <w:id w:val="6476"/>
                    </w:sdtPr>
                    <w:sdtContent>
                      <w:p>
                        <w:pPr>
                          <w:snapToGrid w:val="0"/>
                          <w:spacing w:line="240" w:lineRule="atLeast"/>
                          <w:jc w:val="center"/>
                          <w:rPr>
                            <w:sz w:val="18"/>
                            <w:szCs w:val="18"/>
                          </w:rPr>
                        </w:pPr>
                        <w:r>
                          <w:rPr>
                            <w:rFonts w:hint="eastAsia"/>
                            <w:sz w:val="18"/>
                            <w:szCs w:val="18"/>
                          </w:rPr>
                          <w:t>减：库存股</w:t>
                        </w:r>
                      </w:p>
                    </w:sdtContent>
                  </w:sdt>
                </w:tc>
                <w:tc>
                  <w:tcPr>
                    <w:tcW w:w="1276" w:type="dxa"/>
                    <w:vMerge w:val="restart"/>
                    <w:vAlign w:val="center"/>
                  </w:tcPr>
                  <w:sdt>
                    <w:sdtPr>
                      <w:tag w:val="_PLD_63b36aa6d5e74a289a4f2e40e95da929"/>
                      <w:id w:val="6477"/>
                    </w:sdtPr>
                    <w:sdtContent>
                      <w:p>
                        <w:pPr>
                          <w:snapToGrid w:val="0"/>
                          <w:spacing w:line="240" w:lineRule="atLeast"/>
                          <w:jc w:val="center"/>
                          <w:rPr>
                            <w:sz w:val="18"/>
                            <w:szCs w:val="18"/>
                          </w:rPr>
                        </w:pPr>
                        <w:r>
                          <w:rPr>
                            <w:rFonts w:hint="eastAsia"/>
                            <w:sz w:val="18"/>
                            <w:szCs w:val="18"/>
                          </w:rPr>
                          <w:t>其他综合收益</w:t>
                        </w:r>
                      </w:p>
                    </w:sdtContent>
                  </w:sdt>
                </w:tc>
                <w:tc>
                  <w:tcPr>
                    <w:tcW w:w="240" w:type="dxa"/>
                    <w:vMerge w:val="restart"/>
                    <w:vAlign w:val="center"/>
                  </w:tcPr>
                  <w:sdt>
                    <w:sdtPr>
                      <w:tag w:val="_PLD_1560331b8c2f411cb5a844cb35b3d2b6"/>
                      <w:id w:val="6478"/>
                    </w:sdtPr>
                    <w:sdtContent>
                      <w:p>
                        <w:pPr>
                          <w:snapToGrid w:val="0"/>
                          <w:spacing w:line="240" w:lineRule="atLeast"/>
                          <w:jc w:val="center"/>
                          <w:rPr>
                            <w:sz w:val="18"/>
                            <w:szCs w:val="18"/>
                          </w:rPr>
                        </w:pPr>
                        <w:r>
                          <w:rPr>
                            <w:rFonts w:hint="eastAsia"/>
                            <w:sz w:val="18"/>
                            <w:szCs w:val="18"/>
                          </w:rPr>
                          <w:t>专项储备</w:t>
                        </w:r>
                      </w:p>
                    </w:sdtContent>
                  </w:sdt>
                </w:tc>
                <w:tc>
                  <w:tcPr>
                    <w:tcW w:w="1395" w:type="dxa"/>
                    <w:vMerge w:val="restart"/>
                    <w:vAlign w:val="center"/>
                  </w:tcPr>
                  <w:sdt>
                    <w:sdtPr>
                      <w:tag w:val="_PLD_6f43f79cacca48dca49685537156084f"/>
                      <w:id w:val="6479"/>
                    </w:sdtPr>
                    <w:sdtContent>
                      <w:p>
                        <w:pPr>
                          <w:snapToGrid w:val="0"/>
                          <w:spacing w:line="240" w:lineRule="atLeast"/>
                          <w:jc w:val="center"/>
                          <w:rPr>
                            <w:sz w:val="18"/>
                            <w:szCs w:val="18"/>
                          </w:rPr>
                        </w:pPr>
                        <w:r>
                          <w:rPr>
                            <w:rFonts w:hint="eastAsia"/>
                            <w:sz w:val="18"/>
                            <w:szCs w:val="18"/>
                          </w:rPr>
                          <w:t>盈余公积</w:t>
                        </w:r>
                      </w:p>
                    </w:sdtContent>
                  </w:sdt>
                </w:tc>
                <w:tc>
                  <w:tcPr>
                    <w:tcW w:w="240" w:type="dxa"/>
                    <w:vMerge w:val="restart"/>
                    <w:vAlign w:val="center"/>
                  </w:tcPr>
                  <w:sdt>
                    <w:sdtPr>
                      <w:tag w:val="_PLD_56a430dce9564c199812862caead59b2"/>
                      <w:id w:val="6480"/>
                    </w:sdtPr>
                    <w:sdtContent>
                      <w:p>
                        <w:pPr>
                          <w:snapToGrid w:val="0"/>
                          <w:spacing w:line="240" w:lineRule="atLeast"/>
                          <w:jc w:val="center"/>
                          <w:rPr>
                            <w:sz w:val="18"/>
                            <w:szCs w:val="18"/>
                          </w:rPr>
                        </w:pPr>
                        <w:r>
                          <w:rPr>
                            <w:rFonts w:hint="eastAsia"/>
                            <w:sz w:val="18"/>
                            <w:szCs w:val="18"/>
                          </w:rPr>
                          <w:t>一般风险准备</w:t>
                        </w:r>
                      </w:p>
                    </w:sdtContent>
                  </w:sdt>
                </w:tc>
                <w:tc>
                  <w:tcPr>
                    <w:tcW w:w="1366" w:type="dxa"/>
                    <w:vMerge w:val="restart"/>
                    <w:vAlign w:val="center"/>
                  </w:tcPr>
                  <w:sdt>
                    <w:sdtPr>
                      <w:tag w:val="_PLD_cbc8cc4f323b4146bc3e0b624cb6a030"/>
                      <w:id w:val="6481"/>
                    </w:sdtPr>
                    <w:sdtContent>
                      <w:p>
                        <w:pPr>
                          <w:snapToGrid w:val="0"/>
                          <w:spacing w:line="240" w:lineRule="atLeast"/>
                          <w:jc w:val="center"/>
                          <w:rPr>
                            <w:sz w:val="18"/>
                            <w:szCs w:val="18"/>
                          </w:rPr>
                        </w:pPr>
                        <w:r>
                          <w:rPr>
                            <w:rFonts w:hint="eastAsia"/>
                            <w:sz w:val="18"/>
                            <w:szCs w:val="18"/>
                          </w:rPr>
                          <w:t>未分配利润</w:t>
                        </w:r>
                      </w:p>
                    </w:sdtContent>
                  </w:sdt>
                </w:tc>
                <w:tc>
                  <w:tcPr>
                    <w:tcW w:w="249" w:type="dxa"/>
                    <w:vMerge w:val="restart"/>
                    <w:vAlign w:val="center"/>
                  </w:tcPr>
                  <w:sdt>
                    <w:sdtPr>
                      <w:tag w:val="_PLD_b504a77359e042b99ce9a2513e44008d"/>
                      <w:id w:val="6482"/>
                    </w:sdtPr>
                    <w:sdtContent>
                      <w:p>
                        <w:pPr>
                          <w:jc w:val="center"/>
                          <w:rPr>
                            <w:sz w:val="18"/>
                            <w:szCs w:val="18"/>
                          </w:rPr>
                        </w:pPr>
                        <w:r>
                          <w:rPr>
                            <w:rFonts w:hint="eastAsia"/>
                            <w:sz w:val="18"/>
                            <w:szCs w:val="18"/>
                          </w:rPr>
                          <w:t>其他</w:t>
                        </w:r>
                      </w:p>
                    </w:sdtContent>
                  </w:sdt>
                </w:tc>
                <w:tc>
                  <w:tcPr>
                    <w:tcW w:w="1519" w:type="dxa"/>
                    <w:vMerge w:val="restart"/>
                    <w:vAlign w:val="center"/>
                  </w:tcPr>
                  <w:sdt>
                    <w:sdtPr>
                      <w:tag w:val="_PLD_30b039ff7c714652865f3029df27082b"/>
                      <w:id w:val="6483"/>
                    </w:sdtPr>
                    <w:sdtContent>
                      <w:p>
                        <w:pPr>
                          <w:jc w:val="center"/>
                          <w:rPr>
                            <w:sz w:val="18"/>
                            <w:szCs w:val="18"/>
                          </w:rPr>
                        </w:pPr>
                        <w:r>
                          <w:rPr>
                            <w:rFonts w:hint="eastAsia"/>
                            <w:sz w:val="18"/>
                            <w:szCs w:val="18"/>
                          </w:rPr>
                          <w:t>小计</w:t>
                        </w:r>
                      </w:p>
                    </w:sdtContent>
                  </w:sdt>
                </w:tc>
                <w:tc>
                  <w:tcPr>
                    <w:tcW w:w="1254" w:type="dxa"/>
                    <w:vMerge w:val="continue"/>
                    <w:vAlign w:val="center"/>
                  </w:tcPr>
                  <w:p>
                    <w:pPr>
                      <w:jc w:val="center"/>
                      <w:rPr>
                        <w:sz w:val="18"/>
                        <w:szCs w:val="18"/>
                      </w:rPr>
                    </w:pPr>
                  </w:p>
                </w:tc>
                <w:tc>
                  <w:tcPr>
                    <w:tcW w:w="1593"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1659" w:type="dxa"/>
                    <w:vMerge w:val="continue"/>
                    <w:vAlign w:val="center"/>
                  </w:tcPr>
                  <w:p>
                    <w:pPr>
                      <w:snapToGrid w:val="0"/>
                      <w:spacing w:line="240" w:lineRule="atLeast"/>
                      <w:ind w:right="-1594" w:rightChars="-759"/>
                      <w:rPr>
                        <w:sz w:val="18"/>
                        <w:szCs w:val="18"/>
                      </w:rPr>
                    </w:pPr>
                  </w:p>
                </w:tc>
                <w:tc>
                  <w:tcPr>
                    <w:tcW w:w="1356" w:type="dxa"/>
                    <w:vMerge w:val="continue"/>
                    <w:vAlign w:val="center"/>
                  </w:tcPr>
                  <w:p>
                    <w:pPr>
                      <w:snapToGrid w:val="0"/>
                      <w:spacing w:line="240" w:lineRule="atLeast"/>
                      <w:jc w:val="center"/>
                      <w:rPr>
                        <w:sz w:val="18"/>
                        <w:szCs w:val="18"/>
                      </w:rPr>
                    </w:pPr>
                  </w:p>
                </w:tc>
                <w:tc>
                  <w:tcPr>
                    <w:tcW w:w="248" w:type="dxa"/>
                    <w:vAlign w:val="center"/>
                  </w:tcPr>
                  <w:sdt>
                    <w:sdtPr>
                      <w:tag w:val="_PLD_b607c17c743149d295a2a79708dbacd2"/>
                      <w:id w:val="6484"/>
                    </w:sdtPr>
                    <w:sdtContent>
                      <w:p>
                        <w:pPr>
                          <w:snapToGrid w:val="0"/>
                          <w:spacing w:line="240" w:lineRule="atLeast"/>
                          <w:jc w:val="center"/>
                          <w:rPr>
                            <w:sz w:val="18"/>
                            <w:szCs w:val="18"/>
                          </w:rPr>
                        </w:pPr>
                        <w:r>
                          <w:rPr>
                            <w:rFonts w:hint="eastAsia"/>
                            <w:sz w:val="18"/>
                            <w:szCs w:val="18"/>
                          </w:rPr>
                          <w:t>优先股</w:t>
                        </w:r>
                      </w:p>
                    </w:sdtContent>
                  </w:sdt>
                </w:tc>
                <w:tc>
                  <w:tcPr>
                    <w:tcW w:w="240" w:type="dxa"/>
                    <w:vAlign w:val="center"/>
                  </w:tcPr>
                  <w:sdt>
                    <w:sdtPr>
                      <w:tag w:val="_PLD_ff95d9a5f43c439aac9ba6d07675d878"/>
                      <w:id w:val="6485"/>
                    </w:sdtPr>
                    <w:sdtContent>
                      <w:p>
                        <w:pPr>
                          <w:snapToGrid w:val="0"/>
                          <w:spacing w:line="240" w:lineRule="atLeast"/>
                          <w:jc w:val="center"/>
                          <w:rPr>
                            <w:sz w:val="18"/>
                            <w:szCs w:val="18"/>
                          </w:rPr>
                        </w:pPr>
                        <w:r>
                          <w:rPr>
                            <w:rFonts w:hint="eastAsia"/>
                            <w:sz w:val="18"/>
                            <w:szCs w:val="18"/>
                          </w:rPr>
                          <w:t>永续债</w:t>
                        </w:r>
                      </w:p>
                    </w:sdtContent>
                  </w:sdt>
                </w:tc>
                <w:tc>
                  <w:tcPr>
                    <w:tcW w:w="240" w:type="dxa"/>
                    <w:vAlign w:val="center"/>
                  </w:tcPr>
                  <w:sdt>
                    <w:sdtPr>
                      <w:tag w:val="_PLD_172b1cd40c094b6fa71aba6fe6a10f81"/>
                      <w:id w:val="6486"/>
                    </w:sdtPr>
                    <w:sdtContent>
                      <w:p>
                        <w:pPr>
                          <w:snapToGrid w:val="0"/>
                          <w:spacing w:line="240" w:lineRule="atLeast"/>
                          <w:jc w:val="center"/>
                          <w:rPr>
                            <w:sz w:val="18"/>
                            <w:szCs w:val="18"/>
                          </w:rPr>
                        </w:pPr>
                        <w:r>
                          <w:rPr>
                            <w:rFonts w:hint="eastAsia"/>
                            <w:sz w:val="18"/>
                            <w:szCs w:val="18"/>
                          </w:rPr>
                          <w:t>其他</w:t>
                        </w:r>
                      </w:p>
                    </w:sdtContent>
                  </w:sdt>
                </w:tc>
                <w:tc>
                  <w:tcPr>
                    <w:tcW w:w="1484" w:type="dxa"/>
                    <w:vMerge w:val="continue"/>
                    <w:vAlign w:val="center"/>
                  </w:tcPr>
                  <w:p>
                    <w:pPr>
                      <w:snapToGrid w:val="0"/>
                      <w:spacing w:line="240" w:lineRule="atLeast"/>
                      <w:jc w:val="center"/>
                      <w:rPr>
                        <w:sz w:val="18"/>
                        <w:szCs w:val="18"/>
                      </w:rPr>
                    </w:pPr>
                  </w:p>
                </w:tc>
                <w:tc>
                  <w:tcPr>
                    <w:tcW w:w="240" w:type="dxa"/>
                    <w:vMerge w:val="continue"/>
                    <w:vAlign w:val="center"/>
                  </w:tcPr>
                  <w:p>
                    <w:pPr>
                      <w:snapToGrid w:val="0"/>
                      <w:spacing w:line="240" w:lineRule="atLeast"/>
                      <w:jc w:val="center"/>
                      <w:rPr>
                        <w:sz w:val="18"/>
                        <w:szCs w:val="18"/>
                      </w:rPr>
                    </w:pPr>
                  </w:p>
                </w:tc>
                <w:tc>
                  <w:tcPr>
                    <w:tcW w:w="1276" w:type="dxa"/>
                    <w:vMerge w:val="continue"/>
                    <w:vAlign w:val="center"/>
                  </w:tcPr>
                  <w:p>
                    <w:pPr>
                      <w:snapToGrid w:val="0"/>
                      <w:spacing w:line="240" w:lineRule="atLeast"/>
                      <w:jc w:val="center"/>
                      <w:rPr>
                        <w:sz w:val="18"/>
                        <w:szCs w:val="18"/>
                      </w:rPr>
                    </w:pPr>
                  </w:p>
                </w:tc>
                <w:tc>
                  <w:tcPr>
                    <w:tcW w:w="240" w:type="dxa"/>
                    <w:vMerge w:val="continue"/>
                    <w:vAlign w:val="center"/>
                  </w:tcPr>
                  <w:p>
                    <w:pPr>
                      <w:snapToGrid w:val="0"/>
                      <w:spacing w:line="240" w:lineRule="atLeast"/>
                      <w:jc w:val="center"/>
                      <w:rPr>
                        <w:sz w:val="18"/>
                        <w:szCs w:val="18"/>
                      </w:rPr>
                    </w:pPr>
                  </w:p>
                </w:tc>
                <w:tc>
                  <w:tcPr>
                    <w:tcW w:w="1395" w:type="dxa"/>
                    <w:vMerge w:val="continue"/>
                    <w:vAlign w:val="center"/>
                  </w:tcPr>
                  <w:p>
                    <w:pPr>
                      <w:snapToGrid w:val="0"/>
                      <w:spacing w:line="240" w:lineRule="atLeast"/>
                      <w:jc w:val="center"/>
                      <w:rPr>
                        <w:sz w:val="18"/>
                        <w:szCs w:val="18"/>
                      </w:rPr>
                    </w:pPr>
                  </w:p>
                </w:tc>
                <w:tc>
                  <w:tcPr>
                    <w:tcW w:w="240" w:type="dxa"/>
                    <w:vMerge w:val="continue"/>
                    <w:vAlign w:val="center"/>
                  </w:tcPr>
                  <w:p>
                    <w:pPr>
                      <w:snapToGrid w:val="0"/>
                      <w:spacing w:line="240" w:lineRule="atLeast"/>
                      <w:jc w:val="center"/>
                      <w:rPr>
                        <w:sz w:val="18"/>
                        <w:szCs w:val="18"/>
                      </w:rPr>
                    </w:pPr>
                  </w:p>
                </w:tc>
                <w:tc>
                  <w:tcPr>
                    <w:tcW w:w="1366" w:type="dxa"/>
                    <w:vMerge w:val="continue"/>
                    <w:vAlign w:val="center"/>
                  </w:tcPr>
                  <w:p>
                    <w:pPr>
                      <w:snapToGrid w:val="0"/>
                      <w:spacing w:line="240" w:lineRule="atLeast"/>
                      <w:jc w:val="center"/>
                      <w:rPr>
                        <w:sz w:val="18"/>
                        <w:szCs w:val="18"/>
                      </w:rPr>
                    </w:pPr>
                  </w:p>
                </w:tc>
                <w:tc>
                  <w:tcPr>
                    <w:tcW w:w="249" w:type="dxa"/>
                    <w:vMerge w:val="continue"/>
                    <w:vAlign w:val="center"/>
                  </w:tcPr>
                  <w:p>
                    <w:pPr>
                      <w:jc w:val="center"/>
                      <w:rPr>
                        <w:sz w:val="18"/>
                        <w:szCs w:val="18"/>
                      </w:rPr>
                    </w:pPr>
                  </w:p>
                </w:tc>
                <w:tc>
                  <w:tcPr>
                    <w:tcW w:w="1519" w:type="dxa"/>
                    <w:vMerge w:val="continue"/>
                    <w:vAlign w:val="center"/>
                  </w:tcPr>
                  <w:p>
                    <w:pPr>
                      <w:jc w:val="center"/>
                      <w:rPr>
                        <w:sz w:val="18"/>
                        <w:szCs w:val="18"/>
                      </w:rPr>
                    </w:pPr>
                  </w:p>
                </w:tc>
                <w:tc>
                  <w:tcPr>
                    <w:tcW w:w="1254" w:type="dxa"/>
                    <w:vMerge w:val="continue"/>
                    <w:vAlign w:val="center"/>
                  </w:tcPr>
                  <w:p>
                    <w:pPr>
                      <w:jc w:val="center"/>
                      <w:rPr>
                        <w:sz w:val="18"/>
                        <w:szCs w:val="18"/>
                      </w:rPr>
                    </w:pPr>
                  </w:p>
                </w:tc>
                <w:tc>
                  <w:tcPr>
                    <w:tcW w:w="1593" w:type="dxa"/>
                    <w:vMerge w:val="continue"/>
                    <w:tcBorders>
                      <w:bottom w:val="nil"/>
                    </w:tcBorders>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659" w:type="dxa"/>
                    <w:vAlign w:val="center"/>
                  </w:tcPr>
                  <w:p>
                    <w:pPr>
                      <w:rPr>
                        <w:sz w:val="18"/>
                        <w:szCs w:val="18"/>
                      </w:rPr>
                    </w:pPr>
                    <w:r>
                      <w:rPr>
                        <w:sz w:val="18"/>
                        <w:szCs w:val="18"/>
                      </w:rPr>
                      <w:t>一、上年</w:t>
                    </w:r>
                    <w:r>
                      <w:rPr>
                        <w:rFonts w:hint="eastAsia"/>
                        <w:sz w:val="18"/>
                        <w:szCs w:val="18"/>
                      </w:rPr>
                      <w:t>年</w:t>
                    </w:r>
                    <w:r>
                      <w:rPr>
                        <w:sz w:val="18"/>
                        <w:szCs w:val="18"/>
                      </w:rPr>
                      <w:t>末余额</w:t>
                    </w:r>
                  </w:p>
                </w:tc>
                <w:tc>
                  <w:tcPr>
                    <w:tcW w:w="1356" w:type="dxa"/>
                    <w:vAlign w:val="center"/>
                  </w:tcPr>
                  <w:p>
                    <w:pPr>
                      <w:jc w:val="right"/>
                      <w:rPr>
                        <w:sz w:val="18"/>
                        <w:szCs w:val="18"/>
                      </w:rPr>
                    </w:pPr>
                    <w:r>
                      <w:rPr>
                        <w:rFonts w:hint="eastAsia"/>
                        <w:color w:val="auto"/>
                        <w:sz w:val="18"/>
                        <w:szCs w:val="18"/>
                      </w:rPr>
                      <w:t>550,000,000.00</w:t>
                    </w: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r>
                      <w:rPr>
                        <w:rFonts w:hint="eastAsia"/>
                        <w:color w:val="auto"/>
                        <w:sz w:val="18"/>
                        <w:szCs w:val="18"/>
                      </w:rPr>
                      <w:t>1,184,901,870.95</w:t>
                    </w:r>
                  </w:p>
                </w:tc>
                <w:tc>
                  <w:tcPr>
                    <w:tcW w:w="240" w:type="dxa"/>
                    <w:vAlign w:val="center"/>
                  </w:tcPr>
                  <w:p>
                    <w:pPr>
                      <w:jc w:val="right"/>
                      <w:rPr>
                        <w:sz w:val="18"/>
                        <w:szCs w:val="18"/>
                      </w:rPr>
                    </w:pPr>
                  </w:p>
                </w:tc>
                <w:tc>
                  <w:tcPr>
                    <w:tcW w:w="1276" w:type="dxa"/>
                    <w:vAlign w:val="center"/>
                  </w:tcPr>
                  <w:p>
                    <w:pPr>
                      <w:jc w:val="right"/>
                      <w:rPr>
                        <w:sz w:val="18"/>
                        <w:szCs w:val="18"/>
                      </w:rPr>
                    </w:pPr>
                    <w:r>
                      <w:rPr>
                        <w:rFonts w:hint="eastAsia"/>
                        <w:color w:val="auto"/>
                        <w:sz w:val="18"/>
                        <w:szCs w:val="18"/>
                      </w:rPr>
                      <w:t>-8,825,807.26</w:t>
                    </w:r>
                  </w:p>
                </w:tc>
                <w:tc>
                  <w:tcPr>
                    <w:tcW w:w="240" w:type="dxa"/>
                    <w:vAlign w:val="center"/>
                  </w:tcPr>
                  <w:p>
                    <w:pPr>
                      <w:jc w:val="right"/>
                      <w:rPr>
                        <w:sz w:val="18"/>
                        <w:szCs w:val="18"/>
                      </w:rPr>
                    </w:pPr>
                  </w:p>
                </w:tc>
                <w:tc>
                  <w:tcPr>
                    <w:tcW w:w="1395" w:type="dxa"/>
                    <w:vAlign w:val="center"/>
                  </w:tcPr>
                  <w:p>
                    <w:pPr>
                      <w:jc w:val="right"/>
                      <w:rPr>
                        <w:sz w:val="18"/>
                        <w:szCs w:val="18"/>
                      </w:rPr>
                    </w:pPr>
                    <w:r>
                      <w:rPr>
                        <w:rFonts w:hint="eastAsia"/>
                        <w:color w:val="auto"/>
                        <w:sz w:val="18"/>
                        <w:szCs w:val="18"/>
                      </w:rPr>
                      <w:t>252,166,141.87</w:t>
                    </w:r>
                  </w:p>
                </w:tc>
                <w:tc>
                  <w:tcPr>
                    <w:tcW w:w="240" w:type="dxa"/>
                    <w:vAlign w:val="center"/>
                  </w:tcPr>
                  <w:p>
                    <w:pPr>
                      <w:jc w:val="right"/>
                      <w:rPr>
                        <w:sz w:val="18"/>
                        <w:szCs w:val="18"/>
                      </w:rPr>
                    </w:pPr>
                  </w:p>
                </w:tc>
                <w:tc>
                  <w:tcPr>
                    <w:tcW w:w="1366" w:type="dxa"/>
                    <w:vAlign w:val="center"/>
                  </w:tcPr>
                  <w:p>
                    <w:pPr>
                      <w:jc w:val="right"/>
                      <w:rPr>
                        <w:sz w:val="18"/>
                        <w:szCs w:val="18"/>
                      </w:rPr>
                    </w:pPr>
                    <w:r>
                      <w:rPr>
                        <w:rFonts w:hint="eastAsia"/>
                        <w:color w:val="auto"/>
                        <w:sz w:val="18"/>
                        <w:szCs w:val="18"/>
                      </w:rPr>
                      <w:t>206,206,942.51</w:t>
                    </w:r>
                  </w:p>
                </w:tc>
                <w:tc>
                  <w:tcPr>
                    <w:tcW w:w="249" w:type="dxa"/>
                    <w:vAlign w:val="center"/>
                  </w:tcPr>
                  <w:p>
                    <w:pPr>
                      <w:jc w:val="right"/>
                      <w:rPr>
                        <w:sz w:val="18"/>
                        <w:szCs w:val="18"/>
                      </w:rPr>
                    </w:pPr>
                  </w:p>
                </w:tc>
                <w:tc>
                  <w:tcPr>
                    <w:tcW w:w="1519" w:type="dxa"/>
                    <w:vAlign w:val="center"/>
                  </w:tcPr>
                  <w:p>
                    <w:pPr>
                      <w:jc w:val="right"/>
                      <w:rPr>
                        <w:sz w:val="18"/>
                        <w:szCs w:val="18"/>
                      </w:rPr>
                    </w:pPr>
                    <w:r>
                      <w:rPr>
                        <w:rFonts w:hint="eastAsia"/>
                        <w:color w:val="auto"/>
                        <w:sz w:val="18"/>
                        <w:szCs w:val="18"/>
                      </w:rPr>
                      <w:t>2,184,449,148.07</w:t>
                    </w:r>
                  </w:p>
                </w:tc>
                <w:tc>
                  <w:tcPr>
                    <w:tcW w:w="1254" w:type="dxa"/>
                    <w:vAlign w:val="center"/>
                  </w:tcPr>
                  <w:p>
                    <w:pPr>
                      <w:jc w:val="right"/>
                      <w:rPr>
                        <w:sz w:val="18"/>
                        <w:szCs w:val="18"/>
                      </w:rPr>
                    </w:pPr>
                    <w:r>
                      <w:rPr>
                        <w:rFonts w:hint="eastAsia"/>
                        <w:color w:val="auto"/>
                        <w:sz w:val="18"/>
                        <w:szCs w:val="18"/>
                      </w:rPr>
                      <w:t>-2,180,984.80</w:t>
                    </w:r>
                  </w:p>
                </w:tc>
                <w:tc>
                  <w:tcPr>
                    <w:tcW w:w="1593" w:type="dxa"/>
                    <w:vAlign w:val="center"/>
                  </w:tcPr>
                  <w:p>
                    <w:pPr>
                      <w:jc w:val="right"/>
                      <w:rPr>
                        <w:sz w:val="18"/>
                        <w:szCs w:val="18"/>
                      </w:rPr>
                    </w:pPr>
                    <w:r>
                      <w:rPr>
                        <w:rFonts w:hint="eastAsia"/>
                        <w:color w:val="auto"/>
                        <w:sz w:val="18"/>
                        <w:szCs w:val="18"/>
                      </w:rPr>
                      <w:t>2,182,268,163.27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rFonts w:hint="eastAsia"/>
                        <w:sz w:val="18"/>
                        <w:szCs w:val="18"/>
                      </w:rPr>
                      <w:t>加：</w:t>
                    </w:r>
                    <w:r>
                      <w:rPr>
                        <w:sz w:val="18"/>
                        <w:szCs w:val="18"/>
                      </w:rPr>
                      <w:t>会计政策变更</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ind w:firstLine="360" w:firstLineChars="200"/>
                      <w:rPr>
                        <w:sz w:val="18"/>
                        <w:szCs w:val="18"/>
                      </w:rPr>
                    </w:pPr>
                    <w:r>
                      <w:rPr>
                        <w:sz w:val="18"/>
                        <w:szCs w:val="18"/>
                      </w:rPr>
                      <w:t>前期差错更正</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ind w:firstLine="360" w:firstLineChars="200"/>
                      <w:rPr>
                        <w:sz w:val="18"/>
                        <w:szCs w:val="18"/>
                      </w:rPr>
                    </w:pPr>
                    <w:r>
                      <w:rPr>
                        <w:rFonts w:hint="eastAsia"/>
                        <w:sz w:val="18"/>
                        <w:szCs w:val="18"/>
                      </w:rPr>
                      <w:t>其他</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sz w:val="18"/>
                        <w:szCs w:val="18"/>
                      </w:rPr>
                      <w:t>二、本年</w:t>
                    </w:r>
                    <w:r>
                      <w:rPr>
                        <w:rFonts w:hint="eastAsia"/>
                        <w:sz w:val="18"/>
                        <w:szCs w:val="18"/>
                      </w:rPr>
                      <w:t>期</w:t>
                    </w:r>
                    <w:r>
                      <w:rPr>
                        <w:sz w:val="18"/>
                        <w:szCs w:val="18"/>
                      </w:rPr>
                      <w:t>初余额</w:t>
                    </w:r>
                  </w:p>
                </w:tc>
                <w:tc>
                  <w:tcPr>
                    <w:tcW w:w="1356" w:type="dxa"/>
                    <w:vAlign w:val="center"/>
                  </w:tcPr>
                  <w:p>
                    <w:pPr>
                      <w:jc w:val="right"/>
                      <w:rPr>
                        <w:sz w:val="18"/>
                        <w:szCs w:val="18"/>
                      </w:rPr>
                    </w:pPr>
                    <w:r>
                      <w:rPr>
                        <w:rFonts w:hint="eastAsia"/>
                        <w:color w:val="auto"/>
                        <w:sz w:val="18"/>
                        <w:szCs w:val="18"/>
                      </w:rPr>
                      <w:t>550,000,000.00</w:t>
                    </w: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r>
                      <w:rPr>
                        <w:rFonts w:hint="eastAsia"/>
                        <w:color w:val="auto"/>
                        <w:sz w:val="18"/>
                        <w:szCs w:val="18"/>
                      </w:rPr>
                      <w:t>1,184,901,870.95</w:t>
                    </w:r>
                  </w:p>
                </w:tc>
                <w:tc>
                  <w:tcPr>
                    <w:tcW w:w="240" w:type="dxa"/>
                    <w:vAlign w:val="center"/>
                  </w:tcPr>
                  <w:p>
                    <w:pPr>
                      <w:jc w:val="right"/>
                      <w:rPr>
                        <w:sz w:val="18"/>
                        <w:szCs w:val="18"/>
                      </w:rPr>
                    </w:pPr>
                  </w:p>
                </w:tc>
                <w:tc>
                  <w:tcPr>
                    <w:tcW w:w="1276" w:type="dxa"/>
                    <w:vAlign w:val="center"/>
                  </w:tcPr>
                  <w:p>
                    <w:pPr>
                      <w:jc w:val="right"/>
                      <w:rPr>
                        <w:sz w:val="18"/>
                        <w:szCs w:val="18"/>
                      </w:rPr>
                    </w:pPr>
                    <w:r>
                      <w:rPr>
                        <w:rFonts w:hint="eastAsia"/>
                        <w:color w:val="auto"/>
                        <w:sz w:val="18"/>
                        <w:szCs w:val="18"/>
                      </w:rPr>
                      <w:t>-8,825,807.26</w:t>
                    </w:r>
                  </w:p>
                </w:tc>
                <w:tc>
                  <w:tcPr>
                    <w:tcW w:w="240" w:type="dxa"/>
                    <w:vAlign w:val="center"/>
                  </w:tcPr>
                  <w:p>
                    <w:pPr>
                      <w:jc w:val="right"/>
                      <w:rPr>
                        <w:sz w:val="18"/>
                        <w:szCs w:val="18"/>
                      </w:rPr>
                    </w:pPr>
                  </w:p>
                </w:tc>
                <w:tc>
                  <w:tcPr>
                    <w:tcW w:w="1395" w:type="dxa"/>
                    <w:vAlign w:val="center"/>
                  </w:tcPr>
                  <w:p>
                    <w:pPr>
                      <w:jc w:val="right"/>
                      <w:rPr>
                        <w:sz w:val="18"/>
                        <w:szCs w:val="18"/>
                      </w:rPr>
                    </w:pPr>
                    <w:r>
                      <w:rPr>
                        <w:rFonts w:hint="eastAsia"/>
                        <w:color w:val="auto"/>
                        <w:sz w:val="18"/>
                        <w:szCs w:val="18"/>
                      </w:rPr>
                      <w:t>252,166,141.87</w:t>
                    </w:r>
                  </w:p>
                </w:tc>
                <w:tc>
                  <w:tcPr>
                    <w:tcW w:w="240" w:type="dxa"/>
                    <w:vAlign w:val="center"/>
                  </w:tcPr>
                  <w:p>
                    <w:pPr>
                      <w:jc w:val="right"/>
                      <w:rPr>
                        <w:sz w:val="18"/>
                        <w:szCs w:val="18"/>
                      </w:rPr>
                    </w:pPr>
                  </w:p>
                </w:tc>
                <w:tc>
                  <w:tcPr>
                    <w:tcW w:w="1366" w:type="dxa"/>
                    <w:vAlign w:val="center"/>
                  </w:tcPr>
                  <w:p>
                    <w:pPr>
                      <w:jc w:val="right"/>
                      <w:rPr>
                        <w:sz w:val="18"/>
                        <w:szCs w:val="18"/>
                      </w:rPr>
                    </w:pPr>
                    <w:r>
                      <w:rPr>
                        <w:rFonts w:hint="eastAsia"/>
                        <w:color w:val="auto"/>
                        <w:sz w:val="18"/>
                        <w:szCs w:val="18"/>
                      </w:rPr>
                      <w:t>206,206,942.51</w:t>
                    </w:r>
                  </w:p>
                </w:tc>
                <w:tc>
                  <w:tcPr>
                    <w:tcW w:w="249" w:type="dxa"/>
                    <w:vAlign w:val="center"/>
                  </w:tcPr>
                  <w:p>
                    <w:pPr>
                      <w:jc w:val="right"/>
                      <w:rPr>
                        <w:sz w:val="18"/>
                        <w:szCs w:val="18"/>
                      </w:rPr>
                    </w:pPr>
                  </w:p>
                </w:tc>
                <w:tc>
                  <w:tcPr>
                    <w:tcW w:w="1519" w:type="dxa"/>
                    <w:vAlign w:val="center"/>
                  </w:tcPr>
                  <w:p>
                    <w:pPr>
                      <w:jc w:val="right"/>
                      <w:rPr>
                        <w:sz w:val="18"/>
                        <w:szCs w:val="18"/>
                      </w:rPr>
                    </w:pPr>
                    <w:r>
                      <w:rPr>
                        <w:rFonts w:hint="eastAsia"/>
                        <w:color w:val="auto"/>
                        <w:sz w:val="18"/>
                        <w:szCs w:val="18"/>
                      </w:rPr>
                      <w:t>2,184,449,148.07</w:t>
                    </w:r>
                  </w:p>
                </w:tc>
                <w:tc>
                  <w:tcPr>
                    <w:tcW w:w="1254" w:type="dxa"/>
                    <w:vAlign w:val="center"/>
                  </w:tcPr>
                  <w:p>
                    <w:pPr>
                      <w:jc w:val="right"/>
                      <w:rPr>
                        <w:sz w:val="18"/>
                        <w:szCs w:val="18"/>
                      </w:rPr>
                    </w:pPr>
                    <w:r>
                      <w:rPr>
                        <w:rFonts w:hint="eastAsia"/>
                        <w:color w:val="auto"/>
                        <w:sz w:val="18"/>
                        <w:szCs w:val="18"/>
                      </w:rPr>
                      <w:t>-2,180,984.80</w:t>
                    </w:r>
                  </w:p>
                </w:tc>
                <w:tc>
                  <w:tcPr>
                    <w:tcW w:w="1593" w:type="dxa"/>
                    <w:vAlign w:val="center"/>
                  </w:tcPr>
                  <w:p>
                    <w:pPr>
                      <w:jc w:val="right"/>
                      <w:rPr>
                        <w:sz w:val="18"/>
                        <w:szCs w:val="18"/>
                      </w:rPr>
                    </w:pPr>
                    <w:r>
                      <w:rPr>
                        <w:rFonts w:hint="eastAsia"/>
                        <w:color w:val="auto"/>
                        <w:sz w:val="18"/>
                        <w:szCs w:val="18"/>
                      </w:rPr>
                      <w:t>2,182,268,163.27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sz w:val="18"/>
                        <w:szCs w:val="18"/>
                      </w:rPr>
                      <w:t>三、本</w:t>
                    </w:r>
                    <w:r>
                      <w:rPr>
                        <w:rFonts w:hint="eastAsia"/>
                        <w:sz w:val="18"/>
                        <w:szCs w:val="18"/>
                      </w:rPr>
                      <w:t>期</w:t>
                    </w:r>
                    <w:r>
                      <w:rPr>
                        <w:sz w:val="18"/>
                        <w:szCs w:val="18"/>
                      </w:rPr>
                      <w:t>增减变动金额（减少以“－”号填列）</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r>
                      <w:rPr>
                        <w:rFonts w:hint="eastAsia"/>
                        <w:color w:val="auto"/>
                        <w:sz w:val="18"/>
                        <w:szCs w:val="18"/>
                      </w:rPr>
                      <w:t>-6,653,852.10</w:t>
                    </w:r>
                  </w:p>
                </w:tc>
                <w:tc>
                  <w:tcPr>
                    <w:tcW w:w="249" w:type="dxa"/>
                    <w:vAlign w:val="center"/>
                  </w:tcPr>
                  <w:p>
                    <w:pPr>
                      <w:jc w:val="right"/>
                      <w:rPr>
                        <w:sz w:val="18"/>
                        <w:szCs w:val="18"/>
                      </w:rPr>
                    </w:pPr>
                  </w:p>
                </w:tc>
                <w:tc>
                  <w:tcPr>
                    <w:tcW w:w="1519" w:type="dxa"/>
                    <w:vAlign w:val="center"/>
                  </w:tcPr>
                  <w:p>
                    <w:pPr>
                      <w:jc w:val="right"/>
                      <w:rPr>
                        <w:sz w:val="18"/>
                        <w:szCs w:val="18"/>
                      </w:rPr>
                    </w:pPr>
                    <w:r>
                      <w:rPr>
                        <w:rFonts w:hint="eastAsia"/>
                        <w:color w:val="auto"/>
                        <w:sz w:val="18"/>
                        <w:szCs w:val="18"/>
                      </w:rPr>
                      <w:t>-6,653,852.10</w:t>
                    </w:r>
                  </w:p>
                </w:tc>
                <w:tc>
                  <w:tcPr>
                    <w:tcW w:w="1254" w:type="dxa"/>
                    <w:vAlign w:val="center"/>
                  </w:tcPr>
                  <w:p>
                    <w:pPr>
                      <w:jc w:val="right"/>
                      <w:rPr>
                        <w:sz w:val="18"/>
                        <w:szCs w:val="18"/>
                      </w:rPr>
                    </w:pPr>
                    <w:r>
                      <w:rPr>
                        <w:rFonts w:hint="eastAsia"/>
                        <w:color w:val="auto"/>
                        <w:sz w:val="18"/>
                        <w:szCs w:val="18"/>
                      </w:rPr>
                      <w:t>650,943.46</w:t>
                    </w:r>
                  </w:p>
                </w:tc>
                <w:tc>
                  <w:tcPr>
                    <w:tcW w:w="1593" w:type="dxa"/>
                    <w:vAlign w:val="center"/>
                  </w:tcPr>
                  <w:p>
                    <w:pPr>
                      <w:jc w:val="right"/>
                      <w:rPr>
                        <w:sz w:val="18"/>
                        <w:szCs w:val="18"/>
                      </w:rPr>
                    </w:pPr>
                    <w:r>
                      <w:rPr>
                        <w:rFonts w:hint="eastAsia"/>
                        <w:color w:val="auto"/>
                        <w:sz w:val="18"/>
                        <w:szCs w:val="18"/>
                      </w:rPr>
                      <w:t>-6,002,908.64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rFonts w:hint="eastAsia"/>
                        <w:sz w:val="18"/>
                        <w:szCs w:val="18"/>
                      </w:rPr>
                      <w:t>（一）综合收益总额</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r>
                      <w:rPr>
                        <w:rFonts w:hint="eastAsia"/>
                        <w:color w:val="auto"/>
                        <w:sz w:val="18"/>
                        <w:szCs w:val="18"/>
                      </w:rPr>
                      <w:t>9,846,147.90</w:t>
                    </w:r>
                  </w:p>
                </w:tc>
                <w:tc>
                  <w:tcPr>
                    <w:tcW w:w="249" w:type="dxa"/>
                    <w:vAlign w:val="center"/>
                  </w:tcPr>
                  <w:p>
                    <w:pPr>
                      <w:jc w:val="right"/>
                      <w:rPr>
                        <w:sz w:val="18"/>
                        <w:szCs w:val="18"/>
                      </w:rPr>
                    </w:pPr>
                  </w:p>
                </w:tc>
                <w:tc>
                  <w:tcPr>
                    <w:tcW w:w="1519" w:type="dxa"/>
                    <w:vAlign w:val="center"/>
                  </w:tcPr>
                  <w:p>
                    <w:pPr>
                      <w:jc w:val="right"/>
                      <w:rPr>
                        <w:sz w:val="18"/>
                        <w:szCs w:val="18"/>
                      </w:rPr>
                    </w:pPr>
                    <w:r>
                      <w:rPr>
                        <w:rFonts w:hint="eastAsia"/>
                        <w:color w:val="auto"/>
                        <w:sz w:val="18"/>
                        <w:szCs w:val="18"/>
                      </w:rPr>
                      <w:t>9,846,147.90</w:t>
                    </w:r>
                  </w:p>
                </w:tc>
                <w:tc>
                  <w:tcPr>
                    <w:tcW w:w="1254" w:type="dxa"/>
                    <w:vAlign w:val="center"/>
                  </w:tcPr>
                  <w:p>
                    <w:pPr>
                      <w:jc w:val="right"/>
                      <w:rPr>
                        <w:sz w:val="18"/>
                        <w:szCs w:val="18"/>
                      </w:rPr>
                    </w:pPr>
                    <w:r>
                      <w:rPr>
                        <w:rFonts w:hint="eastAsia"/>
                        <w:color w:val="auto"/>
                        <w:sz w:val="18"/>
                        <w:szCs w:val="18"/>
                      </w:rPr>
                      <w:t>849,141.46</w:t>
                    </w:r>
                  </w:p>
                </w:tc>
                <w:tc>
                  <w:tcPr>
                    <w:tcW w:w="1593" w:type="dxa"/>
                    <w:vAlign w:val="center"/>
                  </w:tcPr>
                  <w:p>
                    <w:pPr>
                      <w:jc w:val="right"/>
                      <w:rPr>
                        <w:sz w:val="18"/>
                        <w:szCs w:val="18"/>
                      </w:rPr>
                    </w:pPr>
                    <w:r>
                      <w:rPr>
                        <w:rFonts w:hint="eastAsia"/>
                        <w:color w:val="auto"/>
                        <w:sz w:val="18"/>
                        <w:szCs w:val="18"/>
                      </w:rPr>
                      <w:t>10,695,289.36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sz w:val="18"/>
                        <w:szCs w:val="18"/>
                      </w:rPr>
                      <w:t>（</w:t>
                    </w:r>
                    <w:r>
                      <w:rPr>
                        <w:rFonts w:hint="eastAsia"/>
                        <w:sz w:val="18"/>
                        <w:szCs w:val="18"/>
                      </w:rPr>
                      <w:t>二</w:t>
                    </w:r>
                    <w:r>
                      <w:rPr>
                        <w:sz w:val="18"/>
                        <w:szCs w:val="18"/>
                      </w:rPr>
                      <w:t>）所有者投入和减少资本</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rFonts w:hint="eastAsia"/>
                        <w:sz w:val="18"/>
                        <w:szCs w:val="18"/>
                      </w:rPr>
                      <w:t>1．所有者投入的普通股</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rFonts w:hint="eastAsia"/>
                        <w:sz w:val="18"/>
                        <w:szCs w:val="18"/>
                      </w:rPr>
                      <w:t>2．其他权益工具持有者投入资本</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rFonts w:hint="eastAsia"/>
                        <w:sz w:val="18"/>
                        <w:szCs w:val="18"/>
                      </w:rPr>
                      <w:t>3</w:t>
                    </w:r>
                    <w:r>
                      <w:rPr>
                        <w:sz w:val="18"/>
                        <w:szCs w:val="18"/>
                      </w:rPr>
                      <w:t>．股份支付计入所有者权益的金额</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rFonts w:hint="eastAsia"/>
                        <w:sz w:val="18"/>
                        <w:szCs w:val="18"/>
                      </w:rPr>
                      <w:t>4</w:t>
                    </w:r>
                    <w:r>
                      <w:rPr>
                        <w:sz w:val="18"/>
                        <w:szCs w:val="18"/>
                      </w:rPr>
                      <w:t>．其他</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sz w:val="18"/>
                        <w:szCs w:val="18"/>
                      </w:rPr>
                      <w:t>（</w:t>
                    </w:r>
                    <w:r>
                      <w:rPr>
                        <w:rFonts w:hint="eastAsia"/>
                        <w:sz w:val="18"/>
                        <w:szCs w:val="18"/>
                      </w:rPr>
                      <w:t>三</w:t>
                    </w:r>
                    <w:r>
                      <w:rPr>
                        <w:sz w:val="18"/>
                        <w:szCs w:val="18"/>
                      </w:rPr>
                      <w:t>）利润分配</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r>
                      <w:rPr>
                        <w:rFonts w:hint="eastAsia"/>
                        <w:color w:val="auto"/>
                        <w:sz w:val="18"/>
                        <w:szCs w:val="18"/>
                      </w:rPr>
                      <w:t>-16,500,000.00</w:t>
                    </w:r>
                  </w:p>
                </w:tc>
                <w:tc>
                  <w:tcPr>
                    <w:tcW w:w="249" w:type="dxa"/>
                    <w:vAlign w:val="center"/>
                  </w:tcPr>
                  <w:p>
                    <w:pPr>
                      <w:jc w:val="right"/>
                      <w:rPr>
                        <w:sz w:val="18"/>
                        <w:szCs w:val="18"/>
                      </w:rPr>
                    </w:pPr>
                  </w:p>
                </w:tc>
                <w:tc>
                  <w:tcPr>
                    <w:tcW w:w="1519" w:type="dxa"/>
                    <w:vAlign w:val="center"/>
                  </w:tcPr>
                  <w:p>
                    <w:pPr>
                      <w:jc w:val="right"/>
                      <w:rPr>
                        <w:sz w:val="18"/>
                        <w:szCs w:val="18"/>
                      </w:rPr>
                    </w:pPr>
                    <w:r>
                      <w:rPr>
                        <w:rFonts w:hint="eastAsia"/>
                        <w:color w:val="auto"/>
                        <w:sz w:val="18"/>
                        <w:szCs w:val="18"/>
                      </w:rPr>
                      <w:t>-16,500,000.00</w:t>
                    </w:r>
                  </w:p>
                </w:tc>
                <w:tc>
                  <w:tcPr>
                    <w:tcW w:w="1254" w:type="dxa"/>
                    <w:vAlign w:val="center"/>
                  </w:tcPr>
                  <w:p>
                    <w:pPr>
                      <w:jc w:val="right"/>
                      <w:rPr>
                        <w:sz w:val="18"/>
                        <w:szCs w:val="18"/>
                      </w:rPr>
                    </w:pPr>
                    <w:r>
                      <w:rPr>
                        <w:rFonts w:hint="eastAsia"/>
                        <w:color w:val="auto"/>
                        <w:sz w:val="18"/>
                        <w:szCs w:val="18"/>
                      </w:rPr>
                      <w:t>-198,198.00</w:t>
                    </w:r>
                  </w:p>
                </w:tc>
                <w:tc>
                  <w:tcPr>
                    <w:tcW w:w="1593" w:type="dxa"/>
                    <w:vAlign w:val="center"/>
                  </w:tcPr>
                  <w:p>
                    <w:pPr>
                      <w:jc w:val="right"/>
                      <w:rPr>
                        <w:sz w:val="18"/>
                        <w:szCs w:val="18"/>
                      </w:rPr>
                    </w:pPr>
                    <w:r>
                      <w:rPr>
                        <w:rFonts w:hint="eastAsia"/>
                        <w:color w:val="auto"/>
                        <w:sz w:val="18"/>
                        <w:szCs w:val="18"/>
                      </w:rPr>
                      <w:t>-16,698,198.00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sz w:val="18"/>
                        <w:szCs w:val="18"/>
                      </w:rPr>
                      <w:t>1．提取盈余公积</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sz w:val="18"/>
                        <w:szCs w:val="18"/>
                      </w:rPr>
                      <w:t>2．提取一般风险准备</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sz w:val="18"/>
                        <w:szCs w:val="18"/>
                      </w:rPr>
                      <w:t>3．对所有者（或股东）的分配</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r>
                      <w:rPr>
                        <w:rFonts w:hint="eastAsia"/>
                        <w:color w:val="auto"/>
                        <w:sz w:val="18"/>
                        <w:szCs w:val="18"/>
                      </w:rPr>
                      <w:t>-16,500,000.00</w:t>
                    </w:r>
                  </w:p>
                </w:tc>
                <w:tc>
                  <w:tcPr>
                    <w:tcW w:w="249" w:type="dxa"/>
                    <w:vAlign w:val="center"/>
                  </w:tcPr>
                  <w:p>
                    <w:pPr>
                      <w:jc w:val="right"/>
                      <w:rPr>
                        <w:sz w:val="18"/>
                        <w:szCs w:val="18"/>
                      </w:rPr>
                    </w:pPr>
                  </w:p>
                </w:tc>
                <w:tc>
                  <w:tcPr>
                    <w:tcW w:w="1519" w:type="dxa"/>
                    <w:vAlign w:val="center"/>
                  </w:tcPr>
                  <w:p>
                    <w:pPr>
                      <w:jc w:val="right"/>
                      <w:rPr>
                        <w:sz w:val="18"/>
                        <w:szCs w:val="18"/>
                      </w:rPr>
                    </w:pPr>
                    <w:r>
                      <w:rPr>
                        <w:rFonts w:hint="eastAsia"/>
                        <w:color w:val="auto"/>
                        <w:sz w:val="18"/>
                        <w:szCs w:val="18"/>
                      </w:rPr>
                      <w:t>-16,500,000.00</w:t>
                    </w:r>
                  </w:p>
                </w:tc>
                <w:tc>
                  <w:tcPr>
                    <w:tcW w:w="1254" w:type="dxa"/>
                    <w:vAlign w:val="center"/>
                  </w:tcPr>
                  <w:p>
                    <w:pPr>
                      <w:jc w:val="right"/>
                      <w:rPr>
                        <w:sz w:val="18"/>
                        <w:szCs w:val="18"/>
                      </w:rPr>
                    </w:pPr>
                    <w:r>
                      <w:rPr>
                        <w:rFonts w:hint="eastAsia"/>
                        <w:color w:val="auto"/>
                        <w:sz w:val="18"/>
                        <w:szCs w:val="18"/>
                      </w:rPr>
                      <w:t>-198,198.00</w:t>
                    </w:r>
                  </w:p>
                </w:tc>
                <w:tc>
                  <w:tcPr>
                    <w:tcW w:w="1593" w:type="dxa"/>
                    <w:vAlign w:val="center"/>
                  </w:tcPr>
                  <w:p>
                    <w:pPr>
                      <w:jc w:val="right"/>
                      <w:rPr>
                        <w:sz w:val="18"/>
                        <w:szCs w:val="18"/>
                      </w:rPr>
                    </w:pPr>
                    <w:r>
                      <w:rPr>
                        <w:rFonts w:hint="eastAsia"/>
                        <w:color w:val="auto"/>
                        <w:sz w:val="18"/>
                        <w:szCs w:val="18"/>
                      </w:rPr>
                      <w:t>-16,698,198.00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sz w:val="18"/>
                        <w:szCs w:val="18"/>
                      </w:rPr>
                      <w:t>4．其他</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sz w:val="18"/>
                        <w:szCs w:val="18"/>
                      </w:rPr>
                      <w:t>（</w:t>
                    </w:r>
                    <w:r>
                      <w:rPr>
                        <w:rFonts w:hint="eastAsia"/>
                        <w:sz w:val="18"/>
                        <w:szCs w:val="18"/>
                      </w:rPr>
                      <w:t>四</w:t>
                    </w:r>
                    <w:r>
                      <w:rPr>
                        <w:sz w:val="18"/>
                        <w:szCs w:val="18"/>
                      </w:rPr>
                      <w:t>）所有者权益内部结转</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sz w:val="18"/>
                        <w:szCs w:val="18"/>
                      </w:rPr>
                      <w:t>1．资本公积转增资本（或股本）</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sz w:val="18"/>
                        <w:szCs w:val="18"/>
                      </w:rPr>
                      <w:t>2．盈余公积转增资本（或股本）</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sz w:val="18"/>
                        <w:szCs w:val="18"/>
                      </w:rPr>
                      <w:t>3．盈余公积弥补亏损</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r>
                      <w:rPr>
                        <w:sz w:val="18"/>
                        <w:szCs w:val="18"/>
                      </w:rPr>
                      <w:t>4．设定受益计划变动额结转留存收益</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sz w:val="18"/>
                        <w:szCs w:val="18"/>
                      </w:rPr>
                      <w:t>5．其他综合收益结转留存收益</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sz w:val="18"/>
                        <w:szCs w:val="18"/>
                      </w:rPr>
                      <w:t>6．其他</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rFonts w:hint="eastAsia"/>
                        <w:sz w:val="18"/>
                        <w:szCs w:val="18"/>
                      </w:rPr>
                      <w:t>（五）专项储备</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rFonts w:hint="eastAsia"/>
                        <w:sz w:val="18"/>
                        <w:szCs w:val="18"/>
                      </w:rPr>
                      <w:t>1．本期提取</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rFonts w:hint="eastAsia"/>
                        <w:sz w:val="18"/>
                        <w:szCs w:val="18"/>
                      </w:rPr>
                      <w:t>2．本期使用</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rFonts w:hint="eastAsia"/>
                        <w:sz w:val="18"/>
                        <w:szCs w:val="18"/>
                      </w:rPr>
                      <w:t>（六）其他</w:t>
                    </w:r>
                  </w:p>
                </w:tc>
                <w:tc>
                  <w:tcPr>
                    <w:tcW w:w="1356" w:type="dxa"/>
                    <w:vAlign w:val="center"/>
                  </w:tcPr>
                  <w:p>
                    <w:pPr>
                      <w:jc w:val="right"/>
                      <w:rPr>
                        <w:sz w:val="18"/>
                        <w:szCs w:val="18"/>
                      </w:rPr>
                    </w:pP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p>
                </w:tc>
                <w:tc>
                  <w:tcPr>
                    <w:tcW w:w="240" w:type="dxa"/>
                    <w:vAlign w:val="center"/>
                  </w:tcPr>
                  <w:p>
                    <w:pPr>
                      <w:jc w:val="right"/>
                      <w:rPr>
                        <w:sz w:val="18"/>
                        <w:szCs w:val="18"/>
                      </w:rPr>
                    </w:pPr>
                  </w:p>
                </w:tc>
                <w:tc>
                  <w:tcPr>
                    <w:tcW w:w="1276" w:type="dxa"/>
                    <w:vAlign w:val="center"/>
                  </w:tcPr>
                  <w:p>
                    <w:pPr>
                      <w:jc w:val="right"/>
                      <w:rPr>
                        <w:sz w:val="18"/>
                        <w:szCs w:val="18"/>
                      </w:rPr>
                    </w:pPr>
                  </w:p>
                </w:tc>
                <w:tc>
                  <w:tcPr>
                    <w:tcW w:w="240" w:type="dxa"/>
                    <w:vAlign w:val="center"/>
                  </w:tcPr>
                  <w:p>
                    <w:pPr>
                      <w:jc w:val="right"/>
                      <w:rPr>
                        <w:sz w:val="18"/>
                        <w:szCs w:val="18"/>
                      </w:rPr>
                    </w:pPr>
                  </w:p>
                </w:tc>
                <w:tc>
                  <w:tcPr>
                    <w:tcW w:w="1395" w:type="dxa"/>
                    <w:vAlign w:val="center"/>
                  </w:tcPr>
                  <w:p>
                    <w:pPr>
                      <w:jc w:val="right"/>
                      <w:rPr>
                        <w:sz w:val="18"/>
                        <w:szCs w:val="18"/>
                      </w:rPr>
                    </w:pPr>
                  </w:p>
                </w:tc>
                <w:tc>
                  <w:tcPr>
                    <w:tcW w:w="240" w:type="dxa"/>
                    <w:vAlign w:val="center"/>
                  </w:tcPr>
                  <w:p>
                    <w:pPr>
                      <w:jc w:val="right"/>
                      <w:rPr>
                        <w:sz w:val="18"/>
                        <w:szCs w:val="18"/>
                      </w:rPr>
                    </w:pPr>
                  </w:p>
                </w:tc>
                <w:tc>
                  <w:tcPr>
                    <w:tcW w:w="1366" w:type="dxa"/>
                    <w:vAlign w:val="center"/>
                  </w:tcPr>
                  <w:p>
                    <w:pPr>
                      <w:jc w:val="right"/>
                      <w:rPr>
                        <w:sz w:val="18"/>
                        <w:szCs w:val="18"/>
                      </w:rPr>
                    </w:pPr>
                  </w:p>
                </w:tc>
                <w:tc>
                  <w:tcPr>
                    <w:tcW w:w="249" w:type="dxa"/>
                    <w:vAlign w:val="center"/>
                  </w:tcPr>
                  <w:p>
                    <w:pPr>
                      <w:jc w:val="right"/>
                      <w:rPr>
                        <w:sz w:val="18"/>
                        <w:szCs w:val="18"/>
                      </w:rPr>
                    </w:pPr>
                  </w:p>
                </w:tc>
                <w:tc>
                  <w:tcPr>
                    <w:tcW w:w="1519" w:type="dxa"/>
                    <w:vAlign w:val="center"/>
                  </w:tcPr>
                  <w:p>
                    <w:pPr>
                      <w:jc w:val="right"/>
                      <w:rPr>
                        <w:sz w:val="18"/>
                        <w:szCs w:val="18"/>
                      </w:rPr>
                    </w:pPr>
                  </w:p>
                </w:tc>
                <w:tc>
                  <w:tcPr>
                    <w:tcW w:w="1254" w:type="dxa"/>
                    <w:vAlign w:val="center"/>
                  </w:tcPr>
                  <w:p>
                    <w:pPr>
                      <w:jc w:val="right"/>
                      <w:rPr>
                        <w:sz w:val="18"/>
                        <w:szCs w:val="18"/>
                      </w:rPr>
                    </w:pPr>
                  </w:p>
                </w:tc>
                <w:tc>
                  <w:tcPr>
                    <w:tcW w:w="1593"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rPr>
                        <w:sz w:val="18"/>
                        <w:szCs w:val="18"/>
                      </w:rPr>
                    </w:pPr>
                    <w:r>
                      <w:rPr>
                        <w:sz w:val="18"/>
                        <w:szCs w:val="18"/>
                      </w:rPr>
                      <w:t>四、本期期末余额</w:t>
                    </w:r>
                  </w:p>
                </w:tc>
                <w:tc>
                  <w:tcPr>
                    <w:tcW w:w="1356" w:type="dxa"/>
                    <w:vAlign w:val="center"/>
                  </w:tcPr>
                  <w:p>
                    <w:pPr>
                      <w:jc w:val="right"/>
                      <w:rPr>
                        <w:sz w:val="18"/>
                        <w:szCs w:val="18"/>
                      </w:rPr>
                    </w:pPr>
                    <w:r>
                      <w:rPr>
                        <w:rFonts w:hint="eastAsia"/>
                        <w:color w:val="auto"/>
                        <w:sz w:val="18"/>
                        <w:szCs w:val="18"/>
                      </w:rPr>
                      <w:t>550,000,000.00</w:t>
                    </w:r>
                  </w:p>
                </w:tc>
                <w:tc>
                  <w:tcPr>
                    <w:tcW w:w="248"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84" w:type="dxa"/>
                    <w:vAlign w:val="center"/>
                  </w:tcPr>
                  <w:p>
                    <w:pPr>
                      <w:jc w:val="right"/>
                      <w:rPr>
                        <w:sz w:val="18"/>
                        <w:szCs w:val="18"/>
                      </w:rPr>
                    </w:pPr>
                    <w:r>
                      <w:rPr>
                        <w:rFonts w:hint="eastAsia"/>
                        <w:color w:val="auto"/>
                        <w:sz w:val="18"/>
                        <w:szCs w:val="18"/>
                      </w:rPr>
                      <w:t>1,184,901,870.95</w:t>
                    </w:r>
                  </w:p>
                </w:tc>
                <w:tc>
                  <w:tcPr>
                    <w:tcW w:w="240" w:type="dxa"/>
                    <w:vAlign w:val="center"/>
                  </w:tcPr>
                  <w:p>
                    <w:pPr>
                      <w:jc w:val="right"/>
                      <w:rPr>
                        <w:sz w:val="18"/>
                        <w:szCs w:val="18"/>
                      </w:rPr>
                    </w:pPr>
                  </w:p>
                </w:tc>
                <w:tc>
                  <w:tcPr>
                    <w:tcW w:w="1276" w:type="dxa"/>
                    <w:vAlign w:val="center"/>
                  </w:tcPr>
                  <w:p>
                    <w:pPr>
                      <w:jc w:val="right"/>
                      <w:rPr>
                        <w:sz w:val="18"/>
                        <w:szCs w:val="18"/>
                      </w:rPr>
                    </w:pPr>
                    <w:r>
                      <w:rPr>
                        <w:rFonts w:hint="eastAsia"/>
                        <w:color w:val="auto"/>
                        <w:sz w:val="18"/>
                        <w:szCs w:val="18"/>
                      </w:rPr>
                      <w:t>-8,825,807.26</w:t>
                    </w:r>
                  </w:p>
                </w:tc>
                <w:tc>
                  <w:tcPr>
                    <w:tcW w:w="240" w:type="dxa"/>
                    <w:vAlign w:val="center"/>
                  </w:tcPr>
                  <w:p>
                    <w:pPr>
                      <w:jc w:val="right"/>
                      <w:rPr>
                        <w:sz w:val="18"/>
                        <w:szCs w:val="18"/>
                      </w:rPr>
                    </w:pPr>
                  </w:p>
                </w:tc>
                <w:tc>
                  <w:tcPr>
                    <w:tcW w:w="1395" w:type="dxa"/>
                    <w:vAlign w:val="center"/>
                  </w:tcPr>
                  <w:p>
                    <w:pPr>
                      <w:jc w:val="right"/>
                      <w:rPr>
                        <w:sz w:val="18"/>
                        <w:szCs w:val="18"/>
                      </w:rPr>
                    </w:pPr>
                    <w:r>
                      <w:rPr>
                        <w:rFonts w:hint="eastAsia"/>
                        <w:color w:val="auto"/>
                        <w:sz w:val="18"/>
                        <w:szCs w:val="18"/>
                      </w:rPr>
                      <w:t>252,166,141.87</w:t>
                    </w:r>
                  </w:p>
                </w:tc>
                <w:tc>
                  <w:tcPr>
                    <w:tcW w:w="240" w:type="dxa"/>
                    <w:vAlign w:val="center"/>
                  </w:tcPr>
                  <w:p>
                    <w:pPr>
                      <w:jc w:val="right"/>
                      <w:rPr>
                        <w:sz w:val="18"/>
                        <w:szCs w:val="18"/>
                      </w:rPr>
                    </w:pPr>
                  </w:p>
                </w:tc>
                <w:tc>
                  <w:tcPr>
                    <w:tcW w:w="1366" w:type="dxa"/>
                    <w:vAlign w:val="center"/>
                  </w:tcPr>
                  <w:p>
                    <w:pPr>
                      <w:jc w:val="right"/>
                      <w:rPr>
                        <w:sz w:val="18"/>
                        <w:szCs w:val="18"/>
                      </w:rPr>
                    </w:pPr>
                    <w:r>
                      <w:rPr>
                        <w:rFonts w:hint="eastAsia"/>
                        <w:color w:val="auto"/>
                        <w:sz w:val="18"/>
                        <w:szCs w:val="18"/>
                      </w:rPr>
                      <w:t>199,553,090.41</w:t>
                    </w:r>
                  </w:p>
                </w:tc>
                <w:tc>
                  <w:tcPr>
                    <w:tcW w:w="249" w:type="dxa"/>
                    <w:vAlign w:val="center"/>
                  </w:tcPr>
                  <w:p>
                    <w:pPr>
                      <w:jc w:val="right"/>
                      <w:rPr>
                        <w:sz w:val="18"/>
                        <w:szCs w:val="18"/>
                      </w:rPr>
                    </w:pPr>
                  </w:p>
                </w:tc>
                <w:tc>
                  <w:tcPr>
                    <w:tcW w:w="1519" w:type="dxa"/>
                    <w:vAlign w:val="center"/>
                  </w:tcPr>
                  <w:p>
                    <w:pPr>
                      <w:jc w:val="right"/>
                      <w:rPr>
                        <w:sz w:val="18"/>
                        <w:szCs w:val="18"/>
                      </w:rPr>
                    </w:pPr>
                    <w:r>
                      <w:rPr>
                        <w:rFonts w:hint="eastAsia"/>
                        <w:color w:val="auto"/>
                        <w:sz w:val="18"/>
                        <w:szCs w:val="18"/>
                      </w:rPr>
                      <w:t>2,177,795,295.97</w:t>
                    </w:r>
                  </w:p>
                </w:tc>
                <w:tc>
                  <w:tcPr>
                    <w:tcW w:w="1254" w:type="dxa"/>
                    <w:vAlign w:val="center"/>
                  </w:tcPr>
                  <w:p>
                    <w:pPr>
                      <w:jc w:val="right"/>
                      <w:rPr>
                        <w:sz w:val="18"/>
                        <w:szCs w:val="18"/>
                      </w:rPr>
                    </w:pPr>
                    <w:r>
                      <w:rPr>
                        <w:rFonts w:hint="eastAsia"/>
                        <w:color w:val="auto"/>
                        <w:sz w:val="18"/>
                        <w:szCs w:val="18"/>
                      </w:rPr>
                      <w:t>-1,530,041.34</w:t>
                    </w:r>
                  </w:p>
                </w:tc>
                <w:tc>
                  <w:tcPr>
                    <w:tcW w:w="1593" w:type="dxa"/>
                    <w:vAlign w:val="center"/>
                  </w:tcPr>
                  <w:p>
                    <w:pPr>
                      <w:jc w:val="right"/>
                      <w:rPr>
                        <w:sz w:val="18"/>
                        <w:szCs w:val="18"/>
                      </w:rPr>
                    </w:pPr>
                    <w:r>
                      <w:rPr>
                        <w:rFonts w:hint="eastAsia"/>
                        <w:color w:val="auto"/>
                        <w:sz w:val="18"/>
                        <w:szCs w:val="18"/>
                      </w:rPr>
                      <w:t>2,176,265,254.63</w:t>
                    </w:r>
                  </w:p>
                </w:tc>
              </w:tr>
            </w:tbl>
            <w:p/>
            <w:p>
              <w:pPr>
                <w:snapToGrid w:val="0"/>
                <w:spacing w:line="240" w:lineRule="atLeast"/>
                <w:ind w:right="-1594" w:rightChars="-759"/>
                <w:rPr>
                  <w:szCs w:val="21"/>
                </w:rPr>
              </w:pPr>
            </w:p>
            <w:tbl>
              <w:tblPr>
                <w:tblStyle w:val="38"/>
                <w:tblW w:w="145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353"/>
                <w:gridCol w:w="240"/>
                <w:gridCol w:w="240"/>
                <w:gridCol w:w="240"/>
                <w:gridCol w:w="1494"/>
                <w:gridCol w:w="240"/>
                <w:gridCol w:w="1299"/>
                <w:gridCol w:w="240"/>
                <w:gridCol w:w="1384"/>
                <w:gridCol w:w="240"/>
                <w:gridCol w:w="1353"/>
                <w:gridCol w:w="240"/>
                <w:gridCol w:w="1538"/>
                <w:gridCol w:w="1259"/>
                <w:gridCol w:w="1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50" w:type="dxa"/>
                    <w:vMerge w:val="restart"/>
                    <w:vAlign w:val="center"/>
                  </w:tcPr>
                  <w:sdt>
                    <w:sdtPr>
                      <w:tag w:val="_PLD_229212c664af43faa41821d5eec551b8"/>
                      <w:id w:val="6487"/>
                    </w:sdtPr>
                    <w:sdtContent>
                      <w:p>
                        <w:pPr>
                          <w:snapToGrid w:val="0"/>
                          <w:spacing w:line="240" w:lineRule="atLeast"/>
                          <w:jc w:val="center"/>
                          <w:rPr>
                            <w:sz w:val="18"/>
                            <w:szCs w:val="18"/>
                          </w:rPr>
                        </w:pPr>
                        <w:r>
                          <w:rPr>
                            <w:rFonts w:hint="eastAsia"/>
                            <w:sz w:val="18"/>
                            <w:szCs w:val="18"/>
                          </w:rPr>
                          <w:t>项目</w:t>
                        </w:r>
                      </w:p>
                    </w:sdtContent>
                  </w:sdt>
                </w:tc>
                <w:tc>
                  <w:tcPr>
                    <w:tcW w:w="12931" w:type="dxa"/>
                    <w:gridSpan w:val="15"/>
                    <w:vAlign w:val="center"/>
                  </w:tcPr>
                  <w:p>
                    <w:pPr>
                      <w:snapToGrid w:val="0"/>
                      <w:spacing w:line="240" w:lineRule="atLeast"/>
                      <w:ind w:right="-1594" w:rightChars="-759"/>
                      <w:jc w:val="center"/>
                    </w:pPr>
                    <w:r>
                      <w:rPr>
                        <w:rFonts w:hint="eastAsia"/>
                      </w:rPr>
                      <w:t xml:space="preserve"> </w:t>
                    </w:r>
                    <w:sdt>
                      <w:sdtPr>
                        <w:tag w:val="_PLD_5c8dcea3749f4f92b2d283c717162a73"/>
                        <w:id w:val="6488"/>
                      </w:sdtPr>
                      <w:sdtContent>
                        <w:r>
                          <w:rPr>
                            <w:rFonts w:hint="eastAsia"/>
                            <w:sz w:val="18"/>
                            <w:szCs w:val="18"/>
                          </w:rPr>
                          <w:t>2024年度</w:t>
                        </w:r>
                      </w:sdtContent>
                    </w:sdt>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650" w:type="dxa"/>
                    <w:vMerge w:val="continue"/>
                    <w:vAlign w:val="center"/>
                  </w:tcPr>
                  <w:p>
                    <w:pPr>
                      <w:snapToGrid w:val="0"/>
                      <w:spacing w:line="240" w:lineRule="atLeast"/>
                      <w:ind w:right="-1594" w:rightChars="-759"/>
                      <w:rPr>
                        <w:sz w:val="18"/>
                        <w:szCs w:val="18"/>
                      </w:rPr>
                    </w:pPr>
                  </w:p>
                </w:tc>
                <w:tc>
                  <w:tcPr>
                    <w:tcW w:w="10101" w:type="dxa"/>
                    <w:gridSpan w:val="13"/>
                    <w:vAlign w:val="center"/>
                  </w:tcPr>
                  <w:sdt>
                    <w:sdtPr>
                      <w:tag w:val="_PLD_e725a8cacf9d4d1abedbfeae17c394e0"/>
                      <w:id w:val="6489"/>
                    </w:sdtPr>
                    <w:sdtContent>
                      <w:p>
                        <w:pPr>
                          <w:jc w:val="center"/>
                        </w:pPr>
                        <w:r>
                          <w:rPr>
                            <w:sz w:val="18"/>
                            <w:szCs w:val="18"/>
                          </w:rPr>
                          <w:t>归属于母公司所有者权益</w:t>
                        </w:r>
                      </w:p>
                    </w:sdtContent>
                  </w:sdt>
                </w:tc>
                <w:tc>
                  <w:tcPr>
                    <w:tcW w:w="1259" w:type="dxa"/>
                    <w:vMerge w:val="restart"/>
                    <w:vAlign w:val="center"/>
                  </w:tcPr>
                  <w:sdt>
                    <w:sdtPr>
                      <w:tag w:val="_PLD_fe6c49384f0941088b29ad945caeb72b"/>
                      <w:id w:val="6490"/>
                    </w:sdtPr>
                    <w:sdtContent>
                      <w:p>
                        <w:pPr>
                          <w:jc w:val="center"/>
                          <w:rPr>
                            <w:sz w:val="18"/>
                            <w:szCs w:val="18"/>
                          </w:rPr>
                        </w:pPr>
                        <w:r>
                          <w:rPr>
                            <w:sz w:val="18"/>
                            <w:szCs w:val="18"/>
                          </w:rPr>
                          <w:t>少数股东权益</w:t>
                        </w:r>
                      </w:p>
                    </w:sdtContent>
                  </w:sdt>
                </w:tc>
                <w:tc>
                  <w:tcPr>
                    <w:tcW w:w="1571" w:type="dxa"/>
                    <w:vMerge w:val="restart"/>
                    <w:vAlign w:val="center"/>
                  </w:tcPr>
                  <w:sdt>
                    <w:sdtPr>
                      <w:tag w:val="_PLD_bbe71d4307504d648ce52638ee90ccd4"/>
                      <w:id w:val="6491"/>
                    </w:sdtPr>
                    <w:sdtContent>
                      <w:p>
                        <w:pPr>
                          <w:jc w:val="center"/>
                          <w:rPr>
                            <w:sz w:val="18"/>
                            <w:szCs w:val="18"/>
                          </w:rPr>
                        </w:pPr>
                        <w:r>
                          <w:rPr>
                            <w:sz w:val="18"/>
                            <w:szCs w:val="18"/>
                          </w:rPr>
                          <w:t>所有者权益合计</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1650" w:type="dxa"/>
                    <w:vMerge w:val="continue"/>
                    <w:vAlign w:val="center"/>
                  </w:tcPr>
                  <w:p>
                    <w:pPr>
                      <w:snapToGrid w:val="0"/>
                      <w:spacing w:line="240" w:lineRule="atLeast"/>
                      <w:ind w:right="-1594" w:rightChars="-759"/>
                      <w:rPr>
                        <w:sz w:val="18"/>
                        <w:szCs w:val="18"/>
                      </w:rPr>
                    </w:pPr>
                  </w:p>
                </w:tc>
                <w:tc>
                  <w:tcPr>
                    <w:tcW w:w="1353" w:type="dxa"/>
                    <w:vMerge w:val="restart"/>
                    <w:vAlign w:val="center"/>
                  </w:tcPr>
                  <w:sdt>
                    <w:sdtPr>
                      <w:tag w:val="_PLD_941585ba85eb48fa931876151974e425"/>
                      <w:id w:val="6492"/>
                    </w:sdtPr>
                    <w:sdtContent>
                      <w:p>
                        <w:pPr>
                          <w:snapToGrid w:val="0"/>
                          <w:spacing w:line="240" w:lineRule="atLeast"/>
                          <w:jc w:val="center"/>
                          <w:rPr>
                            <w:sz w:val="18"/>
                            <w:szCs w:val="18"/>
                          </w:rPr>
                        </w:pPr>
                        <w:r>
                          <w:rPr>
                            <w:sz w:val="18"/>
                            <w:szCs w:val="18"/>
                          </w:rPr>
                          <w:t>实收资本 (或股本)</w:t>
                        </w:r>
                      </w:p>
                    </w:sdtContent>
                  </w:sdt>
                </w:tc>
                <w:tc>
                  <w:tcPr>
                    <w:tcW w:w="720" w:type="dxa"/>
                    <w:gridSpan w:val="3"/>
                    <w:vAlign w:val="center"/>
                  </w:tcPr>
                  <w:sdt>
                    <w:sdtPr>
                      <w:tag w:val="_PLD_4097b1c4c4f449ef94e9dedb67cf7c3a"/>
                      <w:id w:val="6493"/>
                    </w:sdtPr>
                    <w:sdtContent>
                      <w:p>
                        <w:pPr>
                          <w:snapToGrid w:val="0"/>
                          <w:spacing w:line="240" w:lineRule="atLeast"/>
                          <w:jc w:val="center"/>
                          <w:rPr>
                            <w:sz w:val="18"/>
                            <w:szCs w:val="18"/>
                          </w:rPr>
                        </w:pPr>
                        <w:r>
                          <w:rPr>
                            <w:rFonts w:hint="eastAsia"/>
                            <w:sz w:val="18"/>
                            <w:szCs w:val="18"/>
                          </w:rPr>
                          <w:t>其他权益工具</w:t>
                        </w:r>
                      </w:p>
                    </w:sdtContent>
                  </w:sdt>
                </w:tc>
                <w:tc>
                  <w:tcPr>
                    <w:tcW w:w="1494" w:type="dxa"/>
                    <w:vMerge w:val="restart"/>
                    <w:vAlign w:val="center"/>
                  </w:tcPr>
                  <w:sdt>
                    <w:sdtPr>
                      <w:tag w:val="_PLD_f8441471f9a041ac884142e2c9e87055"/>
                      <w:id w:val="6494"/>
                    </w:sdtPr>
                    <w:sdtContent>
                      <w:p>
                        <w:pPr>
                          <w:snapToGrid w:val="0"/>
                          <w:spacing w:line="240" w:lineRule="atLeast"/>
                          <w:jc w:val="center"/>
                          <w:rPr>
                            <w:sz w:val="18"/>
                            <w:szCs w:val="18"/>
                          </w:rPr>
                        </w:pPr>
                        <w:r>
                          <w:rPr>
                            <w:rFonts w:hint="eastAsia"/>
                            <w:sz w:val="18"/>
                            <w:szCs w:val="18"/>
                          </w:rPr>
                          <w:t>资本公积</w:t>
                        </w:r>
                      </w:p>
                    </w:sdtContent>
                  </w:sdt>
                </w:tc>
                <w:tc>
                  <w:tcPr>
                    <w:tcW w:w="240" w:type="dxa"/>
                    <w:vMerge w:val="restart"/>
                    <w:vAlign w:val="center"/>
                  </w:tcPr>
                  <w:sdt>
                    <w:sdtPr>
                      <w:tag w:val="_PLD_f972a7ccc15d4f409243ecc02ea77629"/>
                      <w:id w:val="6495"/>
                    </w:sdtPr>
                    <w:sdtContent>
                      <w:p>
                        <w:pPr>
                          <w:snapToGrid w:val="0"/>
                          <w:spacing w:line="240" w:lineRule="atLeast"/>
                          <w:jc w:val="center"/>
                          <w:rPr>
                            <w:sz w:val="18"/>
                            <w:szCs w:val="18"/>
                          </w:rPr>
                        </w:pPr>
                        <w:r>
                          <w:rPr>
                            <w:rFonts w:hint="eastAsia"/>
                            <w:sz w:val="18"/>
                            <w:szCs w:val="18"/>
                          </w:rPr>
                          <w:t>减：库存股</w:t>
                        </w:r>
                      </w:p>
                    </w:sdtContent>
                  </w:sdt>
                </w:tc>
                <w:tc>
                  <w:tcPr>
                    <w:tcW w:w="1299" w:type="dxa"/>
                    <w:vMerge w:val="restart"/>
                    <w:vAlign w:val="center"/>
                  </w:tcPr>
                  <w:sdt>
                    <w:sdtPr>
                      <w:tag w:val="_PLD_32394603dc124fdb904af0ad8606aa79"/>
                      <w:id w:val="6496"/>
                    </w:sdtPr>
                    <w:sdtContent>
                      <w:p>
                        <w:pPr>
                          <w:snapToGrid w:val="0"/>
                          <w:spacing w:line="240" w:lineRule="atLeast"/>
                          <w:jc w:val="center"/>
                          <w:rPr>
                            <w:sz w:val="18"/>
                            <w:szCs w:val="18"/>
                          </w:rPr>
                        </w:pPr>
                        <w:r>
                          <w:rPr>
                            <w:rFonts w:hint="eastAsia"/>
                            <w:sz w:val="18"/>
                            <w:szCs w:val="18"/>
                          </w:rPr>
                          <w:t>其他综合收益</w:t>
                        </w:r>
                      </w:p>
                    </w:sdtContent>
                  </w:sdt>
                </w:tc>
                <w:tc>
                  <w:tcPr>
                    <w:tcW w:w="240" w:type="dxa"/>
                    <w:vMerge w:val="restart"/>
                    <w:vAlign w:val="center"/>
                  </w:tcPr>
                  <w:sdt>
                    <w:sdtPr>
                      <w:tag w:val="_PLD_af29ec23e072452c89c8447237a4831e"/>
                      <w:id w:val="6497"/>
                    </w:sdtPr>
                    <w:sdtContent>
                      <w:p>
                        <w:pPr>
                          <w:snapToGrid w:val="0"/>
                          <w:spacing w:line="240" w:lineRule="atLeast"/>
                          <w:jc w:val="center"/>
                          <w:rPr>
                            <w:sz w:val="18"/>
                            <w:szCs w:val="18"/>
                          </w:rPr>
                        </w:pPr>
                        <w:r>
                          <w:rPr>
                            <w:rFonts w:hint="eastAsia"/>
                            <w:sz w:val="18"/>
                            <w:szCs w:val="18"/>
                          </w:rPr>
                          <w:t>专项储备</w:t>
                        </w:r>
                      </w:p>
                    </w:sdtContent>
                  </w:sdt>
                </w:tc>
                <w:tc>
                  <w:tcPr>
                    <w:tcW w:w="1384" w:type="dxa"/>
                    <w:vMerge w:val="restart"/>
                    <w:vAlign w:val="center"/>
                  </w:tcPr>
                  <w:sdt>
                    <w:sdtPr>
                      <w:tag w:val="_PLD_81a68447a616402b99500dae3d54a22d"/>
                      <w:id w:val="6498"/>
                    </w:sdtPr>
                    <w:sdtContent>
                      <w:p>
                        <w:pPr>
                          <w:snapToGrid w:val="0"/>
                          <w:spacing w:line="240" w:lineRule="atLeast"/>
                          <w:jc w:val="center"/>
                          <w:rPr>
                            <w:sz w:val="18"/>
                            <w:szCs w:val="18"/>
                          </w:rPr>
                        </w:pPr>
                        <w:r>
                          <w:rPr>
                            <w:rFonts w:hint="eastAsia"/>
                            <w:sz w:val="18"/>
                            <w:szCs w:val="18"/>
                          </w:rPr>
                          <w:t>盈余公积</w:t>
                        </w:r>
                      </w:p>
                    </w:sdtContent>
                  </w:sdt>
                </w:tc>
                <w:tc>
                  <w:tcPr>
                    <w:tcW w:w="240" w:type="dxa"/>
                    <w:vMerge w:val="restart"/>
                    <w:vAlign w:val="center"/>
                  </w:tcPr>
                  <w:sdt>
                    <w:sdtPr>
                      <w:tag w:val="_PLD_ad0dadbaf28f45779fefb69d05b7215d"/>
                      <w:id w:val="6499"/>
                    </w:sdtPr>
                    <w:sdtContent>
                      <w:p>
                        <w:pPr>
                          <w:snapToGrid w:val="0"/>
                          <w:spacing w:line="240" w:lineRule="atLeast"/>
                          <w:jc w:val="center"/>
                          <w:rPr>
                            <w:sz w:val="18"/>
                            <w:szCs w:val="18"/>
                          </w:rPr>
                        </w:pPr>
                        <w:r>
                          <w:rPr>
                            <w:rFonts w:hint="eastAsia"/>
                            <w:sz w:val="18"/>
                            <w:szCs w:val="18"/>
                          </w:rPr>
                          <w:t>一般风险准备</w:t>
                        </w:r>
                      </w:p>
                    </w:sdtContent>
                  </w:sdt>
                </w:tc>
                <w:tc>
                  <w:tcPr>
                    <w:tcW w:w="1353" w:type="dxa"/>
                    <w:vMerge w:val="restart"/>
                    <w:vAlign w:val="center"/>
                  </w:tcPr>
                  <w:sdt>
                    <w:sdtPr>
                      <w:tag w:val="_PLD_a51f5c6bdac744979b275b09b6a9d1d8"/>
                      <w:id w:val="6500"/>
                    </w:sdtPr>
                    <w:sdtContent>
                      <w:p>
                        <w:pPr>
                          <w:snapToGrid w:val="0"/>
                          <w:spacing w:line="240" w:lineRule="atLeast"/>
                          <w:jc w:val="center"/>
                          <w:rPr>
                            <w:sz w:val="18"/>
                            <w:szCs w:val="18"/>
                          </w:rPr>
                        </w:pPr>
                        <w:r>
                          <w:rPr>
                            <w:rFonts w:hint="eastAsia"/>
                            <w:sz w:val="18"/>
                            <w:szCs w:val="18"/>
                          </w:rPr>
                          <w:t>未分配利润</w:t>
                        </w:r>
                      </w:p>
                    </w:sdtContent>
                  </w:sdt>
                </w:tc>
                <w:tc>
                  <w:tcPr>
                    <w:tcW w:w="240" w:type="dxa"/>
                    <w:vMerge w:val="restart"/>
                    <w:vAlign w:val="center"/>
                  </w:tcPr>
                  <w:sdt>
                    <w:sdtPr>
                      <w:tag w:val="_PLD_ae449a7a80f64d56b34968f1f21d2198"/>
                      <w:id w:val="6501"/>
                    </w:sdtPr>
                    <w:sdtContent>
                      <w:p>
                        <w:pPr>
                          <w:jc w:val="center"/>
                          <w:rPr>
                            <w:sz w:val="18"/>
                            <w:szCs w:val="18"/>
                          </w:rPr>
                        </w:pPr>
                        <w:r>
                          <w:rPr>
                            <w:rFonts w:hint="eastAsia"/>
                            <w:sz w:val="18"/>
                            <w:szCs w:val="18"/>
                          </w:rPr>
                          <w:t>其他</w:t>
                        </w:r>
                      </w:p>
                    </w:sdtContent>
                  </w:sdt>
                </w:tc>
                <w:tc>
                  <w:tcPr>
                    <w:tcW w:w="1538" w:type="dxa"/>
                    <w:vMerge w:val="restart"/>
                    <w:vAlign w:val="center"/>
                  </w:tcPr>
                  <w:sdt>
                    <w:sdtPr>
                      <w:tag w:val="_PLD_f2691f33b2164ad8b83415f8cd404dea"/>
                      <w:id w:val="6502"/>
                    </w:sdtPr>
                    <w:sdtContent>
                      <w:p>
                        <w:pPr>
                          <w:jc w:val="center"/>
                          <w:rPr>
                            <w:sz w:val="18"/>
                            <w:szCs w:val="18"/>
                          </w:rPr>
                        </w:pPr>
                        <w:r>
                          <w:rPr>
                            <w:rFonts w:hint="eastAsia"/>
                            <w:sz w:val="18"/>
                            <w:szCs w:val="18"/>
                          </w:rPr>
                          <w:t>小计</w:t>
                        </w:r>
                      </w:p>
                    </w:sdtContent>
                  </w:sdt>
                </w:tc>
                <w:tc>
                  <w:tcPr>
                    <w:tcW w:w="1259" w:type="dxa"/>
                    <w:vMerge w:val="continue"/>
                    <w:vAlign w:val="center"/>
                  </w:tcPr>
                  <w:p>
                    <w:pPr>
                      <w:jc w:val="center"/>
                      <w:rPr>
                        <w:sz w:val="18"/>
                        <w:szCs w:val="18"/>
                      </w:rPr>
                    </w:pPr>
                  </w:p>
                </w:tc>
                <w:tc>
                  <w:tcPr>
                    <w:tcW w:w="157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trPr>
                <w:tc>
                  <w:tcPr>
                    <w:tcW w:w="1650" w:type="dxa"/>
                    <w:vMerge w:val="continue"/>
                    <w:vAlign w:val="center"/>
                  </w:tcPr>
                  <w:p>
                    <w:pPr>
                      <w:snapToGrid w:val="0"/>
                      <w:spacing w:line="240" w:lineRule="atLeast"/>
                      <w:ind w:right="-1594" w:rightChars="-759"/>
                      <w:rPr>
                        <w:sz w:val="18"/>
                        <w:szCs w:val="18"/>
                      </w:rPr>
                    </w:pPr>
                  </w:p>
                </w:tc>
                <w:tc>
                  <w:tcPr>
                    <w:tcW w:w="1353" w:type="dxa"/>
                    <w:vMerge w:val="continue"/>
                    <w:vAlign w:val="center"/>
                  </w:tcPr>
                  <w:p>
                    <w:pPr>
                      <w:snapToGrid w:val="0"/>
                      <w:spacing w:line="240" w:lineRule="atLeast"/>
                      <w:jc w:val="center"/>
                      <w:rPr>
                        <w:sz w:val="18"/>
                        <w:szCs w:val="18"/>
                      </w:rPr>
                    </w:pPr>
                  </w:p>
                </w:tc>
                <w:tc>
                  <w:tcPr>
                    <w:tcW w:w="240" w:type="dxa"/>
                    <w:vAlign w:val="center"/>
                  </w:tcPr>
                  <w:sdt>
                    <w:sdtPr>
                      <w:tag w:val="_PLD_c8e4e3f938444f399262729a0267aa59"/>
                      <w:id w:val="6503"/>
                    </w:sdtPr>
                    <w:sdtContent>
                      <w:p>
                        <w:pPr>
                          <w:jc w:val="center"/>
                          <w:rPr>
                            <w:sz w:val="18"/>
                            <w:szCs w:val="18"/>
                          </w:rPr>
                        </w:pPr>
                        <w:r>
                          <w:rPr>
                            <w:rFonts w:hint="eastAsia"/>
                            <w:sz w:val="18"/>
                            <w:szCs w:val="18"/>
                          </w:rPr>
                          <w:t>优先股</w:t>
                        </w:r>
                      </w:p>
                    </w:sdtContent>
                  </w:sdt>
                </w:tc>
                <w:tc>
                  <w:tcPr>
                    <w:tcW w:w="240" w:type="dxa"/>
                    <w:vAlign w:val="center"/>
                  </w:tcPr>
                  <w:sdt>
                    <w:sdtPr>
                      <w:tag w:val="_PLD_70f3796cf4ab4ecbb92343a346942a09"/>
                      <w:id w:val="6504"/>
                    </w:sdtPr>
                    <w:sdtContent>
                      <w:p>
                        <w:pPr>
                          <w:jc w:val="center"/>
                          <w:rPr>
                            <w:sz w:val="18"/>
                            <w:szCs w:val="18"/>
                          </w:rPr>
                        </w:pPr>
                        <w:r>
                          <w:rPr>
                            <w:rFonts w:hint="eastAsia"/>
                            <w:sz w:val="18"/>
                            <w:szCs w:val="18"/>
                          </w:rPr>
                          <w:t>永续债</w:t>
                        </w:r>
                      </w:p>
                    </w:sdtContent>
                  </w:sdt>
                </w:tc>
                <w:tc>
                  <w:tcPr>
                    <w:tcW w:w="240" w:type="dxa"/>
                    <w:vAlign w:val="center"/>
                  </w:tcPr>
                  <w:sdt>
                    <w:sdtPr>
                      <w:tag w:val="_PLD_a3d4853d11ed4217a1c5e27cfc45c1c9"/>
                      <w:id w:val="6505"/>
                    </w:sdtPr>
                    <w:sdtContent>
                      <w:p>
                        <w:pPr>
                          <w:jc w:val="center"/>
                          <w:rPr>
                            <w:sz w:val="18"/>
                            <w:szCs w:val="18"/>
                          </w:rPr>
                        </w:pPr>
                        <w:r>
                          <w:rPr>
                            <w:rFonts w:hint="eastAsia"/>
                            <w:sz w:val="18"/>
                            <w:szCs w:val="18"/>
                          </w:rPr>
                          <w:t>其他</w:t>
                        </w:r>
                      </w:p>
                    </w:sdtContent>
                  </w:sdt>
                </w:tc>
                <w:tc>
                  <w:tcPr>
                    <w:tcW w:w="1494" w:type="dxa"/>
                    <w:vMerge w:val="continue"/>
                    <w:vAlign w:val="center"/>
                  </w:tcPr>
                  <w:p>
                    <w:pPr>
                      <w:snapToGrid w:val="0"/>
                      <w:spacing w:line="240" w:lineRule="atLeast"/>
                      <w:jc w:val="center"/>
                      <w:rPr>
                        <w:sz w:val="18"/>
                        <w:szCs w:val="18"/>
                      </w:rPr>
                    </w:pPr>
                  </w:p>
                </w:tc>
                <w:tc>
                  <w:tcPr>
                    <w:tcW w:w="240" w:type="dxa"/>
                    <w:vMerge w:val="continue"/>
                    <w:vAlign w:val="center"/>
                  </w:tcPr>
                  <w:p>
                    <w:pPr>
                      <w:snapToGrid w:val="0"/>
                      <w:spacing w:line="240" w:lineRule="atLeast"/>
                      <w:jc w:val="center"/>
                      <w:rPr>
                        <w:sz w:val="18"/>
                        <w:szCs w:val="18"/>
                      </w:rPr>
                    </w:pPr>
                  </w:p>
                </w:tc>
                <w:tc>
                  <w:tcPr>
                    <w:tcW w:w="1299" w:type="dxa"/>
                    <w:vMerge w:val="continue"/>
                    <w:vAlign w:val="center"/>
                  </w:tcPr>
                  <w:p>
                    <w:pPr>
                      <w:snapToGrid w:val="0"/>
                      <w:spacing w:line="240" w:lineRule="atLeast"/>
                      <w:jc w:val="center"/>
                      <w:rPr>
                        <w:sz w:val="18"/>
                        <w:szCs w:val="18"/>
                      </w:rPr>
                    </w:pPr>
                  </w:p>
                </w:tc>
                <w:tc>
                  <w:tcPr>
                    <w:tcW w:w="240" w:type="dxa"/>
                    <w:vMerge w:val="continue"/>
                    <w:vAlign w:val="center"/>
                  </w:tcPr>
                  <w:p>
                    <w:pPr>
                      <w:snapToGrid w:val="0"/>
                      <w:spacing w:line="240" w:lineRule="atLeast"/>
                      <w:jc w:val="center"/>
                      <w:rPr>
                        <w:sz w:val="18"/>
                        <w:szCs w:val="18"/>
                      </w:rPr>
                    </w:pPr>
                  </w:p>
                </w:tc>
                <w:tc>
                  <w:tcPr>
                    <w:tcW w:w="1384" w:type="dxa"/>
                    <w:vMerge w:val="continue"/>
                    <w:vAlign w:val="center"/>
                  </w:tcPr>
                  <w:p>
                    <w:pPr>
                      <w:snapToGrid w:val="0"/>
                      <w:spacing w:line="240" w:lineRule="atLeast"/>
                      <w:jc w:val="center"/>
                      <w:rPr>
                        <w:sz w:val="18"/>
                        <w:szCs w:val="18"/>
                      </w:rPr>
                    </w:pPr>
                  </w:p>
                </w:tc>
                <w:tc>
                  <w:tcPr>
                    <w:tcW w:w="240" w:type="dxa"/>
                    <w:vMerge w:val="continue"/>
                    <w:vAlign w:val="center"/>
                  </w:tcPr>
                  <w:p>
                    <w:pPr>
                      <w:snapToGrid w:val="0"/>
                      <w:spacing w:line="240" w:lineRule="atLeast"/>
                      <w:jc w:val="center"/>
                      <w:rPr>
                        <w:sz w:val="18"/>
                        <w:szCs w:val="18"/>
                      </w:rPr>
                    </w:pPr>
                  </w:p>
                </w:tc>
                <w:tc>
                  <w:tcPr>
                    <w:tcW w:w="1353" w:type="dxa"/>
                    <w:vMerge w:val="continue"/>
                    <w:vAlign w:val="center"/>
                  </w:tcPr>
                  <w:p>
                    <w:pPr>
                      <w:snapToGrid w:val="0"/>
                      <w:spacing w:line="240" w:lineRule="atLeast"/>
                      <w:jc w:val="center"/>
                      <w:rPr>
                        <w:sz w:val="18"/>
                        <w:szCs w:val="18"/>
                      </w:rPr>
                    </w:pPr>
                  </w:p>
                </w:tc>
                <w:tc>
                  <w:tcPr>
                    <w:tcW w:w="240" w:type="dxa"/>
                    <w:vMerge w:val="continue"/>
                    <w:vAlign w:val="center"/>
                  </w:tcPr>
                  <w:p>
                    <w:pPr>
                      <w:jc w:val="center"/>
                      <w:rPr>
                        <w:sz w:val="18"/>
                        <w:szCs w:val="18"/>
                      </w:rPr>
                    </w:pPr>
                  </w:p>
                </w:tc>
                <w:tc>
                  <w:tcPr>
                    <w:tcW w:w="1538" w:type="dxa"/>
                    <w:vMerge w:val="continue"/>
                    <w:vAlign w:val="center"/>
                  </w:tcPr>
                  <w:p>
                    <w:pPr>
                      <w:jc w:val="center"/>
                      <w:rPr>
                        <w:sz w:val="18"/>
                        <w:szCs w:val="18"/>
                      </w:rPr>
                    </w:pPr>
                  </w:p>
                </w:tc>
                <w:tc>
                  <w:tcPr>
                    <w:tcW w:w="1259" w:type="dxa"/>
                    <w:vMerge w:val="continue"/>
                    <w:vAlign w:val="center"/>
                  </w:tcPr>
                  <w:p>
                    <w:pPr>
                      <w:jc w:val="center"/>
                      <w:rPr>
                        <w:sz w:val="18"/>
                        <w:szCs w:val="18"/>
                      </w:rPr>
                    </w:pPr>
                  </w:p>
                </w:tc>
                <w:tc>
                  <w:tcPr>
                    <w:tcW w:w="1571" w:type="dxa"/>
                    <w:vMerge w:val="continue"/>
                    <w:tcBorders>
                      <w:bottom w:val="single" w:color="auto" w:sz="4" w:space="0"/>
                    </w:tcBorders>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sz w:val="18"/>
                        <w:szCs w:val="18"/>
                      </w:rPr>
                      <w:t>一、上年</w:t>
                    </w:r>
                    <w:r>
                      <w:rPr>
                        <w:rFonts w:hint="eastAsia"/>
                        <w:sz w:val="18"/>
                        <w:szCs w:val="18"/>
                      </w:rPr>
                      <w:t>年</w:t>
                    </w:r>
                    <w:r>
                      <w:rPr>
                        <w:sz w:val="18"/>
                        <w:szCs w:val="18"/>
                      </w:rPr>
                      <w:t>末余额</w:t>
                    </w:r>
                  </w:p>
                </w:tc>
                <w:tc>
                  <w:tcPr>
                    <w:tcW w:w="1353" w:type="dxa"/>
                    <w:vAlign w:val="center"/>
                  </w:tcPr>
                  <w:p>
                    <w:pPr>
                      <w:jc w:val="right"/>
                      <w:rPr>
                        <w:sz w:val="18"/>
                        <w:szCs w:val="18"/>
                      </w:rPr>
                    </w:pPr>
                    <w:r>
                      <w:rPr>
                        <w:rFonts w:hint="eastAsia"/>
                        <w:color w:val="auto"/>
                        <w:sz w:val="18"/>
                        <w:szCs w:val="18"/>
                      </w:rPr>
                      <w:t>550,000,000.00</w:t>
                    </w: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r>
                      <w:rPr>
                        <w:rFonts w:hint="eastAsia"/>
                        <w:color w:val="auto"/>
                        <w:sz w:val="18"/>
                        <w:szCs w:val="18"/>
                      </w:rPr>
                      <w:t>1,184,901,870.95</w:t>
                    </w:r>
                  </w:p>
                </w:tc>
                <w:tc>
                  <w:tcPr>
                    <w:tcW w:w="240" w:type="dxa"/>
                    <w:vAlign w:val="center"/>
                  </w:tcPr>
                  <w:p>
                    <w:pPr>
                      <w:jc w:val="right"/>
                      <w:rPr>
                        <w:sz w:val="18"/>
                        <w:szCs w:val="18"/>
                      </w:rPr>
                    </w:pPr>
                  </w:p>
                </w:tc>
                <w:tc>
                  <w:tcPr>
                    <w:tcW w:w="1299" w:type="dxa"/>
                    <w:vAlign w:val="center"/>
                  </w:tcPr>
                  <w:p>
                    <w:pPr>
                      <w:jc w:val="right"/>
                      <w:rPr>
                        <w:sz w:val="18"/>
                        <w:szCs w:val="18"/>
                      </w:rPr>
                    </w:pPr>
                    <w:r>
                      <w:rPr>
                        <w:rFonts w:hint="eastAsia"/>
                        <w:color w:val="auto"/>
                        <w:sz w:val="18"/>
                        <w:szCs w:val="18"/>
                      </w:rPr>
                      <w:t>-8,825,807.26</w:t>
                    </w:r>
                  </w:p>
                </w:tc>
                <w:tc>
                  <w:tcPr>
                    <w:tcW w:w="240" w:type="dxa"/>
                    <w:vAlign w:val="center"/>
                  </w:tcPr>
                  <w:p>
                    <w:pPr>
                      <w:jc w:val="right"/>
                      <w:rPr>
                        <w:sz w:val="18"/>
                        <w:szCs w:val="18"/>
                      </w:rPr>
                    </w:pPr>
                  </w:p>
                </w:tc>
                <w:tc>
                  <w:tcPr>
                    <w:tcW w:w="1384" w:type="dxa"/>
                    <w:vAlign w:val="center"/>
                  </w:tcPr>
                  <w:p>
                    <w:pPr>
                      <w:jc w:val="right"/>
                      <w:rPr>
                        <w:sz w:val="18"/>
                        <w:szCs w:val="18"/>
                      </w:rPr>
                    </w:pPr>
                    <w:r>
                      <w:rPr>
                        <w:rFonts w:hint="eastAsia"/>
                        <w:color w:val="auto"/>
                        <w:sz w:val="18"/>
                        <w:szCs w:val="18"/>
                      </w:rPr>
                      <w:t>245,699,064.65</w:t>
                    </w:r>
                  </w:p>
                </w:tc>
                <w:tc>
                  <w:tcPr>
                    <w:tcW w:w="240" w:type="dxa"/>
                    <w:vAlign w:val="center"/>
                  </w:tcPr>
                  <w:p>
                    <w:pPr>
                      <w:jc w:val="right"/>
                      <w:rPr>
                        <w:sz w:val="18"/>
                        <w:szCs w:val="18"/>
                      </w:rPr>
                    </w:pPr>
                  </w:p>
                </w:tc>
                <w:tc>
                  <w:tcPr>
                    <w:tcW w:w="1353" w:type="dxa"/>
                    <w:vAlign w:val="center"/>
                  </w:tcPr>
                  <w:p>
                    <w:pPr>
                      <w:jc w:val="right"/>
                      <w:rPr>
                        <w:sz w:val="18"/>
                        <w:szCs w:val="18"/>
                      </w:rPr>
                    </w:pPr>
                    <w:r>
                      <w:rPr>
                        <w:rFonts w:hint="eastAsia"/>
                        <w:color w:val="auto"/>
                        <w:sz w:val="18"/>
                        <w:szCs w:val="18"/>
                      </w:rPr>
                      <w:t>148,075,203.88</w:t>
                    </w:r>
                  </w:p>
                </w:tc>
                <w:tc>
                  <w:tcPr>
                    <w:tcW w:w="240" w:type="dxa"/>
                    <w:vAlign w:val="center"/>
                  </w:tcPr>
                  <w:p>
                    <w:pPr>
                      <w:jc w:val="right"/>
                      <w:rPr>
                        <w:sz w:val="18"/>
                        <w:szCs w:val="18"/>
                      </w:rPr>
                    </w:pPr>
                  </w:p>
                </w:tc>
                <w:tc>
                  <w:tcPr>
                    <w:tcW w:w="1538" w:type="dxa"/>
                    <w:vAlign w:val="center"/>
                  </w:tcPr>
                  <w:p>
                    <w:pPr>
                      <w:jc w:val="right"/>
                      <w:rPr>
                        <w:sz w:val="18"/>
                        <w:szCs w:val="18"/>
                      </w:rPr>
                    </w:pPr>
                    <w:r>
                      <w:rPr>
                        <w:rFonts w:hint="eastAsia"/>
                        <w:color w:val="auto"/>
                        <w:sz w:val="18"/>
                        <w:szCs w:val="18"/>
                      </w:rPr>
                      <w:t>2,119,850,332.22</w:t>
                    </w:r>
                  </w:p>
                </w:tc>
                <w:tc>
                  <w:tcPr>
                    <w:tcW w:w="1259" w:type="dxa"/>
                    <w:vAlign w:val="center"/>
                  </w:tcPr>
                  <w:p>
                    <w:pPr>
                      <w:jc w:val="right"/>
                      <w:rPr>
                        <w:sz w:val="18"/>
                        <w:szCs w:val="18"/>
                      </w:rPr>
                    </w:pPr>
                    <w:r>
                      <w:rPr>
                        <w:rFonts w:hint="eastAsia"/>
                        <w:color w:val="auto"/>
                        <w:sz w:val="18"/>
                        <w:szCs w:val="18"/>
                      </w:rPr>
                      <w:t>-3,644,077.98</w:t>
                    </w:r>
                  </w:p>
                </w:tc>
                <w:tc>
                  <w:tcPr>
                    <w:tcW w:w="1571" w:type="dxa"/>
                    <w:tcBorders>
                      <w:top w:val="single" w:color="auto" w:sz="4" w:space="0"/>
                    </w:tcBorders>
                    <w:vAlign w:val="center"/>
                  </w:tcPr>
                  <w:p>
                    <w:pPr>
                      <w:jc w:val="right"/>
                      <w:rPr>
                        <w:sz w:val="18"/>
                        <w:szCs w:val="18"/>
                      </w:rPr>
                    </w:pPr>
                    <w:r>
                      <w:rPr>
                        <w:rFonts w:hint="eastAsia"/>
                        <w:color w:val="auto"/>
                        <w:sz w:val="18"/>
                        <w:szCs w:val="18"/>
                      </w:rPr>
                      <w:t>2,116,206,254.24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rFonts w:hint="eastAsia"/>
                        <w:sz w:val="18"/>
                        <w:szCs w:val="18"/>
                      </w:rPr>
                      <w:t>加：</w:t>
                    </w:r>
                    <w:r>
                      <w:rPr>
                        <w:sz w:val="18"/>
                        <w:szCs w:val="18"/>
                      </w:rPr>
                      <w:t>会计政策变更</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ind w:firstLine="360" w:firstLineChars="200"/>
                      <w:rPr>
                        <w:sz w:val="18"/>
                        <w:szCs w:val="18"/>
                      </w:rPr>
                    </w:pPr>
                    <w:r>
                      <w:rPr>
                        <w:sz w:val="18"/>
                        <w:szCs w:val="18"/>
                      </w:rPr>
                      <w:t>前期差错更正</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ind w:firstLine="360" w:firstLineChars="200"/>
                      <w:rPr>
                        <w:sz w:val="18"/>
                        <w:szCs w:val="18"/>
                      </w:rPr>
                    </w:pPr>
                    <w:r>
                      <w:rPr>
                        <w:rFonts w:hint="eastAsia"/>
                        <w:sz w:val="18"/>
                        <w:szCs w:val="18"/>
                      </w:rPr>
                      <w:t>其他</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sz w:val="18"/>
                        <w:szCs w:val="18"/>
                      </w:rPr>
                      <w:t>二、本年</w:t>
                    </w:r>
                    <w:r>
                      <w:rPr>
                        <w:rFonts w:hint="eastAsia"/>
                        <w:sz w:val="18"/>
                        <w:szCs w:val="18"/>
                      </w:rPr>
                      <w:t>期</w:t>
                    </w:r>
                    <w:r>
                      <w:rPr>
                        <w:sz w:val="18"/>
                        <w:szCs w:val="18"/>
                      </w:rPr>
                      <w:t>初余额</w:t>
                    </w:r>
                  </w:p>
                </w:tc>
                <w:tc>
                  <w:tcPr>
                    <w:tcW w:w="1353" w:type="dxa"/>
                    <w:vAlign w:val="center"/>
                  </w:tcPr>
                  <w:p>
                    <w:pPr>
                      <w:jc w:val="right"/>
                      <w:rPr>
                        <w:sz w:val="18"/>
                        <w:szCs w:val="18"/>
                      </w:rPr>
                    </w:pPr>
                    <w:r>
                      <w:rPr>
                        <w:rFonts w:hint="eastAsia"/>
                        <w:color w:val="auto"/>
                        <w:sz w:val="18"/>
                        <w:szCs w:val="18"/>
                      </w:rPr>
                      <w:t>550,000,000.00</w:t>
                    </w: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r>
                      <w:rPr>
                        <w:rFonts w:hint="eastAsia"/>
                        <w:color w:val="auto"/>
                        <w:sz w:val="18"/>
                        <w:szCs w:val="18"/>
                      </w:rPr>
                      <w:t>1,184,901,870.95</w:t>
                    </w:r>
                  </w:p>
                </w:tc>
                <w:tc>
                  <w:tcPr>
                    <w:tcW w:w="240" w:type="dxa"/>
                    <w:vAlign w:val="center"/>
                  </w:tcPr>
                  <w:p>
                    <w:pPr>
                      <w:jc w:val="right"/>
                      <w:rPr>
                        <w:sz w:val="18"/>
                        <w:szCs w:val="18"/>
                      </w:rPr>
                    </w:pPr>
                  </w:p>
                </w:tc>
                <w:tc>
                  <w:tcPr>
                    <w:tcW w:w="1299" w:type="dxa"/>
                    <w:vAlign w:val="center"/>
                  </w:tcPr>
                  <w:p>
                    <w:pPr>
                      <w:jc w:val="right"/>
                      <w:rPr>
                        <w:sz w:val="18"/>
                        <w:szCs w:val="18"/>
                      </w:rPr>
                    </w:pPr>
                    <w:r>
                      <w:rPr>
                        <w:rFonts w:hint="eastAsia"/>
                        <w:color w:val="auto"/>
                        <w:sz w:val="18"/>
                        <w:szCs w:val="18"/>
                      </w:rPr>
                      <w:t>-8,825,807.26</w:t>
                    </w:r>
                  </w:p>
                </w:tc>
                <w:tc>
                  <w:tcPr>
                    <w:tcW w:w="240" w:type="dxa"/>
                    <w:vAlign w:val="center"/>
                  </w:tcPr>
                  <w:p>
                    <w:pPr>
                      <w:jc w:val="right"/>
                      <w:rPr>
                        <w:sz w:val="18"/>
                        <w:szCs w:val="18"/>
                      </w:rPr>
                    </w:pPr>
                  </w:p>
                </w:tc>
                <w:tc>
                  <w:tcPr>
                    <w:tcW w:w="1384" w:type="dxa"/>
                    <w:vAlign w:val="center"/>
                  </w:tcPr>
                  <w:p>
                    <w:pPr>
                      <w:jc w:val="right"/>
                      <w:rPr>
                        <w:sz w:val="18"/>
                        <w:szCs w:val="18"/>
                      </w:rPr>
                    </w:pPr>
                    <w:r>
                      <w:rPr>
                        <w:rFonts w:hint="eastAsia"/>
                        <w:color w:val="auto"/>
                        <w:sz w:val="18"/>
                        <w:szCs w:val="18"/>
                      </w:rPr>
                      <w:t>245,699,064.65</w:t>
                    </w:r>
                  </w:p>
                </w:tc>
                <w:tc>
                  <w:tcPr>
                    <w:tcW w:w="240" w:type="dxa"/>
                    <w:vAlign w:val="center"/>
                  </w:tcPr>
                  <w:p>
                    <w:pPr>
                      <w:jc w:val="right"/>
                      <w:rPr>
                        <w:sz w:val="18"/>
                        <w:szCs w:val="18"/>
                      </w:rPr>
                    </w:pPr>
                  </w:p>
                </w:tc>
                <w:tc>
                  <w:tcPr>
                    <w:tcW w:w="1353" w:type="dxa"/>
                    <w:vAlign w:val="center"/>
                  </w:tcPr>
                  <w:p>
                    <w:pPr>
                      <w:jc w:val="right"/>
                      <w:rPr>
                        <w:sz w:val="18"/>
                        <w:szCs w:val="18"/>
                      </w:rPr>
                    </w:pPr>
                    <w:r>
                      <w:rPr>
                        <w:rFonts w:hint="eastAsia"/>
                        <w:color w:val="auto"/>
                        <w:sz w:val="18"/>
                        <w:szCs w:val="18"/>
                      </w:rPr>
                      <w:t>148,075,203.88</w:t>
                    </w:r>
                  </w:p>
                </w:tc>
                <w:tc>
                  <w:tcPr>
                    <w:tcW w:w="240" w:type="dxa"/>
                    <w:vAlign w:val="center"/>
                  </w:tcPr>
                  <w:p>
                    <w:pPr>
                      <w:jc w:val="right"/>
                      <w:rPr>
                        <w:sz w:val="18"/>
                        <w:szCs w:val="18"/>
                      </w:rPr>
                    </w:pPr>
                  </w:p>
                </w:tc>
                <w:tc>
                  <w:tcPr>
                    <w:tcW w:w="1538" w:type="dxa"/>
                    <w:vAlign w:val="center"/>
                  </w:tcPr>
                  <w:p>
                    <w:pPr>
                      <w:jc w:val="right"/>
                      <w:rPr>
                        <w:sz w:val="18"/>
                        <w:szCs w:val="18"/>
                      </w:rPr>
                    </w:pPr>
                    <w:r>
                      <w:rPr>
                        <w:rFonts w:hint="eastAsia"/>
                        <w:color w:val="auto"/>
                        <w:sz w:val="18"/>
                        <w:szCs w:val="18"/>
                      </w:rPr>
                      <w:t>2,119,850,332.22</w:t>
                    </w:r>
                  </w:p>
                </w:tc>
                <w:tc>
                  <w:tcPr>
                    <w:tcW w:w="1259" w:type="dxa"/>
                    <w:vAlign w:val="center"/>
                  </w:tcPr>
                  <w:p>
                    <w:pPr>
                      <w:jc w:val="right"/>
                      <w:rPr>
                        <w:sz w:val="18"/>
                        <w:szCs w:val="18"/>
                      </w:rPr>
                    </w:pPr>
                    <w:r>
                      <w:rPr>
                        <w:rFonts w:hint="eastAsia"/>
                        <w:color w:val="auto"/>
                        <w:sz w:val="18"/>
                        <w:szCs w:val="18"/>
                      </w:rPr>
                      <w:t>-3,644,077.98</w:t>
                    </w:r>
                  </w:p>
                </w:tc>
                <w:tc>
                  <w:tcPr>
                    <w:tcW w:w="1571" w:type="dxa"/>
                    <w:vAlign w:val="center"/>
                  </w:tcPr>
                  <w:p>
                    <w:pPr>
                      <w:jc w:val="right"/>
                      <w:rPr>
                        <w:sz w:val="18"/>
                        <w:szCs w:val="18"/>
                      </w:rPr>
                    </w:pPr>
                    <w:r>
                      <w:rPr>
                        <w:rFonts w:hint="eastAsia"/>
                        <w:color w:val="auto"/>
                        <w:sz w:val="18"/>
                        <w:szCs w:val="18"/>
                      </w:rPr>
                      <w:t>2,116,206,254.24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sz w:val="18"/>
                        <w:szCs w:val="18"/>
                      </w:rPr>
                      <w:t>三、本</w:t>
                    </w:r>
                    <w:r>
                      <w:rPr>
                        <w:rFonts w:hint="eastAsia"/>
                        <w:sz w:val="18"/>
                        <w:szCs w:val="18"/>
                      </w:rPr>
                      <w:t>期</w:t>
                    </w:r>
                    <w:r>
                      <w:rPr>
                        <w:sz w:val="18"/>
                        <w:szCs w:val="18"/>
                      </w:rPr>
                      <w:t>增减变动金额（减少以“－”号填列）</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r>
                      <w:rPr>
                        <w:rFonts w:hint="eastAsia"/>
                        <w:color w:val="auto"/>
                        <w:sz w:val="18"/>
                        <w:szCs w:val="18"/>
                      </w:rPr>
                      <w:t>6,467,077.22</w:t>
                    </w:r>
                  </w:p>
                </w:tc>
                <w:tc>
                  <w:tcPr>
                    <w:tcW w:w="240" w:type="dxa"/>
                    <w:vAlign w:val="center"/>
                  </w:tcPr>
                  <w:p>
                    <w:pPr>
                      <w:jc w:val="right"/>
                      <w:rPr>
                        <w:sz w:val="18"/>
                        <w:szCs w:val="18"/>
                      </w:rPr>
                    </w:pPr>
                  </w:p>
                </w:tc>
                <w:tc>
                  <w:tcPr>
                    <w:tcW w:w="1353" w:type="dxa"/>
                    <w:vAlign w:val="center"/>
                  </w:tcPr>
                  <w:p>
                    <w:pPr>
                      <w:jc w:val="right"/>
                      <w:rPr>
                        <w:sz w:val="18"/>
                        <w:szCs w:val="18"/>
                      </w:rPr>
                    </w:pPr>
                    <w:r>
                      <w:rPr>
                        <w:rFonts w:hint="eastAsia"/>
                        <w:color w:val="auto"/>
                        <w:sz w:val="18"/>
                        <w:szCs w:val="18"/>
                      </w:rPr>
                      <w:t>58,131,738.63</w:t>
                    </w:r>
                  </w:p>
                </w:tc>
                <w:tc>
                  <w:tcPr>
                    <w:tcW w:w="240" w:type="dxa"/>
                    <w:vAlign w:val="center"/>
                  </w:tcPr>
                  <w:p>
                    <w:pPr>
                      <w:jc w:val="right"/>
                      <w:rPr>
                        <w:sz w:val="18"/>
                        <w:szCs w:val="18"/>
                      </w:rPr>
                    </w:pPr>
                  </w:p>
                </w:tc>
                <w:tc>
                  <w:tcPr>
                    <w:tcW w:w="1538" w:type="dxa"/>
                    <w:vAlign w:val="center"/>
                  </w:tcPr>
                  <w:p>
                    <w:pPr>
                      <w:jc w:val="right"/>
                      <w:rPr>
                        <w:sz w:val="18"/>
                        <w:szCs w:val="18"/>
                      </w:rPr>
                    </w:pPr>
                    <w:r>
                      <w:rPr>
                        <w:rFonts w:hint="eastAsia"/>
                        <w:color w:val="auto"/>
                        <w:sz w:val="18"/>
                        <w:szCs w:val="18"/>
                      </w:rPr>
                      <w:t>64,598,815.85</w:t>
                    </w:r>
                  </w:p>
                </w:tc>
                <w:tc>
                  <w:tcPr>
                    <w:tcW w:w="1259" w:type="dxa"/>
                    <w:vAlign w:val="center"/>
                  </w:tcPr>
                  <w:p>
                    <w:pPr>
                      <w:jc w:val="right"/>
                      <w:rPr>
                        <w:sz w:val="18"/>
                        <w:szCs w:val="18"/>
                      </w:rPr>
                    </w:pPr>
                    <w:r>
                      <w:rPr>
                        <w:rFonts w:hint="eastAsia"/>
                        <w:color w:val="auto"/>
                        <w:sz w:val="18"/>
                        <w:szCs w:val="18"/>
                      </w:rPr>
                      <w:t>1,463,093.18</w:t>
                    </w:r>
                  </w:p>
                </w:tc>
                <w:tc>
                  <w:tcPr>
                    <w:tcW w:w="1571" w:type="dxa"/>
                    <w:vAlign w:val="center"/>
                  </w:tcPr>
                  <w:p>
                    <w:pPr>
                      <w:jc w:val="right"/>
                      <w:rPr>
                        <w:sz w:val="18"/>
                        <w:szCs w:val="18"/>
                      </w:rPr>
                    </w:pPr>
                    <w:r>
                      <w:rPr>
                        <w:rFonts w:hint="eastAsia"/>
                        <w:color w:val="auto"/>
                        <w:sz w:val="18"/>
                        <w:szCs w:val="18"/>
                      </w:rPr>
                      <w:t>66,061,909.03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rFonts w:hint="eastAsia"/>
                        <w:sz w:val="18"/>
                        <w:szCs w:val="18"/>
                      </w:rPr>
                      <w:t>（一）综合收益总额</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r>
                      <w:rPr>
                        <w:rFonts w:hint="eastAsia"/>
                        <w:color w:val="auto"/>
                        <w:sz w:val="18"/>
                        <w:szCs w:val="18"/>
                      </w:rPr>
                      <w:t>81,098,815.85</w:t>
                    </w:r>
                  </w:p>
                </w:tc>
                <w:tc>
                  <w:tcPr>
                    <w:tcW w:w="240" w:type="dxa"/>
                    <w:vAlign w:val="center"/>
                  </w:tcPr>
                  <w:p>
                    <w:pPr>
                      <w:jc w:val="right"/>
                      <w:rPr>
                        <w:sz w:val="18"/>
                        <w:szCs w:val="18"/>
                      </w:rPr>
                    </w:pPr>
                  </w:p>
                </w:tc>
                <w:tc>
                  <w:tcPr>
                    <w:tcW w:w="1538" w:type="dxa"/>
                    <w:vAlign w:val="center"/>
                  </w:tcPr>
                  <w:p>
                    <w:pPr>
                      <w:jc w:val="right"/>
                      <w:rPr>
                        <w:sz w:val="18"/>
                        <w:szCs w:val="18"/>
                      </w:rPr>
                    </w:pPr>
                    <w:r>
                      <w:rPr>
                        <w:rFonts w:hint="eastAsia"/>
                        <w:color w:val="auto"/>
                        <w:sz w:val="18"/>
                        <w:szCs w:val="18"/>
                      </w:rPr>
                      <w:t>81,098,815.85</w:t>
                    </w:r>
                  </w:p>
                </w:tc>
                <w:tc>
                  <w:tcPr>
                    <w:tcW w:w="1259" w:type="dxa"/>
                    <w:vAlign w:val="center"/>
                  </w:tcPr>
                  <w:p>
                    <w:pPr>
                      <w:jc w:val="right"/>
                      <w:rPr>
                        <w:sz w:val="18"/>
                        <w:szCs w:val="18"/>
                      </w:rPr>
                    </w:pPr>
                    <w:r>
                      <w:rPr>
                        <w:rFonts w:hint="eastAsia"/>
                        <w:color w:val="auto"/>
                        <w:sz w:val="18"/>
                        <w:szCs w:val="18"/>
                      </w:rPr>
                      <w:t>1,463,093.18</w:t>
                    </w:r>
                  </w:p>
                </w:tc>
                <w:tc>
                  <w:tcPr>
                    <w:tcW w:w="1571" w:type="dxa"/>
                    <w:vAlign w:val="center"/>
                  </w:tcPr>
                  <w:p>
                    <w:pPr>
                      <w:jc w:val="right"/>
                      <w:rPr>
                        <w:sz w:val="18"/>
                        <w:szCs w:val="18"/>
                      </w:rPr>
                    </w:pPr>
                    <w:r>
                      <w:rPr>
                        <w:rFonts w:hint="eastAsia"/>
                        <w:color w:val="auto"/>
                        <w:sz w:val="18"/>
                        <w:szCs w:val="18"/>
                      </w:rPr>
                      <w:t>82,561,909.03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sz w:val="18"/>
                        <w:szCs w:val="18"/>
                      </w:rPr>
                      <w:t>（</w:t>
                    </w:r>
                    <w:r>
                      <w:rPr>
                        <w:rFonts w:hint="eastAsia"/>
                        <w:sz w:val="18"/>
                        <w:szCs w:val="18"/>
                      </w:rPr>
                      <w:t>二</w:t>
                    </w:r>
                    <w:r>
                      <w:rPr>
                        <w:sz w:val="18"/>
                        <w:szCs w:val="18"/>
                      </w:rPr>
                      <w:t>）所有者投入和减少资本</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rFonts w:hint="eastAsia"/>
                        <w:sz w:val="18"/>
                        <w:szCs w:val="18"/>
                      </w:rPr>
                      <w:t>1．所有者投入的普通股</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rFonts w:hint="eastAsia"/>
                        <w:sz w:val="18"/>
                        <w:szCs w:val="18"/>
                      </w:rPr>
                      <w:t>2．其他权益工具持有者投入资本</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rFonts w:hint="eastAsia"/>
                        <w:sz w:val="18"/>
                        <w:szCs w:val="18"/>
                      </w:rPr>
                      <w:t>3</w:t>
                    </w:r>
                    <w:r>
                      <w:rPr>
                        <w:sz w:val="18"/>
                        <w:szCs w:val="18"/>
                      </w:rPr>
                      <w:t>．股份支付计入所有者权益的金额</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rFonts w:hint="eastAsia"/>
                        <w:sz w:val="18"/>
                        <w:szCs w:val="18"/>
                      </w:rPr>
                      <w:t>4</w:t>
                    </w:r>
                    <w:r>
                      <w:rPr>
                        <w:sz w:val="18"/>
                        <w:szCs w:val="18"/>
                      </w:rPr>
                      <w:t>．其他</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sz w:val="18"/>
                        <w:szCs w:val="18"/>
                      </w:rPr>
                      <w:t>（</w:t>
                    </w:r>
                    <w:r>
                      <w:rPr>
                        <w:rFonts w:hint="eastAsia"/>
                        <w:sz w:val="18"/>
                        <w:szCs w:val="18"/>
                      </w:rPr>
                      <w:t>三</w:t>
                    </w:r>
                    <w:r>
                      <w:rPr>
                        <w:sz w:val="18"/>
                        <w:szCs w:val="18"/>
                      </w:rPr>
                      <w:t>）利润分配</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r>
                      <w:rPr>
                        <w:rFonts w:hint="eastAsia"/>
                        <w:color w:val="auto"/>
                        <w:sz w:val="18"/>
                        <w:szCs w:val="18"/>
                      </w:rPr>
                      <w:t>6,467,077.22</w:t>
                    </w:r>
                  </w:p>
                </w:tc>
                <w:tc>
                  <w:tcPr>
                    <w:tcW w:w="240" w:type="dxa"/>
                    <w:vAlign w:val="center"/>
                  </w:tcPr>
                  <w:p>
                    <w:pPr>
                      <w:jc w:val="right"/>
                      <w:rPr>
                        <w:sz w:val="18"/>
                        <w:szCs w:val="18"/>
                      </w:rPr>
                    </w:pPr>
                  </w:p>
                </w:tc>
                <w:tc>
                  <w:tcPr>
                    <w:tcW w:w="1353" w:type="dxa"/>
                    <w:vAlign w:val="center"/>
                  </w:tcPr>
                  <w:p>
                    <w:pPr>
                      <w:jc w:val="right"/>
                      <w:rPr>
                        <w:sz w:val="18"/>
                        <w:szCs w:val="18"/>
                      </w:rPr>
                    </w:pPr>
                    <w:r>
                      <w:rPr>
                        <w:rFonts w:hint="eastAsia"/>
                        <w:color w:val="auto"/>
                        <w:sz w:val="18"/>
                        <w:szCs w:val="18"/>
                      </w:rPr>
                      <w:t>-22,967,077.22</w:t>
                    </w:r>
                  </w:p>
                </w:tc>
                <w:tc>
                  <w:tcPr>
                    <w:tcW w:w="240" w:type="dxa"/>
                    <w:vAlign w:val="center"/>
                  </w:tcPr>
                  <w:p>
                    <w:pPr>
                      <w:jc w:val="right"/>
                      <w:rPr>
                        <w:sz w:val="18"/>
                        <w:szCs w:val="18"/>
                      </w:rPr>
                    </w:pPr>
                  </w:p>
                </w:tc>
                <w:tc>
                  <w:tcPr>
                    <w:tcW w:w="1538" w:type="dxa"/>
                    <w:vAlign w:val="center"/>
                  </w:tcPr>
                  <w:p>
                    <w:pPr>
                      <w:jc w:val="right"/>
                      <w:rPr>
                        <w:sz w:val="18"/>
                        <w:szCs w:val="18"/>
                      </w:rPr>
                    </w:pPr>
                    <w:r>
                      <w:rPr>
                        <w:rFonts w:hint="eastAsia"/>
                        <w:color w:val="auto"/>
                        <w:sz w:val="18"/>
                        <w:szCs w:val="18"/>
                      </w:rPr>
                      <w:t>-16,500,000.00</w:t>
                    </w:r>
                  </w:p>
                </w:tc>
                <w:tc>
                  <w:tcPr>
                    <w:tcW w:w="1259" w:type="dxa"/>
                    <w:vAlign w:val="center"/>
                  </w:tcPr>
                  <w:p>
                    <w:pPr>
                      <w:jc w:val="right"/>
                      <w:rPr>
                        <w:sz w:val="18"/>
                        <w:szCs w:val="18"/>
                      </w:rPr>
                    </w:pPr>
                  </w:p>
                </w:tc>
                <w:tc>
                  <w:tcPr>
                    <w:tcW w:w="1571" w:type="dxa"/>
                    <w:vAlign w:val="center"/>
                  </w:tcPr>
                  <w:p>
                    <w:pPr>
                      <w:jc w:val="right"/>
                      <w:rPr>
                        <w:sz w:val="18"/>
                        <w:szCs w:val="18"/>
                      </w:rPr>
                    </w:pPr>
                    <w:r>
                      <w:rPr>
                        <w:rFonts w:hint="eastAsia"/>
                        <w:color w:val="auto"/>
                        <w:sz w:val="18"/>
                        <w:szCs w:val="18"/>
                      </w:rPr>
                      <w:t>-16,500,000.00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sz w:val="18"/>
                        <w:szCs w:val="18"/>
                      </w:rPr>
                      <w:t>1．提取盈余公积</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r>
                      <w:rPr>
                        <w:rFonts w:hint="eastAsia"/>
                        <w:color w:val="auto"/>
                        <w:sz w:val="18"/>
                        <w:szCs w:val="18"/>
                      </w:rPr>
                      <w:t>6,467,077.22</w:t>
                    </w:r>
                  </w:p>
                </w:tc>
                <w:tc>
                  <w:tcPr>
                    <w:tcW w:w="240" w:type="dxa"/>
                    <w:vAlign w:val="center"/>
                  </w:tcPr>
                  <w:p>
                    <w:pPr>
                      <w:jc w:val="right"/>
                      <w:rPr>
                        <w:sz w:val="18"/>
                        <w:szCs w:val="18"/>
                      </w:rPr>
                    </w:pPr>
                  </w:p>
                </w:tc>
                <w:tc>
                  <w:tcPr>
                    <w:tcW w:w="1353" w:type="dxa"/>
                    <w:vAlign w:val="center"/>
                  </w:tcPr>
                  <w:p>
                    <w:pPr>
                      <w:jc w:val="right"/>
                      <w:rPr>
                        <w:sz w:val="18"/>
                        <w:szCs w:val="18"/>
                      </w:rPr>
                    </w:pPr>
                    <w:r>
                      <w:rPr>
                        <w:rFonts w:hint="eastAsia"/>
                        <w:color w:val="auto"/>
                        <w:sz w:val="18"/>
                        <w:szCs w:val="18"/>
                      </w:rPr>
                      <w:t>-6,467,077.22</w:t>
                    </w: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sz w:val="18"/>
                        <w:szCs w:val="18"/>
                      </w:rPr>
                      <w:t>2．提取一般风险准备</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sz w:val="18"/>
                        <w:szCs w:val="18"/>
                      </w:rPr>
                      <w:t>3．对所有者（或股东）的分配</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r>
                      <w:rPr>
                        <w:rFonts w:hint="eastAsia"/>
                        <w:color w:val="auto"/>
                        <w:sz w:val="18"/>
                        <w:szCs w:val="18"/>
                      </w:rPr>
                      <w:t>-16,500,000.00</w:t>
                    </w:r>
                  </w:p>
                </w:tc>
                <w:tc>
                  <w:tcPr>
                    <w:tcW w:w="240" w:type="dxa"/>
                    <w:vAlign w:val="center"/>
                  </w:tcPr>
                  <w:p>
                    <w:pPr>
                      <w:jc w:val="right"/>
                      <w:rPr>
                        <w:sz w:val="18"/>
                        <w:szCs w:val="18"/>
                      </w:rPr>
                    </w:pPr>
                  </w:p>
                </w:tc>
                <w:tc>
                  <w:tcPr>
                    <w:tcW w:w="1538" w:type="dxa"/>
                    <w:vAlign w:val="center"/>
                  </w:tcPr>
                  <w:p>
                    <w:pPr>
                      <w:jc w:val="right"/>
                      <w:rPr>
                        <w:sz w:val="18"/>
                        <w:szCs w:val="18"/>
                      </w:rPr>
                    </w:pPr>
                    <w:r>
                      <w:rPr>
                        <w:rFonts w:hint="eastAsia"/>
                        <w:color w:val="auto"/>
                        <w:sz w:val="18"/>
                        <w:szCs w:val="18"/>
                      </w:rPr>
                      <w:t>-16,500,000.00</w:t>
                    </w:r>
                  </w:p>
                </w:tc>
                <w:tc>
                  <w:tcPr>
                    <w:tcW w:w="1259" w:type="dxa"/>
                    <w:vAlign w:val="center"/>
                  </w:tcPr>
                  <w:p>
                    <w:pPr>
                      <w:jc w:val="right"/>
                      <w:rPr>
                        <w:sz w:val="18"/>
                        <w:szCs w:val="18"/>
                      </w:rPr>
                    </w:pPr>
                  </w:p>
                </w:tc>
                <w:tc>
                  <w:tcPr>
                    <w:tcW w:w="1571" w:type="dxa"/>
                    <w:vAlign w:val="center"/>
                  </w:tcPr>
                  <w:p>
                    <w:pPr>
                      <w:jc w:val="right"/>
                      <w:rPr>
                        <w:sz w:val="18"/>
                        <w:szCs w:val="18"/>
                      </w:rPr>
                    </w:pPr>
                    <w:r>
                      <w:rPr>
                        <w:rFonts w:hint="eastAsia"/>
                        <w:color w:val="auto"/>
                        <w:sz w:val="18"/>
                        <w:szCs w:val="18"/>
                      </w:rPr>
                      <w:t>-16,500,000.00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sz w:val="18"/>
                        <w:szCs w:val="18"/>
                      </w:rPr>
                      <w:t>4．其他</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sz w:val="18"/>
                        <w:szCs w:val="18"/>
                      </w:rPr>
                      <w:t>（</w:t>
                    </w:r>
                    <w:r>
                      <w:rPr>
                        <w:rFonts w:hint="eastAsia"/>
                        <w:sz w:val="18"/>
                        <w:szCs w:val="18"/>
                      </w:rPr>
                      <w:t>四</w:t>
                    </w:r>
                    <w:r>
                      <w:rPr>
                        <w:sz w:val="18"/>
                        <w:szCs w:val="18"/>
                      </w:rPr>
                      <w:t>）所有者权益内部结转</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sz w:val="18"/>
                        <w:szCs w:val="18"/>
                      </w:rPr>
                      <w:t>1．资本公积转增资本（或股本）</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sz w:val="18"/>
                        <w:szCs w:val="18"/>
                      </w:rPr>
                      <w:t>2．盈余公积转增资本（或股本）</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sz w:val="18"/>
                        <w:szCs w:val="18"/>
                      </w:rPr>
                      <w:t>3．盈余公积弥补亏损</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r>
                      <w:rPr>
                        <w:sz w:val="18"/>
                        <w:szCs w:val="18"/>
                      </w:rPr>
                      <w:t>4．设定受益计划变动额结转留存收益</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sz w:val="18"/>
                        <w:szCs w:val="18"/>
                      </w:rPr>
                      <w:t>5．其他综合收益结转留存收益</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sz w:val="18"/>
                        <w:szCs w:val="18"/>
                      </w:rPr>
                      <w:t>6．其他</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rFonts w:hint="eastAsia"/>
                        <w:sz w:val="18"/>
                        <w:szCs w:val="18"/>
                      </w:rPr>
                      <w:t>（五）专项储备</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rFonts w:hint="eastAsia"/>
                        <w:sz w:val="18"/>
                        <w:szCs w:val="18"/>
                      </w:rPr>
                      <w:t>1．本期提取</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rFonts w:hint="eastAsia"/>
                        <w:sz w:val="18"/>
                        <w:szCs w:val="18"/>
                      </w:rPr>
                      <w:t>2．本期使用</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rFonts w:hint="eastAsia"/>
                        <w:sz w:val="18"/>
                        <w:szCs w:val="18"/>
                      </w:rPr>
                      <w:t>（六）其他</w:t>
                    </w:r>
                  </w:p>
                </w:tc>
                <w:tc>
                  <w:tcPr>
                    <w:tcW w:w="1353"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p>
                </w:tc>
                <w:tc>
                  <w:tcPr>
                    <w:tcW w:w="240" w:type="dxa"/>
                    <w:vAlign w:val="center"/>
                  </w:tcPr>
                  <w:p>
                    <w:pPr>
                      <w:jc w:val="right"/>
                      <w:rPr>
                        <w:sz w:val="18"/>
                        <w:szCs w:val="18"/>
                      </w:rPr>
                    </w:pPr>
                  </w:p>
                </w:tc>
                <w:tc>
                  <w:tcPr>
                    <w:tcW w:w="1299" w:type="dxa"/>
                    <w:vAlign w:val="center"/>
                  </w:tcPr>
                  <w:p>
                    <w:pPr>
                      <w:jc w:val="right"/>
                      <w:rPr>
                        <w:sz w:val="18"/>
                        <w:szCs w:val="18"/>
                      </w:rPr>
                    </w:pPr>
                  </w:p>
                </w:tc>
                <w:tc>
                  <w:tcPr>
                    <w:tcW w:w="240" w:type="dxa"/>
                    <w:vAlign w:val="center"/>
                  </w:tcPr>
                  <w:p>
                    <w:pPr>
                      <w:jc w:val="right"/>
                      <w:rPr>
                        <w:sz w:val="18"/>
                        <w:szCs w:val="18"/>
                      </w:rPr>
                    </w:pPr>
                  </w:p>
                </w:tc>
                <w:tc>
                  <w:tcPr>
                    <w:tcW w:w="1384" w:type="dxa"/>
                    <w:vAlign w:val="center"/>
                  </w:tcPr>
                  <w:p>
                    <w:pPr>
                      <w:jc w:val="right"/>
                      <w:rPr>
                        <w:sz w:val="18"/>
                        <w:szCs w:val="18"/>
                      </w:rPr>
                    </w:pPr>
                  </w:p>
                </w:tc>
                <w:tc>
                  <w:tcPr>
                    <w:tcW w:w="240" w:type="dxa"/>
                    <w:vAlign w:val="center"/>
                  </w:tcPr>
                  <w:p>
                    <w:pPr>
                      <w:jc w:val="right"/>
                      <w:rPr>
                        <w:sz w:val="18"/>
                        <w:szCs w:val="18"/>
                      </w:rPr>
                    </w:pPr>
                  </w:p>
                </w:tc>
                <w:tc>
                  <w:tcPr>
                    <w:tcW w:w="1353" w:type="dxa"/>
                    <w:vAlign w:val="center"/>
                  </w:tcPr>
                  <w:p>
                    <w:pPr>
                      <w:jc w:val="right"/>
                      <w:rPr>
                        <w:sz w:val="18"/>
                        <w:szCs w:val="18"/>
                      </w:rPr>
                    </w:pPr>
                  </w:p>
                </w:tc>
                <w:tc>
                  <w:tcPr>
                    <w:tcW w:w="240" w:type="dxa"/>
                    <w:vAlign w:val="center"/>
                  </w:tcPr>
                  <w:p>
                    <w:pPr>
                      <w:jc w:val="right"/>
                      <w:rPr>
                        <w:sz w:val="18"/>
                        <w:szCs w:val="18"/>
                      </w:rPr>
                    </w:pPr>
                  </w:p>
                </w:tc>
                <w:tc>
                  <w:tcPr>
                    <w:tcW w:w="1538" w:type="dxa"/>
                    <w:vAlign w:val="center"/>
                  </w:tcPr>
                  <w:p>
                    <w:pPr>
                      <w:jc w:val="right"/>
                      <w:rPr>
                        <w:sz w:val="18"/>
                        <w:szCs w:val="18"/>
                      </w:rPr>
                    </w:pPr>
                  </w:p>
                </w:tc>
                <w:tc>
                  <w:tcPr>
                    <w:tcW w:w="1259" w:type="dxa"/>
                    <w:vAlign w:val="center"/>
                  </w:tcPr>
                  <w:p>
                    <w:pPr>
                      <w:jc w:val="right"/>
                      <w:rPr>
                        <w:sz w:val="18"/>
                        <w:szCs w:val="18"/>
                      </w:rPr>
                    </w:pPr>
                  </w:p>
                </w:tc>
                <w:tc>
                  <w:tcPr>
                    <w:tcW w:w="1571" w:type="dxa"/>
                    <w:vAlign w:val="center"/>
                  </w:tcPr>
                  <w:p>
                    <w:pPr>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rPr>
                        <w:sz w:val="18"/>
                        <w:szCs w:val="18"/>
                      </w:rPr>
                    </w:pPr>
                    <w:r>
                      <w:rPr>
                        <w:sz w:val="18"/>
                        <w:szCs w:val="18"/>
                      </w:rPr>
                      <w:t>四、本期期末余额</w:t>
                    </w:r>
                  </w:p>
                </w:tc>
                <w:tc>
                  <w:tcPr>
                    <w:tcW w:w="1353" w:type="dxa"/>
                    <w:vAlign w:val="center"/>
                  </w:tcPr>
                  <w:p>
                    <w:pPr>
                      <w:jc w:val="right"/>
                      <w:rPr>
                        <w:sz w:val="18"/>
                        <w:szCs w:val="18"/>
                      </w:rPr>
                    </w:pPr>
                    <w:r>
                      <w:rPr>
                        <w:rFonts w:hint="eastAsia"/>
                        <w:color w:val="auto"/>
                        <w:sz w:val="18"/>
                        <w:szCs w:val="18"/>
                      </w:rPr>
                      <w:t>550,000,000.00</w:t>
                    </w:r>
                  </w:p>
                </w:tc>
                <w:tc>
                  <w:tcPr>
                    <w:tcW w:w="240" w:type="dxa"/>
                    <w:vAlign w:val="center"/>
                  </w:tcPr>
                  <w:p>
                    <w:pPr>
                      <w:jc w:val="right"/>
                      <w:rPr>
                        <w:sz w:val="18"/>
                        <w:szCs w:val="18"/>
                      </w:rPr>
                    </w:pPr>
                  </w:p>
                </w:tc>
                <w:tc>
                  <w:tcPr>
                    <w:tcW w:w="240" w:type="dxa"/>
                    <w:vAlign w:val="center"/>
                  </w:tcPr>
                  <w:p>
                    <w:pPr>
                      <w:jc w:val="right"/>
                      <w:rPr>
                        <w:sz w:val="18"/>
                        <w:szCs w:val="18"/>
                      </w:rPr>
                    </w:pPr>
                  </w:p>
                </w:tc>
                <w:tc>
                  <w:tcPr>
                    <w:tcW w:w="240" w:type="dxa"/>
                    <w:vAlign w:val="center"/>
                  </w:tcPr>
                  <w:p>
                    <w:pPr>
                      <w:jc w:val="right"/>
                      <w:rPr>
                        <w:sz w:val="18"/>
                        <w:szCs w:val="18"/>
                      </w:rPr>
                    </w:pPr>
                  </w:p>
                </w:tc>
                <w:tc>
                  <w:tcPr>
                    <w:tcW w:w="1494" w:type="dxa"/>
                    <w:vAlign w:val="center"/>
                  </w:tcPr>
                  <w:p>
                    <w:pPr>
                      <w:jc w:val="right"/>
                      <w:rPr>
                        <w:sz w:val="18"/>
                        <w:szCs w:val="18"/>
                      </w:rPr>
                    </w:pPr>
                    <w:r>
                      <w:rPr>
                        <w:rFonts w:hint="eastAsia"/>
                        <w:color w:val="auto"/>
                        <w:sz w:val="18"/>
                        <w:szCs w:val="18"/>
                      </w:rPr>
                      <w:t>1,184,901,870.95</w:t>
                    </w:r>
                  </w:p>
                </w:tc>
                <w:tc>
                  <w:tcPr>
                    <w:tcW w:w="240" w:type="dxa"/>
                    <w:vAlign w:val="center"/>
                  </w:tcPr>
                  <w:p>
                    <w:pPr>
                      <w:jc w:val="right"/>
                      <w:rPr>
                        <w:sz w:val="18"/>
                        <w:szCs w:val="18"/>
                      </w:rPr>
                    </w:pPr>
                  </w:p>
                </w:tc>
                <w:tc>
                  <w:tcPr>
                    <w:tcW w:w="1299" w:type="dxa"/>
                    <w:vAlign w:val="center"/>
                  </w:tcPr>
                  <w:p>
                    <w:pPr>
                      <w:jc w:val="right"/>
                      <w:rPr>
                        <w:sz w:val="18"/>
                        <w:szCs w:val="18"/>
                      </w:rPr>
                    </w:pPr>
                    <w:r>
                      <w:rPr>
                        <w:rFonts w:hint="eastAsia"/>
                        <w:color w:val="auto"/>
                        <w:sz w:val="18"/>
                        <w:szCs w:val="18"/>
                      </w:rPr>
                      <w:t>-8,825,807.26</w:t>
                    </w:r>
                  </w:p>
                </w:tc>
                <w:tc>
                  <w:tcPr>
                    <w:tcW w:w="240" w:type="dxa"/>
                    <w:vAlign w:val="center"/>
                  </w:tcPr>
                  <w:p>
                    <w:pPr>
                      <w:jc w:val="right"/>
                      <w:rPr>
                        <w:sz w:val="18"/>
                        <w:szCs w:val="18"/>
                      </w:rPr>
                    </w:pPr>
                  </w:p>
                </w:tc>
                <w:tc>
                  <w:tcPr>
                    <w:tcW w:w="1384" w:type="dxa"/>
                    <w:vAlign w:val="center"/>
                  </w:tcPr>
                  <w:p>
                    <w:pPr>
                      <w:jc w:val="right"/>
                      <w:rPr>
                        <w:sz w:val="18"/>
                        <w:szCs w:val="18"/>
                      </w:rPr>
                    </w:pPr>
                    <w:r>
                      <w:rPr>
                        <w:rFonts w:hint="eastAsia"/>
                        <w:color w:val="auto"/>
                        <w:sz w:val="18"/>
                        <w:szCs w:val="18"/>
                      </w:rPr>
                      <w:t>252,166,141.87</w:t>
                    </w:r>
                  </w:p>
                </w:tc>
                <w:tc>
                  <w:tcPr>
                    <w:tcW w:w="240" w:type="dxa"/>
                    <w:vAlign w:val="center"/>
                  </w:tcPr>
                  <w:p>
                    <w:pPr>
                      <w:jc w:val="right"/>
                      <w:rPr>
                        <w:sz w:val="18"/>
                        <w:szCs w:val="18"/>
                      </w:rPr>
                    </w:pPr>
                  </w:p>
                </w:tc>
                <w:tc>
                  <w:tcPr>
                    <w:tcW w:w="1353" w:type="dxa"/>
                    <w:vAlign w:val="center"/>
                  </w:tcPr>
                  <w:p>
                    <w:pPr>
                      <w:jc w:val="right"/>
                      <w:rPr>
                        <w:sz w:val="18"/>
                        <w:szCs w:val="18"/>
                      </w:rPr>
                    </w:pPr>
                    <w:r>
                      <w:rPr>
                        <w:rFonts w:hint="eastAsia"/>
                        <w:color w:val="auto"/>
                        <w:sz w:val="18"/>
                        <w:szCs w:val="18"/>
                      </w:rPr>
                      <w:t>206,206,942.51</w:t>
                    </w:r>
                  </w:p>
                </w:tc>
                <w:tc>
                  <w:tcPr>
                    <w:tcW w:w="240" w:type="dxa"/>
                    <w:vAlign w:val="center"/>
                  </w:tcPr>
                  <w:p>
                    <w:pPr>
                      <w:jc w:val="right"/>
                      <w:rPr>
                        <w:sz w:val="18"/>
                        <w:szCs w:val="18"/>
                      </w:rPr>
                    </w:pPr>
                  </w:p>
                </w:tc>
                <w:tc>
                  <w:tcPr>
                    <w:tcW w:w="1538" w:type="dxa"/>
                    <w:vAlign w:val="center"/>
                  </w:tcPr>
                  <w:p>
                    <w:pPr>
                      <w:jc w:val="right"/>
                      <w:rPr>
                        <w:sz w:val="18"/>
                        <w:szCs w:val="18"/>
                      </w:rPr>
                    </w:pPr>
                    <w:r>
                      <w:rPr>
                        <w:rFonts w:hint="eastAsia"/>
                        <w:color w:val="auto"/>
                        <w:sz w:val="18"/>
                        <w:szCs w:val="18"/>
                      </w:rPr>
                      <w:t>2,184,449,148.07</w:t>
                    </w:r>
                  </w:p>
                </w:tc>
                <w:tc>
                  <w:tcPr>
                    <w:tcW w:w="1259" w:type="dxa"/>
                    <w:vAlign w:val="center"/>
                  </w:tcPr>
                  <w:p>
                    <w:pPr>
                      <w:jc w:val="right"/>
                      <w:rPr>
                        <w:sz w:val="18"/>
                        <w:szCs w:val="18"/>
                      </w:rPr>
                    </w:pPr>
                    <w:r>
                      <w:rPr>
                        <w:rFonts w:hint="eastAsia"/>
                        <w:color w:val="auto"/>
                        <w:sz w:val="18"/>
                        <w:szCs w:val="18"/>
                      </w:rPr>
                      <w:t>-2,180,984.80</w:t>
                    </w:r>
                  </w:p>
                </w:tc>
                <w:tc>
                  <w:tcPr>
                    <w:tcW w:w="1571" w:type="dxa"/>
                    <w:vAlign w:val="center"/>
                  </w:tcPr>
                  <w:p>
                    <w:pPr>
                      <w:jc w:val="right"/>
                      <w:rPr>
                        <w:sz w:val="18"/>
                        <w:szCs w:val="18"/>
                      </w:rPr>
                    </w:pPr>
                    <w:r>
                      <w:rPr>
                        <w:rFonts w:hint="eastAsia"/>
                        <w:color w:val="auto"/>
                        <w:sz w:val="18"/>
                        <w:szCs w:val="18"/>
                      </w:rPr>
                      <w:t>2,182,268,163.27</w:t>
                    </w:r>
                  </w:p>
                </w:tc>
              </w:tr>
            </w:tbl>
            <w:p>
              <w:pPr>
                <w:rPr>
                  <w:rFonts w:hint="eastAsia"/>
                  <w:szCs w:val="21"/>
                </w:rPr>
              </w:pPr>
              <w:r>
                <w:rPr>
                  <w:rFonts w:hint="eastAsia"/>
                  <w:szCs w:val="21"/>
                </w:rPr>
                <w:t xml:space="preserve">公司负责人：周云祥       </w:t>
              </w:r>
              <w:r>
                <w:rPr>
                  <w:rFonts w:hint="eastAsia"/>
                  <w:szCs w:val="21"/>
                  <w:lang w:val="en-US" w:eastAsia="zh-CN"/>
                </w:rPr>
                <w:t xml:space="preserve">    </w:t>
              </w:r>
              <w:r>
                <w:rPr>
                  <w:rFonts w:hint="eastAsia"/>
                  <w:szCs w:val="21"/>
                </w:rPr>
                <w:t xml:space="preserve"> </w:t>
              </w:r>
              <w:r>
                <w:rPr>
                  <w:rFonts w:hint="eastAsia"/>
                  <w:szCs w:val="21"/>
                  <w:lang w:val="en-US" w:eastAsia="zh-CN"/>
                </w:rPr>
                <w:t xml:space="preserve">                     </w:t>
              </w:r>
              <w:r>
                <w:rPr>
                  <w:rFonts w:hint="eastAsia"/>
                  <w:szCs w:val="21"/>
                </w:rPr>
                <w:t xml:space="preserve">主管会计工作负责人：龚慧泉          </w:t>
              </w:r>
              <w:r>
                <w:rPr>
                  <w:rFonts w:hint="eastAsia"/>
                  <w:szCs w:val="21"/>
                  <w:lang w:val="en-US" w:eastAsia="zh-CN"/>
                </w:rPr>
                <w:t xml:space="preserve">                        </w:t>
              </w:r>
              <w:r>
                <w:rPr>
                  <w:rFonts w:hint="eastAsia"/>
                  <w:szCs w:val="21"/>
                </w:rPr>
                <w:t>会计机构负责人：游发禄</w:t>
              </w:r>
            </w:p>
            <w:p>
              <w:pPr>
                <w:rPr>
                  <w:szCs w:val="21"/>
                </w:rPr>
              </w:pPr>
            </w:p>
          </w:sdtContent>
        </w:sdt>
        <w:sdt>
          <w:sdtPr>
            <w:rPr>
              <w:b/>
              <w:szCs w:val="21"/>
            </w:rPr>
            <w:tag w:val="_GBC_24560eea01804b8b9d3678736eb60ca8"/>
            <w:id w:val="6509"/>
            <w:placeholder>
              <w:docPart w:val="GBC22222222222222222222222222222"/>
            </w:placeholder>
          </w:sdtPr>
          <w:sdtEndPr>
            <w:rPr>
              <w:rFonts w:hint="eastAsia"/>
              <w:b w:val="0"/>
              <w:szCs w:val="21"/>
            </w:rPr>
          </w:sdtEndPr>
          <w:sdtContent>
            <w:p>
              <w:pPr>
                <w:tabs>
                  <w:tab w:val="left" w:pos="10080"/>
                </w:tabs>
                <w:snapToGrid w:val="0"/>
                <w:spacing w:line="240" w:lineRule="atLeast"/>
                <w:ind w:right="25" w:rightChars="12"/>
                <w:jc w:val="center"/>
                <w:outlineLvl w:val="2"/>
                <w:rPr>
                  <w:b/>
                  <w:szCs w:val="21"/>
                </w:rPr>
              </w:pPr>
              <w:r>
                <w:rPr>
                  <w:b/>
                  <w:szCs w:val="21"/>
                </w:rPr>
                <w:t>母公司</w:t>
              </w:r>
              <w:r>
                <w:rPr>
                  <w:rFonts w:hint="eastAsia"/>
                  <w:b/>
                  <w:szCs w:val="21"/>
                </w:rPr>
                <w:t>所有者权益变动表</w:t>
              </w:r>
            </w:p>
            <w:p>
              <w:pPr>
                <w:tabs>
                  <w:tab w:val="left" w:pos="10080"/>
                </w:tabs>
                <w:snapToGrid w:val="0"/>
                <w:spacing w:line="240" w:lineRule="atLeast"/>
                <w:ind w:right="25" w:rightChars="12"/>
                <w:jc w:val="center"/>
                <w:rPr>
                  <w:b/>
                  <w:bCs/>
                  <w:szCs w:val="21"/>
                </w:rPr>
              </w:pPr>
              <w:r>
                <w:rPr>
                  <w:szCs w:val="21"/>
                </w:rPr>
                <w:t>2025年</w:t>
              </w:r>
              <w:r>
                <w:rPr>
                  <w:rFonts w:hint="eastAsia"/>
                  <w:szCs w:val="21"/>
                </w:rPr>
                <w:t>1—12</w:t>
              </w:r>
              <w:r>
                <w:rPr>
                  <w:szCs w:val="21"/>
                </w:rPr>
                <w:t>月</w:t>
              </w:r>
            </w:p>
            <w:p>
              <w:pPr>
                <w:snapToGrid w:val="0"/>
                <w:spacing w:line="240" w:lineRule="atLeast"/>
                <w:jc w:val="right"/>
                <w:rPr>
                  <w:szCs w:val="21"/>
                </w:rPr>
              </w:pPr>
              <w:r>
                <w:rPr>
                  <w:szCs w:val="21"/>
                </w:rPr>
                <w:t>单位：</w:t>
              </w:r>
              <w:sdt>
                <w:sdtPr>
                  <w:rPr>
                    <w:szCs w:val="21"/>
                  </w:rPr>
                  <w:alias w:val="单位：母公司股东权益调节表"/>
                  <w:tag w:val="_GBC_048773409e614c6bb753000b028316a5"/>
                  <w:id w:val="651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szCs w:val="21"/>
                  </w:rPr>
                </w:sdtEndPr>
                <w:sdtContent>
                  <w:r>
                    <w:rPr>
                      <w:szCs w:val="21"/>
                    </w:rPr>
                    <w:t>元</w:t>
                  </w:r>
                </w:sdtContent>
              </w:sdt>
              <w:r>
                <w:rPr>
                  <w:szCs w:val="21"/>
                </w:rPr>
                <w:t xml:space="preserve">  币种：</w:t>
              </w:r>
              <w:sdt>
                <w:sdtPr>
                  <w:rPr>
                    <w:szCs w:val="21"/>
                  </w:rPr>
                  <w:alias w:val="币种：母公司股东权益调节表"/>
                  <w:tag w:val="_GBC_5214b7a188334da286fc3038d017d072"/>
                  <w:id w:val="651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szCs w:val="21"/>
                  </w:rPr>
                </w:sdtEndPr>
                <w:sdtContent>
                  <w:r>
                    <w:rPr>
                      <w:szCs w:val="21"/>
                    </w:rPr>
                    <w:t>人民币</w:t>
                  </w:r>
                </w:sdtContent>
              </w:sdt>
            </w:p>
            <w:tbl>
              <w:tblPr>
                <w:tblStyle w:val="3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95"/>
                <w:gridCol w:w="1350"/>
                <w:gridCol w:w="675"/>
                <w:gridCol w:w="780"/>
                <w:gridCol w:w="510"/>
                <w:gridCol w:w="1530"/>
                <w:gridCol w:w="735"/>
                <w:gridCol w:w="795"/>
                <w:gridCol w:w="660"/>
                <w:gridCol w:w="1560"/>
                <w:gridCol w:w="1740"/>
                <w:gridCol w:w="17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Merge w:val="restart"/>
                    <w:vAlign w:val="center"/>
                  </w:tcPr>
                  <w:sdt>
                    <w:sdtPr>
                      <w:tag w:val="_PLD_6243181199ca48faaab1b52ea7b6f562"/>
                      <w:id w:val="6512"/>
                    </w:sdtPr>
                    <w:sdtContent>
                      <w:p>
                        <w:pPr>
                          <w:adjustRightInd w:val="0"/>
                          <w:snapToGrid w:val="0"/>
                          <w:jc w:val="center"/>
                          <w:rPr>
                            <w:sz w:val="18"/>
                            <w:szCs w:val="18"/>
                          </w:rPr>
                        </w:pPr>
                        <w:r>
                          <w:rPr>
                            <w:rFonts w:hint="eastAsia"/>
                            <w:sz w:val="18"/>
                            <w:szCs w:val="18"/>
                          </w:rPr>
                          <w:t>项目</w:t>
                        </w:r>
                      </w:p>
                    </w:sdtContent>
                  </w:sdt>
                </w:tc>
                <w:tc>
                  <w:tcPr>
                    <w:tcW w:w="12065" w:type="dxa"/>
                    <w:gridSpan w:val="11"/>
                    <w:vAlign w:val="center"/>
                  </w:tcPr>
                  <w:p>
                    <w:pPr>
                      <w:adjustRightInd w:val="0"/>
                      <w:snapToGrid w:val="0"/>
                      <w:jc w:val="center"/>
                    </w:pPr>
                    <w:r>
                      <w:rPr>
                        <w:rFonts w:hint="eastAsia"/>
                      </w:rPr>
                      <w:t xml:space="preserve"> </w:t>
                    </w:r>
                    <w:sdt>
                      <w:sdtPr>
                        <w:tag w:val="_PLD_53ebc36a4faa4485960520df843f0c63"/>
                        <w:id w:val="6513"/>
                      </w:sdtPr>
                      <w:sdtContent>
                        <w:r>
                          <w:rPr>
                            <w:rFonts w:hint="eastAsia"/>
                            <w:sz w:val="18"/>
                          </w:rPr>
                          <w:t>2025年度</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895" w:type="dxa"/>
                    <w:vMerge w:val="continue"/>
                    <w:vAlign w:val="center"/>
                  </w:tcPr>
                  <w:p>
                    <w:pPr>
                      <w:adjustRightInd w:val="0"/>
                      <w:snapToGrid w:val="0"/>
                      <w:rPr>
                        <w:sz w:val="18"/>
                        <w:szCs w:val="18"/>
                      </w:rPr>
                    </w:pPr>
                  </w:p>
                </w:tc>
                <w:tc>
                  <w:tcPr>
                    <w:tcW w:w="1350" w:type="dxa"/>
                    <w:vMerge w:val="restart"/>
                    <w:tcBorders>
                      <w:right w:val="single" w:color="auto" w:sz="4" w:space="0"/>
                    </w:tcBorders>
                    <w:vAlign w:val="center"/>
                  </w:tcPr>
                  <w:sdt>
                    <w:sdtPr>
                      <w:tag w:val="_PLD_d42b0ce5c44e4777bd36491652f20dd8"/>
                      <w:id w:val="6514"/>
                    </w:sdtPr>
                    <w:sdtContent>
                      <w:p>
                        <w:pPr>
                          <w:adjustRightInd w:val="0"/>
                          <w:snapToGrid w:val="0"/>
                          <w:jc w:val="center"/>
                          <w:rPr>
                            <w:sz w:val="18"/>
                            <w:szCs w:val="18"/>
                          </w:rPr>
                        </w:pPr>
                        <w:r>
                          <w:rPr>
                            <w:sz w:val="18"/>
                            <w:szCs w:val="18"/>
                          </w:rPr>
                          <w:t>实收资本 (或股本)</w:t>
                        </w:r>
                      </w:p>
                    </w:sdtContent>
                  </w:sdt>
                </w:tc>
                <w:tc>
                  <w:tcPr>
                    <w:tcW w:w="1965" w:type="dxa"/>
                    <w:gridSpan w:val="3"/>
                    <w:tcBorders>
                      <w:left w:val="single" w:color="auto" w:sz="4" w:space="0"/>
                      <w:bottom w:val="single" w:color="auto" w:sz="4" w:space="0"/>
                    </w:tcBorders>
                    <w:vAlign w:val="center"/>
                  </w:tcPr>
                  <w:sdt>
                    <w:sdtPr>
                      <w:tag w:val="_PLD_2b96b9233b354a859329aa59fac6fc9e"/>
                      <w:id w:val="6515"/>
                    </w:sdtPr>
                    <w:sdtContent>
                      <w:p>
                        <w:pPr>
                          <w:adjustRightInd w:val="0"/>
                          <w:snapToGrid w:val="0"/>
                          <w:jc w:val="center"/>
                          <w:rPr>
                            <w:sz w:val="18"/>
                            <w:szCs w:val="18"/>
                          </w:rPr>
                        </w:pPr>
                        <w:r>
                          <w:rPr>
                            <w:rFonts w:hint="eastAsia"/>
                            <w:sz w:val="18"/>
                            <w:szCs w:val="18"/>
                          </w:rPr>
                          <w:t>其他权益工具</w:t>
                        </w:r>
                      </w:p>
                    </w:sdtContent>
                  </w:sdt>
                </w:tc>
                <w:tc>
                  <w:tcPr>
                    <w:tcW w:w="1530" w:type="dxa"/>
                    <w:vMerge w:val="restart"/>
                    <w:vAlign w:val="center"/>
                  </w:tcPr>
                  <w:sdt>
                    <w:sdtPr>
                      <w:tag w:val="_PLD_dafb11707213467d9f285bde7429767a"/>
                      <w:id w:val="6516"/>
                    </w:sdtPr>
                    <w:sdtContent>
                      <w:p>
                        <w:pPr>
                          <w:adjustRightInd w:val="0"/>
                          <w:snapToGrid w:val="0"/>
                          <w:jc w:val="center"/>
                          <w:rPr>
                            <w:sz w:val="18"/>
                            <w:szCs w:val="18"/>
                          </w:rPr>
                        </w:pPr>
                        <w:r>
                          <w:rPr>
                            <w:sz w:val="18"/>
                            <w:szCs w:val="18"/>
                          </w:rPr>
                          <w:t>资本公积</w:t>
                        </w:r>
                      </w:p>
                    </w:sdtContent>
                  </w:sdt>
                </w:tc>
                <w:tc>
                  <w:tcPr>
                    <w:tcW w:w="735" w:type="dxa"/>
                    <w:vMerge w:val="restart"/>
                    <w:vAlign w:val="center"/>
                  </w:tcPr>
                  <w:sdt>
                    <w:sdtPr>
                      <w:tag w:val="_PLD_2fb702eaa01c41839715d0f477a28608"/>
                      <w:id w:val="6517"/>
                    </w:sdtPr>
                    <w:sdtContent>
                      <w:p>
                        <w:pPr>
                          <w:adjustRightInd w:val="0"/>
                          <w:snapToGrid w:val="0"/>
                          <w:jc w:val="center"/>
                          <w:rPr>
                            <w:sz w:val="18"/>
                            <w:szCs w:val="18"/>
                          </w:rPr>
                        </w:pPr>
                        <w:r>
                          <w:rPr>
                            <w:sz w:val="18"/>
                            <w:szCs w:val="18"/>
                          </w:rPr>
                          <w:t>减：库存股</w:t>
                        </w:r>
                      </w:p>
                    </w:sdtContent>
                  </w:sdt>
                </w:tc>
                <w:tc>
                  <w:tcPr>
                    <w:tcW w:w="795" w:type="dxa"/>
                    <w:vMerge w:val="restart"/>
                    <w:vAlign w:val="center"/>
                  </w:tcPr>
                  <w:sdt>
                    <w:sdtPr>
                      <w:tag w:val="_PLD_01fd07c61bdc4289ad848770e21829f0"/>
                      <w:id w:val="6518"/>
                    </w:sdtPr>
                    <w:sdtContent>
                      <w:p>
                        <w:pPr>
                          <w:jc w:val="center"/>
                          <w:rPr>
                            <w:sz w:val="18"/>
                            <w:szCs w:val="18"/>
                          </w:rPr>
                        </w:pPr>
                        <w:r>
                          <w:rPr>
                            <w:rFonts w:hint="eastAsia"/>
                            <w:sz w:val="18"/>
                            <w:szCs w:val="18"/>
                          </w:rPr>
                          <w:t>其他综合收益</w:t>
                        </w:r>
                      </w:p>
                    </w:sdtContent>
                  </w:sdt>
                </w:tc>
                <w:tc>
                  <w:tcPr>
                    <w:tcW w:w="660" w:type="dxa"/>
                    <w:vMerge w:val="restart"/>
                    <w:vAlign w:val="center"/>
                  </w:tcPr>
                  <w:sdt>
                    <w:sdtPr>
                      <w:tag w:val="_PLD_90a7206226784441ae3a059bd6e2aeb9"/>
                      <w:id w:val="6519"/>
                    </w:sdtPr>
                    <w:sdtContent>
                      <w:p>
                        <w:pPr>
                          <w:adjustRightInd w:val="0"/>
                          <w:snapToGrid w:val="0"/>
                          <w:jc w:val="center"/>
                          <w:rPr>
                            <w:sz w:val="18"/>
                            <w:szCs w:val="18"/>
                          </w:rPr>
                        </w:pPr>
                        <w:r>
                          <w:rPr>
                            <w:rFonts w:hint="eastAsia"/>
                            <w:sz w:val="18"/>
                            <w:szCs w:val="18"/>
                          </w:rPr>
                          <w:t>专项储备</w:t>
                        </w:r>
                      </w:p>
                    </w:sdtContent>
                  </w:sdt>
                </w:tc>
                <w:tc>
                  <w:tcPr>
                    <w:tcW w:w="1560" w:type="dxa"/>
                    <w:vMerge w:val="restart"/>
                    <w:vAlign w:val="center"/>
                  </w:tcPr>
                  <w:sdt>
                    <w:sdtPr>
                      <w:tag w:val="_PLD_e9a70df1813948df997635772bea7de3"/>
                      <w:id w:val="6520"/>
                    </w:sdtPr>
                    <w:sdtContent>
                      <w:p>
                        <w:pPr>
                          <w:adjustRightInd w:val="0"/>
                          <w:snapToGrid w:val="0"/>
                          <w:jc w:val="center"/>
                          <w:rPr>
                            <w:sz w:val="18"/>
                            <w:szCs w:val="18"/>
                          </w:rPr>
                        </w:pPr>
                        <w:r>
                          <w:rPr>
                            <w:sz w:val="18"/>
                            <w:szCs w:val="18"/>
                          </w:rPr>
                          <w:t>盈余公积</w:t>
                        </w:r>
                      </w:p>
                    </w:sdtContent>
                  </w:sdt>
                </w:tc>
                <w:tc>
                  <w:tcPr>
                    <w:tcW w:w="1740" w:type="dxa"/>
                    <w:vMerge w:val="restart"/>
                    <w:vAlign w:val="center"/>
                  </w:tcPr>
                  <w:sdt>
                    <w:sdtPr>
                      <w:tag w:val="_PLD_9b2be5c2b4a3447c85cf695b1da440fa"/>
                      <w:id w:val="6521"/>
                    </w:sdtPr>
                    <w:sdtContent>
                      <w:p>
                        <w:pPr>
                          <w:adjustRightInd w:val="0"/>
                          <w:snapToGrid w:val="0"/>
                          <w:jc w:val="center"/>
                          <w:rPr>
                            <w:sz w:val="18"/>
                            <w:szCs w:val="18"/>
                          </w:rPr>
                        </w:pPr>
                        <w:r>
                          <w:rPr>
                            <w:sz w:val="18"/>
                            <w:szCs w:val="18"/>
                          </w:rPr>
                          <w:t>未分配利润</w:t>
                        </w:r>
                      </w:p>
                    </w:sdtContent>
                  </w:sdt>
                </w:tc>
                <w:tc>
                  <w:tcPr>
                    <w:tcW w:w="1730" w:type="dxa"/>
                    <w:vMerge w:val="restart"/>
                    <w:vAlign w:val="center"/>
                  </w:tcPr>
                  <w:sdt>
                    <w:sdtPr>
                      <w:tag w:val="_PLD_61dd0378fbe645dfb87cfecfbc846206"/>
                      <w:id w:val="6522"/>
                    </w:sdtPr>
                    <w:sdtContent>
                      <w:p>
                        <w:pPr>
                          <w:adjustRightInd w:val="0"/>
                          <w:snapToGrid w:val="0"/>
                          <w:jc w:val="center"/>
                          <w:rPr>
                            <w:sz w:val="18"/>
                            <w:szCs w:val="18"/>
                          </w:rPr>
                        </w:pPr>
                        <w:r>
                          <w:rPr>
                            <w:sz w:val="18"/>
                            <w:szCs w:val="18"/>
                          </w:rPr>
                          <w:t>所有者权益合计</w:t>
                        </w:r>
                      </w:p>
                    </w:sdtContent>
                  </w:sdt>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1895" w:type="dxa"/>
                    <w:vMerge w:val="continue"/>
                    <w:vAlign w:val="center"/>
                  </w:tcPr>
                  <w:p>
                    <w:pPr>
                      <w:adjustRightInd w:val="0"/>
                      <w:snapToGrid w:val="0"/>
                      <w:rPr>
                        <w:sz w:val="18"/>
                        <w:szCs w:val="18"/>
                      </w:rPr>
                    </w:pPr>
                  </w:p>
                </w:tc>
                <w:tc>
                  <w:tcPr>
                    <w:tcW w:w="1350" w:type="dxa"/>
                    <w:vMerge w:val="continue"/>
                    <w:tcBorders>
                      <w:right w:val="single" w:color="auto" w:sz="4" w:space="0"/>
                    </w:tcBorders>
                    <w:vAlign w:val="center"/>
                  </w:tcPr>
                  <w:p>
                    <w:pPr>
                      <w:adjustRightInd w:val="0"/>
                      <w:snapToGrid w:val="0"/>
                      <w:jc w:val="center"/>
                      <w:rPr>
                        <w:sz w:val="18"/>
                        <w:szCs w:val="18"/>
                      </w:rPr>
                    </w:pPr>
                  </w:p>
                </w:tc>
                <w:tc>
                  <w:tcPr>
                    <w:tcW w:w="675" w:type="dxa"/>
                    <w:tcBorders>
                      <w:top w:val="single" w:color="auto" w:sz="4" w:space="0"/>
                      <w:left w:val="single" w:color="auto" w:sz="4" w:space="0"/>
                      <w:right w:val="single" w:color="auto" w:sz="4" w:space="0"/>
                    </w:tcBorders>
                    <w:vAlign w:val="center"/>
                  </w:tcPr>
                  <w:sdt>
                    <w:sdtPr>
                      <w:tag w:val="_PLD_506dd395f17d4bea92c50a0850471ea4"/>
                      <w:id w:val="6523"/>
                    </w:sdtPr>
                    <w:sdtContent>
                      <w:p>
                        <w:pPr>
                          <w:adjustRightInd w:val="0"/>
                          <w:snapToGrid w:val="0"/>
                          <w:jc w:val="center"/>
                          <w:rPr>
                            <w:sz w:val="18"/>
                            <w:szCs w:val="18"/>
                          </w:rPr>
                        </w:pPr>
                        <w:r>
                          <w:rPr>
                            <w:rFonts w:hint="eastAsia"/>
                            <w:sz w:val="18"/>
                            <w:szCs w:val="18"/>
                          </w:rPr>
                          <w:t>优先股</w:t>
                        </w:r>
                      </w:p>
                    </w:sdtContent>
                  </w:sdt>
                </w:tc>
                <w:tc>
                  <w:tcPr>
                    <w:tcW w:w="780" w:type="dxa"/>
                    <w:tcBorders>
                      <w:top w:val="single" w:color="auto" w:sz="4" w:space="0"/>
                      <w:left w:val="single" w:color="auto" w:sz="4" w:space="0"/>
                      <w:right w:val="single" w:color="auto" w:sz="4" w:space="0"/>
                    </w:tcBorders>
                    <w:vAlign w:val="center"/>
                  </w:tcPr>
                  <w:sdt>
                    <w:sdtPr>
                      <w:tag w:val="_PLD_d66ebd59f659426db31ba0d488ae47d0"/>
                      <w:id w:val="6524"/>
                    </w:sdtPr>
                    <w:sdtContent>
                      <w:p>
                        <w:pPr>
                          <w:adjustRightInd w:val="0"/>
                          <w:snapToGrid w:val="0"/>
                          <w:jc w:val="center"/>
                          <w:rPr>
                            <w:sz w:val="18"/>
                            <w:szCs w:val="18"/>
                          </w:rPr>
                        </w:pPr>
                        <w:r>
                          <w:rPr>
                            <w:rFonts w:hint="eastAsia"/>
                            <w:sz w:val="18"/>
                            <w:szCs w:val="18"/>
                          </w:rPr>
                          <w:t>永续债</w:t>
                        </w:r>
                      </w:p>
                    </w:sdtContent>
                  </w:sdt>
                </w:tc>
                <w:tc>
                  <w:tcPr>
                    <w:tcW w:w="510" w:type="dxa"/>
                    <w:tcBorders>
                      <w:top w:val="single" w:color="auto" w:sz="4" w:space="0"/>
                      <w:left w:val="single" w:color="auto" w:sz="4" w:space="0"/>
                    </w:tcBorders>
                    <w:vAlign w:val="center"/>
                  </w:tcPr>
                  <w:sdt>
                    <w:sdtPr>
                      <w:tag w:val="_PLD_997e05d9124249eeb1a10ac094efcb41"/>
                      <w:id w:val="6525"/>
                    </w:sdtPr>
                    <w:sdtContent>
                      <w:p>
                        <w:pPr>
                          <w:adjustRightInd w:val="0"/>
                          <w:snapToGrid w:val="0"/>
                          <w:jc w:val="center"/>
                          <w:rPr>
                            <w:sz w:val="18"/>
                            <w:szCs w:val="18"/>
                          </w:rPr>
                        </w:pPr>
                        <w:r>
                          <w:rPr>
                            <w:rFonts w:hint="eastAsia"/>
                            <w:sz w:val="18"/>
                            <w:szCs w:val="18"/>
                          </w:rPr>
                          <w:t>其他</w:t>
                        </w:r>
                      </w:p>
                    </w:sdtContent>
                  </w:sdt>
                </w:tc>
                <w:tc>
                  <w:tcPr>
                    <w:tcW w:w="1530" w:type="dxa"/>
                    <w:vMerge w:val="continue"/>
                    <w:vAlign w:val="center"/>
                  </w:tcPr>
                  <w:p>
                    <w:pPr>
                      <w:adjustRightInd w:val="0"/>
                      <w:snapToGrid w:val="0"/>
                      <w:jc w:val="center"/>
                      <w:rPr>
                        <w:sz w:val="18"/>
                        <w:szCs w:val="18"/>
                      </w:rPr>
                    </w:pPr>
                  </w:p>
                </w:tc>
                <w:tc>
                  <w:tcPr>
                    <w:tcW w:w="735" w:type="dxa"/>
                    <w:vMerge w:val="continue"/>
                    <w:vAlign w:val="center"/>
                  </w:tcPr>
                  <w:p>
                    <w:pPr>
                      <w:adjustRightInd w:val="0"/>
                      <w:snapToGrid w:val="0"/>
                      <w:jc w:val="center"/>
                      <w:rPr>
                        <w:sz w:val="18"/>
                        <w:szCs w:val="18"/>
                      </w:rPr>
                    </w:pPr>
                  </w:p>
                </w:tc>
                <w:tc>
                  <w:tcPr>
                    <w:tcW w:w="795" w:type="dxa"/>
                    <w:vMerge w:val="continue"/>
                    <w:vAlign w:val="center"/>
                  </w:tcPr>
                  <w:p>
                    <w:pPr>
                      <w:jc w:val="center"/>
                      <w:rPr>
                        <w:sz w:val="18"/>
                        <w:szCs w:val="18"/>
                      </w:rPr>
                    </w:pPr>
                  </w:p>
                </w:tc>
                <w:tc>
                  <w:tcPr>
                    <w:tcW w:w="660" w:type="dxa"/>
                    <w:vMerge w:val="continue"/>
                    <w:vAlign w:val="center"/>
                  </w:tcPr>
                  <w:p>
                    <w:pPr>
                      <w:adjustRightInd w:val="0"/>
                      <w:snapToGrid w:val="0"/>
                      <w:jc w:val="center"/>
                      <w:rPr>
                        <w:sz w:val="18"/>
                        <w:szCs w:val="18"/>
                      </w:rPr>
                    </w:pPr>
                  </w:p>
                </w:tc>
                <w:tc>
                  <w:tcPr>
                    <w:tcW w:w="1560" w:type="dxa"/>
                    <w:vMerge w:val="continue"/>
                    <w:vAlign w:val="center"/>
                  </w:tcPr>
                  <w:p>
                    <w:pPr>
                      <w:adjustRightInd w:val="0"/>
                      <w:snapToGrid w:val="0"/>
                      <w:jc w:val="center"/>
                      <w:rPr>
                        <w:sz w:val="18"/>
                        <w:szCs w:val="18"/>
                      </w:rPr>
                    </w:pPr>
                  </w:p>
                </w:tc>
                <w:tc>
                  <w:tcPr>
                    <w:tcW w:w="1740" w:type="dxa"/>
                    <w:vMerge w:val="continue"/>
                    <w:vAlign w:val="center"/>
                  </w:tcPr>
                  <w:p>
                    <w:pPr>
                      <w:adjustRightInd w:val="0"/>
                      <w:snapToGrid w:val="0"/>
                      <w:jc w:val="center"/>
                      <w:rPr>
                        <w:sz w:val="18"/>
                        <w:szCs w:val="18"/>
                      </w:rPr>
                    </w:pPr>
                  </w:p>
                </w:tc>
                <w:tc>
                  <w:tcPr>
                    <w:tcW w:w="1730" w:type="dxa"/>
                    <w:vMerge w:val="continue"/>
                    <w:vAlign w:val="center"/>
                  </w:tcPr>
                  <w:p>
                    <w:pPr>
                      <w:adjustRightInd w:val="0"/>
                      <w:snapToGrid w:val="0"/>
                      <w:jc w:val="center"/>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sz w:val="18"/>
                        <w:szCs w:val="18"/>
                      </w:rPr>
                      <w:t>一、上年</w:t>
                    </w:r>
                    <w:r>
                      <w:rPr>
                        <w:rFonts w:hint="eastAsia"/>
                        <w:sz w:val="18"/>
                        <w:szCs w:val="18"/>
                      </w:rPr>
                      <w:t>年</w:t>
                    </w:r>
                    <w:r>
                      <w:rPr>
                        <w:sz w:val="18"/>
                        <w:szCs w:val="18"/>
                      </w:rPr>
                      <w:t>末余额</w:t>
                    </w:r>
                  </w:p>
                </w:tc>
                <w:tc>
                  <w:tcPr>
                    <w:tcW w:w="1350" w:type="dxa"/>
                    <w:tcBorders>
                      <w:right w:val="single" w:color="auto" w:sz="4" w:space="0"/>
                    </w:tcBorders>
                    <w:vAlign w:val="center"/>
                  </w:tcPr>
                  <w:p>
                    <w:pPr>
                      <w:jc w:val="right"/>
                      <w:rPr>
                        <w:sz w:val="18"/>
                        <w:szCs w:val="18"/>
                      </w:rPr>
                    </w:pPr>
                    <w:r>
                      <w:rPr>
                        <w:rFonts w:hint="eastAsia"/>
                        <w:color w:val="auto"/>
                        <w:sz w:val="18"/>
                        <w:szCs w:val="18"/>
                      </w:rPr>
                      <w:t>550,000,000.00</w:t>
                    </w: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right w:val="single" w:color="auto" w:sz="4" w:space="0"/>
                    </w:tcBorders>
                    <w:vAlign w:val="center"/>
                  </w:tcPr>
                  <w:p>
                    <w:pPr>
                      <w:jc w:val="right"/>
                      <w:rPr>
                        <w:sz w:val="18"/>
                        <w:szCs w:val="18"/>
                      </w:rPr>
                    </w:pPr>
                  </w:p>
                </w:tc>
                <w:tc>
                  <w:tcPr>
                    <w:tcW w:w="1530" w:type="dxa"/>
                    <w:tcBorders>
                      <w:left w:val="single" w:color="auto" w:sz="4" w:space="0"/>
                    </w:tcBorders>
                    <w:vAlign w:val="center"/>
                  </w:tcPr>
                  <w:p>
                    <w:pPr>
                      <w:jc w:val="right"/>
                      <w:rPr>
                        <w:sz w:val="18"/>
                        <w:szCs w:val="18"/>
                      </w:rPr>
                    </w:pPr>
                    <w:r>
                      <w:rPr>
                        <w:rFonts w:hint="eastAsia"/>
                        <w:color w:val="auto"/>
                        <w:sz w:val="18"/>
                        <w:szCs w:val="18"/>
                      </w:rPr>
                      <w:t>579,271,389.07</w:t>
                    </w: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r>
                      <w:rPr>
                        <w:rFonts w:hint="eastAsia"/>
                        <w:color w:val="auto"/>
                        <w:sz w:val="18"/>
                        <w:szCs w:val="18"/>
                      </w:rPr>
                      <w:t>223,870,112.55</w:t>
                    </w:r>
                  </w:p>
                </w:tc>
                <w:tc>
                  <w:tcPr>
                    <w:tcW w:w="1740" w:type="dxa"/>
                    <w:vAlign w:val="center"/>
                  </w:tcPr>
                  <w:p>
                    <w:pPr>
                      <w:jc w:val="right"/>
                      <w:rPr>
                        <w:sz w:val="18"/>
                        <w:szCs w:val="18"/>
                      </w:rPr>
                    </w:pPr>
                    <w:r>
                      <w:rPr>
                        <w:rFonts w:hint="eastAsia"/>
                        <w:color w:val="auto"/>
                        <w:sz w:val="18"/>
                        <w:szCs w:val="18"/>
                      </w:rPr>
                      <w:t>702,652,165.71</w:t>
                    </w:r>
                  </w:p>
                </w:tc>
                <w:tc>
                  <w:tcPr>
                    <w:tcW w:w="1730" w:type="dxa"/>
                    <w:vAlign w:val="center"/>
                  </w:tcPr>
                  <w:p>
                    <w:pPr>
                      <w:jc w:val="right"/>
                      <w:rPr>
                        <w:sz w:val="18"/>
                        <w:szCs w:val="18"/>
                      </w:rPr>
                    </w:pPr>
                    <w:r>
                      <w:rPr>
                        <w:rFonts w:hint="eastAsia"/>
                        <w:color w:val="auto"/>
                        <w:sz w:val="18"/>
                        <w:szCs w:val="18"/>
                      </w:rPr>
                      <w:t>2,055,793,667.33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sz w:val="18"/>
                        <w:szCs w:val="18"/>
                      </w:rPr>
                      <w:t>加：会计政策变更</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right w:val="single" w:color="auto" w:sz="4" w:space="0"/>
                    </w:tcBorders>
                    <w:vAlign w:val="center"/>
                  </w:tcPr>
                  <w:p>
                    <w:pPr>
                      <w:jc w:val="right"/>
                      <w:rPr>
                        <w:sz w:val="18"/>
                        <w:szCs w:val="18"/>
                      </w:rPr>
                    </w:pPr>
                  </w:p>
                </w:tc>
                <w:tc>
                  <w:tcPr>
                    <w:tcW w:w="1530" w:type="dxa"/>
                    <w:tcBorders>
                      <w:left w:val="single" w:color="auto" w:sz="4" w:space="0"/>
                    </w:tcBorders>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ind w:firstLine="360" w:firstLineChars="200"/>
                      <w:rPr>
                        <w:sz w:val="18"/>
                        <w:szCs w:val="18"/>
                      </w:rPr>
                    </w:pPr>
                    <w:r>
                      <w:rPr>
                        <w:sz w:val="18"/>
                        <w:szCs w:val="18"/>
                      </w:rPr>
                      <w:t>前期差错更正</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right w:val="single" w:color="auto" w:sz="4" w:space="0"/>
                    </w:tcBorders>
                    <w:vAlign w:val="center"/>
                  </w:tcPr>
                  <w:p>
                    <w:pPr>
                      <w:jc w:val="right"/>
                      <w:rPr>
                        <w:sz w:val="18"/>
                        <w:szCs w:val="18"/>
                      </w:rPr>
                    </w:pPr>
                  </w:p>
                </w:tc>
                <w:tc>
                  <w:tcPr>
                    <w:tcW w:w="1530" w:type="dxa"/>
                    <w:tcBorders>
                      <w:left w:val="single" w:color="auto" w:sz="4" w:space="0"/>
                    </w:tcBorders>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ind w:firstLine="360" w:firstLineChars="200"/>
                      <w:rPr>
                        <w:sz w:val="18"/>
                        <w:szCs w:val="18"/>
                      </w:rPr>
                    </w:pPr>
                    <w:r>
                      <w:rPr>
                        <w:rFonts w:hint="eastAsia"/>
                        <w:sz w:val="18"/>
                        <w:szCs w:val="18"/>
                      </w:rPr>
                      <w:t>其他</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right w:val="single" w:color="auto" w:sz="4" w:space="0"/>
                    </w:tcBorders>
                    <w:vAlign w:val="center"/>
                  </w:tcPr>
                  <w:p>
                    <w:pPr>
                      <w:jc w:val="right"/>
                      <w:rPr>
                        <w:sz w:val="18"/>
                        <w:szCs w:val="18"/>
                      </w:rPr>
                    </w:pPr>
                  </w:p>
                </w:tc>
                <w:tc>
                  <w:tcPr>
                    <w:tcW w:w="1530" w:type="dxa"/>
                    <w:tcBorders>
                      <w:left w:val="single" w:color="auto" w:sz="4" w:space="0"/>
                    </w:tcBorders>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sz w:val="18"/>
                        <w:szCs w:val="18"/>
                      </w:rPr>
                      <w:t>二、本年</w:t>
                    </w:r>
                    <w:r>
                      <w:rPr>
                        <w:rFonts w:hint="eastAsia"/>
                        <w:sz w:val="18"/>
                        <w:szCs w:val="18"/>
                      </w:rPr>
                      <w:t>期</w:t>
                    </w:r>
                    <w:r>
                      <w:rPr>
                        <w:sz w:val="18"/>
                        <w:szCs w:val="18"/>
                      </w:rPr>
                      <w:t>初余额</w:t>
                    </w:r>
                  </w:p>
                </w:tc>
                <w:tc>
                  <w:tcPr>
                    <w:tcW w:w="1350" w:type="dxa"/>
                    <w:tcBorders>
                      <w:right w:val="single" w:color="auto" w:sz="4" w:space="0"/>
                    </w:tcBorders>
                    <w:vAlign w:val="center"/>
                  </w:tcPr>
                  <w:p>
                    <w:pPr>
                      <w:jc w:val="right"/>
                      <w:rPr>
                        <w:sz w:val="18"/>
                        <w:szCs w:val="18"/>
                      </w:rPr>
                    </w:pPr>
                    <w:r>
                      <w:rPr>
                        <w:rFonts w:hint="eastAsia"/>
                        <w:color w:val="auto"/>
                        <w:sz w:val="18"/>
                        <w:szCs w:val="18"/>
                      </w:rPr>
                      <w:t>550,000,000.00</w:t>
                    </w: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right w:val="single" w:color="auto" w:sz="4" w:space="0"/>
                    </w:tcBorders>
                    <w:vAlign w:val="center"/>
                  </w:tcPr>
                  <w:p>
                    <w:pPr>
                      <w:jc w:val="right"/>
                      <w:rPr>
                        <w:sz w:val="18"/>
                        <w:szCs w:val="18"/>
                      </w:rPr>
                    </w:pPr>
                  </w:p>
                </w:tc>
                <w:tc>
                  <w:tcPr>
                    <w:tcW w:w="1530" w:type="dxa"/>
                    <w:tcBorders>
                      <w:left w:val="single" w:color="auto" w:sz="4" w:space="0"/>
                    </w:tcBorders>
                    <w:vAlign w:val="center"/>
                  </w:tcPr>
                  <w:p>
                    <w:pPr>
                      <w:jc w:val="right"/>
                      <w:rPr>
                        <w:sz w:val="18"/>
                        <w:szCs w:val="18"/>
                      </w:rPr>
                    </w:pPr>
                    <w:r>
                      <w:rPr>
                        <w:rFonts w:hint="eastAsia"/>
                        <w:color w:val="auto"/>
                        <w:sz w:val="18"/>
                        <w:szCs w:val="18"/>
                      </w:rPr>
                      <w:t>579,271,389.07</w:t>
                    </w: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r>
                      <w:rPr>
                        <w:rFonts w:hint="eastAsia"/>
                        <w:color w:val="auto"/>
                        <w:sz w:val="18"/>
                        <w:szCs w:val="18"/>
                      </w:rPr>
                      <w:t>223,870,112.55</w:t>
                    </w:r>
                  </w:p>
                </w:tc>
                <w:tc>
                  <w:tcPr>
                    <w:tcW w:w="1740" w:type="dxa"/>
                    <w:vAlign w:val="center"/>
                  </w:tcPr>
                  <w:p>
                    <w:pPr>
                      <w:jc w:val="right"/>
                      <w:rPr>
                        <w:sz w:val="18"/>
                        <w:szCs w:val="18"/>
                      </w:rPr>
                    </w:pPr>
                    <w:r>
                      <w:rPr>
                        <w:rFonts w:hint="eastAsia"/>
                        <w:color w:val="auto"/>
                        <w:sz w:val="18"/>
                        <w:szCs w:val="18"/>
                      </w:rPr>
                      <w:t>702,652,165.71</w:t>
                    </w:r>
                  </w:p>
                </w:tc>
                <w:tc>
                  <w:tcPr>
                    <w:tcW w:w="1730" w:type="dxa"/>
                    <w:vAlign w:val="center"/>
                  </w:tcPr>
                  <w:p>
                    <w:pPr>
                      <w:jc w:val="right"/>
                      <w:rPr>
                        <w:sz w:val="18"/>
                        <w:szCs w:val="18"/>
                      </w:rPr>
                    </w:pPr>
                    <w:r>
                      <w:rPr>
                        <w:rFonts w:hint="eastAsia"/>
                        <w:color w:val="auto"/>
                        <w:sz w:val="18"/>
                        <w:szCs w:val="18"/>
                      </w:rPr>
                      <w:t>2,055,793,667.33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sz w:val="18"/>
                        <w:szCs w:val="18"/>
                      </w:rPr>
                      <w:t>三、本</w:t>
                    </w:r>
                    <w:r>
                      <w:rPr>
                        <w:rFonts w:hint="eastAsia"/>
                        <w:sz w:val="18"/>
                        <w:szCs w:val="18"/>
                      </w:rPr>
                      <w:t>期</w:t>
                    </w:r>
                    <w:r>
                      <w:rPr>
                        <w:sz w:val="18"/>
                        <w:szCs w:val="18"/>
                      </w:rPr>
                      <w:t>增减变动金额（减少以“－”号填列）</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r>
                      <w:rPr>
                        <w:rFonts w:hint="eastAsia"/>
                        <w:color w:val="auto"/>
                        <w:sz w:val="18"/>
                        <w:szCs w:val="18"/>
                      </w:rPr>
                      <w:t>-25,493,503.55</w:t>
                    </w:r>
                  </w:p>
                </w:tc>
                <w:tc>
                  <w:tcPr>
                    <w:tcW w:w="1730" w:type="dxa"/>
                    <w:vAlign w:val="center"/>
                  </w:tcPr>
                  <w:p>
                    <w:pPr>
                      <w:jc w:val="right"/>
                      <w:rPr>
                        <w:sz w:val="18"/>
                        <w:szCs w:val="18"/>
                      </w:rPr>
                    </w:pPr>
                    <w:r>
                      <w:rPr>
                        <w:rFonts w:hint="eastAsia"/>
                        <w:color w:val="auto"/>
                        <w:sz w:val="18"/>
                        <w:szCs w:val="18"/>
                      </w:rPr>
                      <w:t>-25,493,503.55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rFonts w:hint="eastAsia"/>
                        <w:sz w:val="18"/>
                        <w:szCs w:val="18"/>
                      </w:rPr>
                      <w:t>（一）综合收益总额</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r>
                      <w:rPr>
                        <w:rFonts w:hint="eastAsia"/>
                        <w:color w:val="auto"/>
                        <w:sz w:val="18"/>
                        <w:szCs w:val="18"/>
                      </w:rPr>
                      <w:t>-8,993,503.55</w:t>
                    </w:r>
                  </w:p>
                </w:tc>
                <w:tc>
                  <w:tcPr>
                    <w:tcW w:w="1730" w:type="dxa"/>
                    <w:vAlign w:val="center"/>
                  </w:tcPr>
                  <w:p>
                    <w:pPr>
                      <w:jc w:val="right"/>
                      <w:rPr>
                        <w:rFonts w:hint="eastAsia" w:eastAsia="宋体"/>
                        <w:sz w:val="18"/>
                        <w:szCs w:val="18"/>
                        <w:lang w:eastAsia="zh-CN"/>
                      </w:rPr>
                    </w:pPr>
                    <w:r>
                      <w:rPr>
                        <w:rFonts w:hint="eastAsia"/>
                        <w:color w:val="auto"/>
                        <w:sz w:val="18"/>
                        <w:szCs w:val="18"/>
                        <w:lang w:eastAsia="zh-CN"/>
                      </w:rPr>
                      <w:t>-8,993,503.55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sz w:val="18"/>
                        <w:szCs w:val="18"/>
                      </w:rPr>
                      <w:t>（</w:t>
                    </w:r>
                    <w:r>
                      <w:rPr>
                        <w:rFonts w:hint="eastAsia"/>
                        <w:sz w:val="18"/>
                        <w:szCs w:val="18"/>
                      </w:rPr>
                      <w:t>二</w:t>
                    </w:r>
                    <w:r>
                      <w:rPr>
                        <w:sz w:val="18"/>
                        <w:szCs w:val="18"/>
                      </w:rPr>
                      <w:t>）所有者投入和减少资本</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rFonts w:hint="eastAsia"/>
                        <w:sz w:val="18"/>
                        <w:szCs w:val="18"/>
                      </w:rPr>
                      <w:t>1．所有者投入的普通股</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rFonts w:hint="eastAsia"/>
                        <w:sz w:val="18"/>
                        <w:szCs w:val="18"/>
                      </w:rPr>
                      <w:t>2．其他权益工具持有者投入资本</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1895" w:type="dxa"/>
                    <w:vAlign w:val="center"/>
                  </w:tcPr>
                  <w:p>
                    <w:pPr>
                      <w:rPr>
                        <w:sz w:val="18"/>
                        <w:szCs w:val="18"/>
                      </w:rPr>
                    </w:pPr>
                    <w:r>
                      <w:rPr>
                        <w:rFonts w:hint="eastAsia"/>
                        <w:sz w:val="18"/>
                        <w:szCs w:val="18"/>
                      </w:rPr>
                      <w:t>3</w:t>
                    </w:r>
                    <w:r>
                      <w:rPr>
                        <w:sz w:val="18"/>
                        <w:szCs w:val="18"/>
                      </w:rPr>
                      <w:t>．股份支付计入所有者权益的金额</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rFonts w:hint="eastAsia"/>
                        <w:sz w:val="18"/>
                        <w:szCs w:val="18"/>
                      </w:rPr>
                      <w:t>4</w:t>
                    </w:r>
                    <w:r>
                      <w:rPr>
                        <w:sz w:val="18"/>
                        <w:szCs w:val="18"/>
                      </w:rPr>
                      <w:t>．其他</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sz w:val="18"/>
                        <w:szCs w:val="18"/>
                      </w:rPr>
                      <w:t>（</w:t>
                    </w:r>
                    <w:r>
                      <w:rPr>
                        <w:rFonts w:hint="eastAsia"/>
                        <w:sz w:val="18"/>
                        <w:szCs w:val="18"/>
                      </w:rPr>
                      <w:t>三</w:t>
                    </w:r>
                    <w:r>
                      <w:rPr>
                        <w:sz w:val="18"/>
                        <w:szCs w:val="18"/>
                      </w:rPr>
                      <w:t>）利润分配</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r>
                      <w:rPr>
                        <w:rFonts w:hint="eastAsia"/>
                        <w:color w:val="auto"/>
                        <w:sz w:val="18"/>
                        <w:szCs w:val="18"/>
                      </w:rPr>
                      <w:t>-16,500,000.00</w:t>
                    </w:r>
                  </w:p>
                </w:tc>
                <w:tc>
                  <w:tcPr>
                    <w:tcW w:w="1730" w:type="dxa"/>
                    <w:vAlign w:val="center"/>
                  </w:tcPr>
                  <w:p>
                    <w:pPr>
                      <w:jc w:val="right"/>
                      <w:rPr>
                        <w:sz w:val="18"/>
                        <w:szCs w:val="18"/>
                      </w:rPr>
                    </w:pPr>
                    <w:r>
                      <w:rPr>
                        <w:rFonts w:hint="eastAsia"/>
                        <w:color w:val="auto"/>
                        <w:sz w:val="18"/>
                        <w:szCs w:val="18"/>
                      </w:rPr>
                      <w:t>-16,500,000.00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sz w:val="18"/>
                        <w:szCs w:val="18"/>
                      </w:rPr>
                      <w:t>1．提取盈余公积</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rFonts w:hint="eastAsia"/>
                        <w:sz w:val="18"/>
                        <w:szCs w:val="18"/>
                      </w:rPr>
                      <w:t>2</w:t>
                    </w:r>
                    <w:r>
                      <w:rPr>
                        <w:sz w:val="18"/>
                        <w:szCs w:val="18"/>
                      </w:rPr>
                      <w:t>．对所有者（或股东）的分配</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r>
                      <w:rPr>
                        <w:rFonts w:hint="eastAsia"/>
                        <w:color w:val="auto"/>
                        <w:sz w:val="18"/>
                        <w:szCs w:val="18"/>
                      </w:rPr>
                      <w:t>-16,500,000.00</w:t>
                    </w:r>
                  </w:p>
                </w:tc>
                <w:tc>
                  <w:tcPr>
                    <w:tcW w:w="1730" w:type="dxa"/>
                    <w:vAlign w:val="center"/>
                  </w:tcPr>
                  <w:p>
                    <w:pPr>
                      <w:jc w:val="right"/>
                      <w:rPr>
                        <w:sz w:val="18"/>
                        <w:szCs w:val="18"/>
                      </w:rPr>
                    </w:pPr>
                    <w:r>
                      <w:rPr>
                        <w:rFonts w:hint="eastAsia"/>
                        <w:color w:val="auto"/>
                        <w:sz w:val="18"/>
                        <w:szCs w:val="18"/>
                      </w:rPr>
                      <w:t>-16,500,000.00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rFonts w:hint="eastAsia"/>
                        <w:sz w:val="18"/>
                        <w:szCs w:val="18"/>
                      </w:rPr>
                      <w:t>3</w:t>
                    </w:r>
                    <w:r>
                      <w:rPr>
                        <w:sz w:val="18"/>
                        <w:szCs w:val="18"/>
                      </w:rPr>
                      <w:t>．其他</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sz w:val="18"/>
                        <w:szCs w:val="18"/>
                      </w:rPr>
                      <w:t>（</w:t>
                    </w:r>
                    <w:r>
                      <w:rPr>
                        <w:rFonts w:hint="eastAsia"/>
                        <w:sz w:val="18"/>
                        <w:szCs w:val="18"/>
                      </w:rPr>
                      <w:t>四</w:t>
                    </w:r>
                    <w:r>
                      <w:rPr>
                        <w:sz w:val="18"/>
                        <w:szCs w:val="18"/>
                      </w:rPr>
                      <w:t>）所有者权益内部结转</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sz w:val="18"/>
                        <w:szCs w:val="18"/>
                      </w:rPr>
                      <w:t>1．资本公积转增资本（或股本）</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sz w:val="18"/>
                        <w:szCs w:val="18"/>
                      </w:rPr>
                      <w:t>2．盈余公积转增资本（或股本）</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sz w:val="18"/>
                        <w:szCs w:val="18"/>
                      </w:rPr>
                      <w:t>3．盈余公积弥补亏损</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r>
                      <w:rPr>
                        <w:sz w:val="18"/>
                        <w:szCs w:val="18"/>
                      </w:rPr>
                      <w:t>4．设定受益计划变动额结转留存收益</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sz w:val="18"/>
                        <w:szCs w:val="18"/>
                      </w:rPr>
                      <w:t>5．其他综合收益结转留存收益</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r>
                      <w:rPr>
                        <w:sz w:val="18"/>
                        <w:szCs w:val="18"/>
                      </w:rPr>
                      <w:t>6．其他</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rFonts w:hint="eastAsia"/>
                        <w:sz w:val="18"/>
                        <w:szCs w:val="18"/>
                      </w:rPr>
                      <w:t>（五）专项储备</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rFonts w:hint="eastAsia"/>
                        <w:sz w:val="18"/>
                        <w:szCs w:val="18"/>
                      </w:rPr>
                      <w:t>1．本期提取</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rFonts w:hint="eastAsia"/>
                        <w:sz w:val="18"/>
                        <w:szCs w:val="18"/>
                      </w:rPr>
                      <w:t>2．本期使用</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rFonts w:hint="eastAsia"/>
                        <w:sz w:val="18"/>
                        <w:szCs w:val="18"/>
                      </w:rPr>
                      <w:t>（六）其他</w:t>
                    </w:r>
                  </w:p>
                </w:tc>
                <w:tc>
                  <w:tcPr>
                    <w:tcW w:w="1350" w:type="dxa"/>
                    <w:tcBorders>
                      <w:right w:val="single" w:color="auto" w:sz="4" w:space="0"/>
                    </w:tcBorders>
                    <w:vAlign w:val="center"/>
                  </w:tcPr>
                  <w:p>
                    <w:pPr>
                      <w:jc w:val="right"/>
                      <w:rPr>
                        <w:sz w:val="18"/>
                        <w:szCs w:val="18"/>
                      </w:rPr>
                    </w:pP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p>
                </w:tc>
                <w:tc>
                  <w:tcPr>
                    <w:tcW w:w="1740" w:type="dxa"/>
                    <w:vAlign w:val="center"/>
                  </w:tcPr>
                  <w:p>
                    <w:pPr>
                      <w:jc w:val="right"/>
                      <w:rPr>
                        <w:sz w:val="18"/>
                        <w:szCs w:val="18"/>
                      </w:rPr>
                    </w:pPr>
                  </w:p>
                </w:tc>
                <w:tc>
                  <w:tcPr>
                    <w:tcW w:w="1730" w:type="dxa"/>
                    <w:vAlign w:val="center"/>
                  </w:tcPr>
                  <w:p>
                    <w:pPr>
                      <w:jc w:val="right"/>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895" w:type="dxa"/>
                    <w:vAlign w:val="center"/>
                  </w:tcPr>
                  <w:p>
                    <w:pPr>
                      <w:rPr>
                        <w:sz w:val="18"/>
                        <w:szCs w:val="18"/>
                      </w:rPr>
                    </w:pPr>
                    <w:r>
                      <w:rPr>
                        <w:sz w:val="18"/>
                        <w:szCs w:val="18"/>
                      </w:rPr>
                      <w:t>四、本期期末余额</w:t>
                    </w:r>
                  </w:p>
                </w:tc>
                <w:tc>
                  <w:tcPr>
                    <w:tcW w:w="1350" w:type="dxa"/>
                    <w:tcBorders>
                      <w:right w:val="single" w:color="auto" w:sz="4" w:space="0"/>
                    </w:tcBorders>
                    <w:vAlign w:val="center"/>
                  </w:tcPr>
                  <w:p>
                    <w:pPr>
                      <w:jc w:val="right"/>
                      <w:rPr>
                        <w:sz w:val="18"/>
                        <w:szCs w:val="18"/>
                      </w:rPr>
                    </w:pPr>
                    <w:r>
                      <w:rPr>
                        <w:rFonts w:hint="eastAsia"/>
                        <w:color w:val="auto"/>
                        <w:sz w:val="18"/>
                        <w:szCs w:val="18"/>
                      </w:rPr>
                      <w:t>550,000,000.00</w:t>
                    </w:r>
                  </w:p>
                </w:tc>
                <w:tc>
                  <w:tcPr>
                    <w:tcW w:w="675" w:type="dxa"/>
                    <w:tcBorders>
                      <w:left w:val="single" w:color="auto" w:sz="4" w:space="0"/>
                      <w:right w:val="single" w:color="auto" w:sz="4" w:space="0"/>
                    </w:tcBorders>
                    <w:vAlign w:val="center"/>
                  </w:tcPr>
                  <w:p>
                    <w:pPr>
                      <w:jc w:val="right"/>
                      <w:rPr>
                        <w:sz w:val="18"/>
                        <w:szCs w:val="18"/>
                      </w:rPr>
                    </w:pPr>
                  </w:p>
                </w:tc>
                <w:tc>
                  <w:tcPr>
                    <w:tcW w:w="780" w:type="dxa"/>
                    <w:tcBorders>
                      <w:left w:val="single" w:color="auto" w:sz="4" w:space="0"/>
                      <w:right w:val="single" w:color="auto" w:sz="4" w:space="0"/>
                    </w:tcBorders>
                    <w:vAlign w:val="center"/>
                  </w:tcPr>
                  <w:p>
                    <w:pPr>
                      <w:jc w:val="right"/>
                      <w:rPr>
                        <w:sz w:val="18"/>
                        <w:szCs w:val="18"/>
                      </w:rPr>
                    </w:pPr>
                  </w:p>
                </w:tc>
                <w:tc>
                  <w:tcPr>
                    <w:tcW w:w="510" w:type="dxa"/>
                    <w:tcBorders>
                      <w:left w:val="single" w:color="auto" w:sz="4" w:space="0"/>
                    </w:tcBorders>
                    <w:vAlign w:val="center"/>
                  </w:tcPr>
                  <w:p>
                    <w:pPr>
                      <w:jc w:val="right"/>
                      <w:rPr>
                        <w:sz w:val="18"/>
                        <w:szCs w:val="18"/>
                      </w:rPr>
                    </w:pPr>
                  </w:p>
                </w:tc>
                <w:tc>
                  <w:tcPr>
                    <w:tcW w:w="1530" w:type="dxa"/>
                    <w:vAlign w:val="center"/>
                  </w:tcPr>
                  <w:p>
                    <w:pPr>
                      <w:jc w:val="right"/>
                      <w:rPr>
                        <w:sz w:val="18"/>
                        <w:szCs w:val="18"/>
                      </w:rPr>
                    </w:pPr>
                    <w:r>
                      <w:rPr>
                        <w:rFonts w:hint="eastAsia"/>
                        <w:color w:val="auto"/>
                        <w:sz w:val="18"/>
                        <w:szCs w:val="18"/>
                      </w:rPr>
                      <w:t>579,271,389.07</w:t>
                    </w:r>
                  </w:p>
                </w:tc>
                <w:tc>
                  <w:tcPr>
                    <w:tcW w:w="735" w:type="dxa"/>
                    <w:vAlign w:val="center"/>
                  </w:tcPr>
                  <w:p>
                    <w:pPr>
                      <w:jc w:val="right"/>
                      <w:rPr>
                        <w:sz w:val="18"/>
                        <w:szCs w:val="18"/>
                      </w:rPr>
                    </w:pPr>
                  </w:p>
                </w:tc>
                <w:tc>
                  <w:tcPr>
                    <w:tcW w:w="795" w:type="dxa"/>
                    <w:vAlign w:val="center"/>
                  </w:tcPr>
                  <w:p>
                    <w:pPr>
                      <w:jc w:val="right"/>
                      <w:rPr>
                        <w:sz w:val="18"/>
                        <w:szCs w:val="18"/>
                      </w:rPr>
                    </w:pPr>
                  </w:p>
                </w:tc>
                <w:tc>
                  <w:tcPr>
                    <w:tcW w:w="660" w:type="dxa"/>
                    <w:vAlign w:val="center"/>
                  </w:tcPr>
                  <w:p>
                    <w:pPr>
                      <w:jc w:val="right"/>
                      <w:rPr>
                        <w:sz w:val="18"/>
                        <w:szCs w:val="18"/>
                      </w:rPr>
                    </w:pPr>
                  </w:p>
                </w:tc>
                <w:tc>
                  <w:tcPr>
                    <w:tcW w:w="1560" w:type="dxa"/>
                    <w:vAlign w:val="center"/>
                  </w:tcPr>
                  <w:p>
                    <w:pPr>
                      <w:jc w:val="right"/>
                      <w:rPr>
                        <w:sz w:val="18"/>
                        <w:szCs w:val="18"/>
                      </w:rPr>
                    </w:pPr>
                    <w:r>
                      <w:rPr>
                        <w:rFonts w:hint="eastAsia"/>
                        <w:color w:val="auto"/>
                        <w:sz w:val="18"/>
                        <w:szCs w:val="18"/>
                      </w:rPr>
                      <w:t>223,870,112.55</w:t>
                    </w:r>
                  </w:p>
                </w:tc>
                <w:tc>
                  <w:tcPr>
                    <w:tcW w:w="1740" w:type="dxa"/>
                    <w:vAlign w:val="center"/>
                  </w:tcPr>
                  <w:p>
                    <w:pPr>
                      <w:jc w:val="right"/>
                      <w:rPr>
                        <w:sz w:val="18"/>
                        <w:szCs w:val="18"/>
                      </w:rPr>
                    </w:pPr>
                    <w:r>
                      <w:rPr>
                        <w:rFonts w:hint="eastAsia"/>
                        <w:color w:val="auto"/>
                        <w:sz w:val="18"/>
                        <w:szCs w:val="18"/>
                      </w:rPr>
                      <w:t>677,158,662.16</w:t>
                    </w:r>
                  </w:p>
                </w:tc>
                <w:tc>
                  <w:tcPr>
                    <w:tcW w:w="1730" w:type="dxa"/>
                    <w:vAlign w:val="center"/>
                  </w:tcPr>
                  <w:p>
                    <w:pPr>
                      <w:jc w:val="right"/>
                      <w:rPr>
                        <w:sz w:val="18"/>
                        <w:szCs w:val="18"/>
                      </w:rPr>
                    </w:pPr>
                    <w:r>
                      <w:rPr>
                        <w:rFonts w:hint="eastAsia"/>
                        <w:color w:val="auto"/>
                        <w:sz w:val="18"/>
                        <w:szCs w:val="18"/>
                      </w:rPr>
                      <w:t>2,030,300,163.78</w:t>
                    </w:r>
                  </w:p>
                </w:tc>
              </w:tr>
            </w:tbl>
            <w:p>
              <w:pPr>
                <w:rPr>
                  <w:szCs w:val="21"/>
                </w:rPr>
              </w:pPr>
            </w:p>
            <w:p>
              <w:pPr>
                <w:rPr>
                  <w:szCs w:val="21"/>
                </w:rPr>
              </w:pPr>
            </w:p>
            <w:tbl>
              <w:tblPr>
                <w:tblStyle w:val="38"/>
                <w:tblW w:w="1414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50"/>
                <w:gridCol w:w="1320"/>
                <w:gridCol w:w="825"/>
                <w:gridCol w:w="825"/>
                <w:gridCol w:w="930"/>
                <w:gridCol w:w="1455"/>
                <w:gridCol w:w="975"/>
                <w:gridCol w:w="870"/>
                <w:gridCol w:w="615"/>
                <w:gridCol w:w="1470"/>
                <w:gridCol w:w="1470"/>
                <w:gridCol w:w="1299"/>
                <w:gridCol w:w="23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236" w:type="dxa"/>
                  <w:trHeight w:val="20" w:hRule="atLeast"/>
                </w:trPr>
                <w:tc>
                  <w:tcPr>
                    <w:tcW w:w="1850" w:type="dxa"/>
                    <w:vMerge w:val="restart"/>
                    <w:vAlign w:val="center"/>
                  </w:tcPr>
                  <w:sdt>
                    <w:sdtPr>
                      <w:tag w:val="_PLD_64a794ab75214f6d9d66748804bee4e8"/>
                      <w:id w:val="6526"/>
                    </w:sdtPr>
                    <w:sdtContent>
                      <w:p>
                        <w:pPr>
                          <w:adjustRightInd w:val="0"/>
                          <w:snapToGrid w:val="0"/>
                          <w:jc w:val="center"/>
                          <w:rPr>
                            <w:sz w:val="18"/>
                            <w:szCs w:val="18"/>
                          </w:rPr>
                        </w:pPr>
                        <w:r>
                          <w:rPr>
                            <w:rFonts w:hint="eastAsia"/>
                            <w:sz w:val="18"/>
                            <w:szCs w:val="18"/>
                          </w:rPr>
                          <w:t>项目</w:t>
                        </w:r>
                      </w:p>
                    </w:sdtContent>
                  </w:sdt>
                </w:tc>
                <w:tc>
                  <w:tcPr>
                    <w:tcW w:w="12054" w:type="dxa"/>
                    <w:gridSpan w:val="11"/>
                    <w:vAlign w:val="center"/>
                  </w:tcPr>
                  <w:p>
                    <w:pPr>
                      <w:adjustRightInd w:val="0"/>
                      <w:snapToGrid w:val="0"/>
                      <w:jc w:val="center"/>
                      <w:rPr>
                        <w:sz w:val="18"/>
                      </w:rPr>
                    </w:pPr>
                    <w:r>
                      <w:rPr>
                        <w:rFonts w:hint="eastAsia"/>
                        <w:sz w:val="18"/>
                      </w:rPr>
                      <w:t xml:space="preserve"> </w:t>
                    </w:r>
                    <w:sdt>
                      <w:sdtPr>
                        <w:tag w:val="_PLD_6226137cffd442dfb505b8cfe7d1f423"/>
                        <w:id w:val="6527"/>
                      </w:sdtPr>
                      <w:sdtContent>
                        <w:r>
                          <w:rPr>
                            <w:rFonts w:hint="eastAsia"/>
                            <w:sz w:val="18"/>
                          </w:rPr>
                          <w:t>2024年度</w:t>
                        </w:r>
                      </w:sdtContent>
                    </w:sdt>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5" w:hRule="atLeast"/>
                </w:trPr>
                <w:tc>
                  <w:tcPr>
                    <w:tcW w:w="1850" w:type="dxa"/>
                    <w:vMerge w:val="continue"/>
                    <w:vAlign w:val="center"/>
                  </w:tcPr>
                  <w:p>
                    <w:pPr>
                      <w:adjustRightInd w:val="0"/>
                      <w:snapToGrid w:val="0"/>
                      <w:rPr>
                        <w:sz w:val="18"/>
                        <w:szCs w:val="18"/>
                      </w:rPr>
                    </w:pPr>
                  </w:p>
                </w:tc>
                <w:tc>
                  <w:tcPr>
                    <w:tcW w:w="1320" w:type="dxa"/>
                    <w:vMerge w:val="restart"/>
                    <w:tcBorders>
                      <w:right w:val="single" w:color="auto" w:sz="4" w:space="0"/>
                    </w:tcBorders>
                    <w:vAlign w:val="center"/>
                  </w:tcPr>
                  <w:sdt>
                    <w:sdtPr>
                      <w:tag w:val="_PLD_e0e316f064db43a38ddec14c349b4dfa"/>
                      <w:id w:val="6528"/>
                    </w:sdtPr>
                    <w:sdtContent>
                      <w:p>
                        <w:pPr>
                          <w:adjustRightInd w:val="0"/>
                          <w:snapToGrid w:val="0"/>
                          <w:jc w:val="center"/>
                          <w:rPr>
                            <w:sz w:val="18"/>
                            <w:szCs w:val="18"/>
                          </w:rPr>
                        </w:pPr>
                        <w:r>
                          <w:rPr>
                            <w:sz w:val="18"/>
                            <w:szCs w:val="18"/>
                          </w:rPr>
                          <w:t>实收资本 (或股本)</w:t>
                        </w:r>
                      </w:p>
                    </w:sdtContent>
                  </w:sdt>
                </w:tc>
                <w:tc>
                  <w:tcPr>
                    <w:tcW w:w="2580" w:type="dxa"/>
                    <w:gridSpan w:val="3"/>
                    <w:tcBorders>
                      <w:left w:val="single" w:color="auto" w:sz="4" w:space="0"/>
                      <w:bottom w:val="single" w:color="auto" w:sz="4" w:space="0"/>
                    </w:tcBorders>
                    <w:vAlign w:val="center"/>
                  </w:tcPr>
                  <w:sdt>
                    <w:sdtPr>
                      <w:tag w:val="_PLD_2c82747108ee4c518651265b45dbebcd"/>
                      <w:id w:val="6529"/>
                    </w:sdtPr>
                    <w:sdtContent>
                      <w:p>
                        <w:pPr>
                          <w:adjustRightInd w:val="0"/>
                          <w:snapToGrid w:val="0"/>
                          <w:jc w:val="center"/>
                          <w:rPr>
                            <w:sz w:val="18"/>
                            <w:szCs w:val="18"/>
                          </w:rPr>
                        </w:pPr>
                        <w:r>
                          <w:rPr>
                            <w:rFonts w:hint="eastAsia"/>
                            <w:sz w:val="18"/>
                            <w:szCs w:val="18"/>
                          </w:rPr>
                          <w:t>其他权益工具</w:t>
                        </w:r>
                      </w:p>
                    </w:sdtContent>
                  </w:sdt>
                </w:tc>
                <w:tc>
                  <w:tcPr>
                    <w:tcW w:w="1455" w:type="dxa"/>
                    <w:vMerge w:val="restart"/>
                    <w:vAlign w:val="center"/>
                  </w:tcPr>
                  <w:sdt>
                    <w:sdtPr>
                      <w:tag w:val="_PLD_c459549b516242be83fce2e92cc794e6"/>
                      <w:id w:val="6530"/>
                    </w:sdtPr>
                    <w:sdtContent>
                      <w:p>
                        <w:pPr>
                          <w:adjustRightInd w:val="0"/>
                          <w:snapToGrid w:val="0"/>
                          <w:jc w:val="center"/>
                          <w:rPr>
                            <w:sz w:val="18"/>
                            <w:szCs w:val="18"/>
                          </w:rPr>
                        </w:pPr>
                        <w:r>
                          <w:rPr>
                            <w:sz w:val="18"/>
                            <w:szCs w:val="18"/>
                          </w:rPr>
                          <w:t>资本公积</w:t>
                        </w:r>
                      </w:p>
                    </w:sdtContent>
                  </w:sdt>
                </w:tc>
                <w:tc>
                  <w:tcPr>
                    <w:tcW w:w="975" w:type="dxa"/>
                    <w:vMerge w:val="restart"/>
                    <w:vAlign w:val="center"/>
                  </w:tcPr>
                  <w:sdt>
                    <w:sdtPr>
                      <w:tag w:val="_PLD_9979085a666a4b7a9ee698268b0bb615"/>
                      <w:id w:val="6531"/>
                    </w:sdtPr>
                    <w:sdtContent>
                      <w:p>
                        <w:pPr>
                          <w:adjustRightInd w:val="0"/>
                          <w:snapToGrid w:val="0"/>
                          <w:jc w:val="center"/>
                          <w:rPr>
                            <w:sz w:val="18"/>
                            <w:szCs w:val="18"/>
                          </w:rPr>
                        </w:pPr>
                        <w:r>
                          <w:rPr>
                            <w:sz w:val="18"/>
                            <w:szCs w:val="18"/>
                          </w:rPr>
                          <w:t>减：库存股</w:t>
                        </w:r>
                      </w:p>
                    </w:sdtContent>
                  </w:sdt>
                </w:tc>
                <w:tc>
                  <w:tcPr>
                    <w:tcW w:w="870" w:type="dxa"/>
                    <w:vMerge w:val="restart"/>
                    <w:vAlign w:val="center"/>
                  </w:tcPr>
                  <w:sdt>
                    <w:sdtPr>
                      <w:tag w:val="_PLD_3b870c2efbdc421980e0e6ed21bc828a"/>
                      <w:id w:val="6532"/>
                    </w:sdtPr>
                    <w:sdtContent>
                      <w:p>
                        <w:pPr>
                          <w:jc w:val="center"/>
                          <w:rPr>
                            <w:sz w:val="18"/>
                            <w:szCs w:val="18"/>
                          </w:rPr>
                        </w:pPr>
                        <w:r>
                          <w:rPr>
                            <w:rFonts w:hint="eastAsia"/>
                            <w:sz w:val="18"/>
                            <w:szCs w:val="18"/>
                          </w:rPr>
                          <w:t>其他综合收益</w:t>
                        </w:r>
                      </w:p>
                    </w:sdtContent>
                  </w:sdt>
                </w:tc>
                <w:tc>
                  <w:tcPr>
                    <w:tcW w:w="615" w:type="dxa"/>
                    <w:vMerge w:val="restart"/>
                    <w:vAlign w:val="center"/>
                  </w:tcPr>
                  <w:sdt>
                    <w:sdtPr>
                      <w:tag w:val="_PLD_68a9918174cf4752ad67388e59bb3c51"/>
                      <w:id w:val="6533"/>
                    </w:sdtPr>
                    <w:sdtContent>
                      <w:p>
                        <w:pPr>
                          <w:adjustRightInd w:val="0"/>
                          <w:snapToGrid w:val="0"/>
                          <w:jc w:val="center"/>
                          <w:rPr>
                            <w:sz w:val="18"/>
                            <w:szCs w:val="18"/>
                          </w:rPr>
                        </w:pPr>
                        <w:r>
                          <w:rPr>
                            <w:rFonts w:hint="eastAsia"/>
                            <w:sz w:val="18"/>
                            <w:szCs w:val="18"/>
                          </w:rPr>
                          <w:t>专项储备</w:t>
                        </w:r>
                      </w:p>
                    </w:sdtContent>
                  </w:sdt>
                </w:tc>
                <w:tc>
                  <w:tcPr>
                    <w:tcW w:w="1470" w:type="dxa"/>
                    <w:vMerge w:val="restart"/>
                    <w:vAlign w:val="center"/>
                  </w:tcPr>
                  <w:sdt>
                    <w:sdtPr>
                      <w:tag w:val="_PLD_eddda9b1710646a5811c9efb65bf8703"/>
                      <w:id w:val="6534"/>
                    </w:sdtPr>
                    <w:sdtContent>
                      <w:p>
                        <w:pPr>
                          <w:adjustRightInd w:val="0"/>
                          <w:snapToGrid w:val="0"/>
                          <w:jc w:val="center"/>
                          <w:rPr>
                            <w:sz w:val="18"/>
                            <w:szCs w:val="18"/>
                          </w:rPr>
                        </w:pPr>
                        <w:r>
                          <w:rPr>
                            <w:sz w:val="18"/>
                            <w:szCs w:val="18"/>
                          </w:rPr>
                          <w:t>盈余公积</w:t>
                        </w:r>
                      </w:p>
                    </w:sdtContent>
                  </w:sdt>
                </w:tc>
                <w:tc>
                  <w:tcPr>
                    <w:tcW w:w="1470" w:type="dxa"/>
                    <w:vMerge w:val="restart"/>
                    <w:vAlign w:val="center"/>
                  </w:tcPr>
                  <w:sdt>
                    <w:sdtPr>
                      <w:tag w:val="_PLD_d210b1f3e63743b7b7ad078da7c00997"/>
                      <w:id w:val="6535"/>
                    </w:sdtPr>
                    <w:sdtContent>
                      <w:p>
                        <w:pPr>
                          <w:adjustRightInd w:val="0"/>
                          <w:snapToGrid w:val="0"/>
                          <w:jc w:val="center"/>
                          <w:rPr>
                            <w:sz w:val="18"/>
                            <w:szCs w:val="18"/>
                          </w:rPr>
                        </w:pPr>
                        <w:r>
                          <w:rPr>
                            <w:sz w:val="18"/>
                            <w:szCs w:val="18"/>
                          </w:rPr>
                          <w:t>未分配利润</w:t>
                        </w:r>
                      </w:p>
                    </w:sdtContent>
                  </w:sdt>
                </w:tc>
                <w:tc>
                  <w:tcPr>
                    <w:tcW w:w="1535" w:type="dxa"/>
                    <w:gridSpan w:val="2"/>
                    <w:vMerge w:val="restart"/>
                    <w:vAlign w:val="center"/>
                  </w:tcPr>
                  <w:sdt>
                    <w:sdtPr>
                      <w:tag w:val="_PLD_d0efa115b304401592a693cab0f3a46a"/>
                      <w:id w:val="6536"/>
                    </w:sdtPr>
                    <w:sdtContent>
                      <w:p>
                        <w:pPr>
                          <w:adjustRightInd w:val="0"/>
                          <w:snapToGrid w:val="0"/>
                          <w:jc w:val="center"/>
                          <w:rPr>
                            <w:sz w:val="18"/>
                            <w:szCs w:val="18"/>
                          </w:rPr>
                        </w:pPr>
                        <w:r>
                          <w:rPr>
                            <w:sz w:val="18"/>
                            <w:szCs w:val="18"/>
                          </w:rPr>
                          <w:t>所有者权益合计</w:t>
                        </w:r>
                      </w:p>
                    </w:sdtContent>
                  </w:sdt>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trPr>
                <w:tc>
                  <w:tcPr>
                    <w:tcW w:w="1850" w:type="dxa"/>
                    <w:vMerge w:val="continue"/>
                    <w:vAlign w:val="center"/>
                  </w:tcPr>
                  <w:p>
                    <w:pPr>
                      <w:adjustRightInd w:val="0"/>
                      <w:snapToGrid w:val="0"/>
                      <w:rPr>
                        <w:sz w:val="18"/>
                        <w:szCs w:val="18"/>
                      </w:rPr>
                    </w:pPr>
                  </w:p>
                </w:tc>
                <w:tc>
                  <w:tcPr>
                    <w:tcW w:w="1320" w:type="dxa"/>
                    <w:vMerge w:val="continue"/>
                    <w:tcBorders>
                      <w:right w:val="single" w:color="auto" w:sz="4" w:space="0"/>
                    </w:tcBorders>
                    <w:vAlign w:val="center"/>
                  </w:tcPr>
                  <w:p>
                    <w:pPr>
                      <w:adjustRightInd w:val="0"/>
                      <w:snapToGrid w:val="0"/>
                      <w:jc w:val="center"/>
                      <w:rPr>
                        <w:sz w:val="18"/>
                        <w:szCs w:val="18"/>
                      </w:rPr>
                    </w:pPr>
                  </w:p>
                </w:tc>
                <w:tc>
                  <w:tcPr>
                    <w:tcW w:w="825" w:type="dxa"/>
                    <w:tcBorders>
                      <w:top w:val="single" w:color="auto" w:sz="4" w:space="0"/>
                      <w:left w:val="single" w:color="auto" w:sz="4" w:space="0"/>
                      <w:right w:val="single" w:color="auto" w:sz="4" w:space="0"/>
                    </w:tcBorders>
                    <w:vAlign w:val="center"/>
                  </w:tcPr>
                  <w:sdt>
                    <w:sdtPr>
                      <w:tag w:val="_PLD_f219b4732c3e4bd5a67b8c298432fd3d"/>
                      <w:id w:val="6537"/>
                    </w:sdtPr>
                    <w:sdtContent>
                      <w:p>
                        <w:pPr>
                          <w:adjustRightInd w:val="0"/>
                          <w:snapToGrid w:val="0"/>
                          <w:jc w:val="center"/>
                          <w:rPr>
                            <w:sz w:val="18"/>
                            <w:szCs w:val="18"/>
                          </w:rPr>
                        </w:pPr>
                        <w:r>
                          <w:rPr>
                            <w:rFonts w:hint="eastAsia"/>
                            <w:sz w:val="18"/>
                            <w:szCs w:val="18"/>
                          </w:rPr>
                          <w:t>优先股</w:t>
                        </w:r>
                      </w:p>
                    </w:sdtContent>
                  </w:sdt>
                </w:tc>
                <w:tc>
                  <w:tcPr>
                    <w:tcW w:w="825" w:type="dxa"/>
                    <w:tcBorders>
                      <w:top w:val="single" w:color="auto" w:sz="4" w:space="0"/>
                      <w:left w:val="single" w:color="auto" w:sz="4" w:space="0"/>
                      <w:right w:val="single" w:color="auto" w:sz="4" w:space="0"/>
                    </w:tcBorders>
                    <w:vAlign w:val="center"/>
                  </w:tcPr>
                  <w:sdt>
                    <w:sdtPr>
                      <w:tag w:val="_PLD_9c8ca36c728447658d99fee93d742edf"/>
                      <w:id w:val="6538"/>
                    </w:sdtPr>
                    <w:sdtContent>
                      <w:p>
                        <w:pPr>
                          <w:adjustRightInd w:val="0"/>
                          <w:snapToGrid w:val="0"/>
                          <w:jc w:val="center"/>
                          <w:rPr>
                            <w:sz w:val="18"/>
                            <w:szCs w:val="18"/>
                          </w:rPr>
                        </w:pPr>
                        <w:r>
                          <w:rPr>
                            <w:rFonts w:hint="eastAsia"/>
                            <w:sz w:val="18"/>
                            <w:szCs w:val="18"/>
                          </w:rPr>
                          <w:t>永续债</w:t>
                        </w:r>
                      </w:p>
                    </w:sdtContent>
                  </w:sdt>
                </w:tc>
                <w:tc>
                  <w:tcPr>
                    <w:tcW w:w="930" w:type="dxa"/>
                    <w:tcBorders>
                      <w:top w:val="single" w:color="auto" w:sz="4" w:space="0"/>
                      <w:left w:val="single" w:color="auto" w:sz="4" w:space="0"/>
                    </w:tcBorders>
                    <w:vAlign w:val="center"/>
                  </w:tcPr>
                  <w:sdt>
                    <w:sdtPr>
                      <w:tag w:val="_PLD_d053abd77b574111883b8fafe3a173d2"/>
                      <w:id w:val="6539"/>
                    </w:sdtPr>
                    <w:sdtContent>
                      <w:p>
                        <w:pPr>
                          <w:adjustRightInd w:val="0"/>
                          <w:snapToGrid w:val="0"/>
                          <w:jc w:val="center"/>
                          <w:rPr>
                            <w:sz w:val="18"/>
                            <w:szCs w:val="18"/>
                          </w:rPr>
                        </w:pPr>
                        <w:r>
                          <w:rPr>
                            <w:rFonts w:hint="eastAsia"/>
                            <w:sz w:val="18"/>
                            <w:szCs w:val="18"/>
                          </w:rPr>
                          <w:t>其他</w:t>
                        </w:r>
                      </w:p>
                    </w:sdtContent>
                  </w:sdt>
                </w:tc>
                <w:tc>
                  <w:tcPr>
                    <w:tcW w:w="1455" w:type="dxa"/>
                    <w:vMerge w:val="continue"/>
                    <w:vAlign w:val="center"/>
                  </w:tcPr>
                  <w:p>
                    <w:pPr>
                      <w:adjustRightInd w:val="0"/>
                      <w:snapToGrid w:val="0"/>
                      <w:jc w:val="center"/>
                      <w:rPr>
                        <w:sz w:val="18"/>
                        <w:szCs w:val="18"/>
                      </w:rPr>
                    </w:pPr>
                  </w:p>
                </w:tc>
                <w:tc>
                  <w:tcPr>
                    <w:tcW w:w="975" w:type="dxa"/>
                    <w:vMerge w:val="continue"/>
                    <w:vAlign w:val="center"/>
                  </w:tcPr>
                  <w:p>
                    <w:pPr>
                      <w:adjustRightInd w:val="0"/>
                      <w:snapToGrid w:val="0"/>
                      <w:jc w:val="center"/>
                      <w:rPr>
                        <w:sz w:val="18"/>
                        <w:szCs w:val="18"/>
                      </w:rPr>
                    </w:pPr>
                  </w:p>
                </w:tc>
                <w:tc>
                  <w:tcPr>
                    <w:tcW w:w="870" w:type="dxa"/>
                    <w:vMerge w:val="continue"/>
                    <w:vAlign w:val="center"/>
                  </w:tcPr>
                  <w:p>
                    <w:pPr>
                      <w:jc w:val="center"/>
                      <w:rPr>
                        <w:sz w:val="18"/>
                        <w:szCs w:val="18"/>
                      </w:rPr>
                    </w:pPr>
                  </w:p>
                </w:tc>
                <w:tc>
                  <w:tcPr>
                    <w:tcW w:w="615" w:type="dxa"/>
                    <w:vMerge w:val="continue"/>
                    <w:vAlign w:val="center"/>
                  </w:tcPr>
                  <w:p>
                    <w:pPr>
                      <w:adjustRightInd w:val="0"/>
                      <w:snapToGrid w:val="0"/>
                      <w:jc w:val="center"/>
                      <w:rPr>
                        <w:sz w:val="18"/>
                        <w:szCs w:val="18"/>
                      </w:rPr>
                    </w:pPr>
                  </w:p>
                </w:tc>
                <w:tc>
                  <w:tcPr>
                    <w:tcW w:w="1470" w:type="dxa"/>
                    <w:vMerge w:val="continue"/>
                    <w:vAlign w:val="center"/>
                  </w:tcPr>
                  <w:p>
                    <w:pPr>
                      <w:adjustRightInd w:val="0"/>
                      <w:snapToGrid w:val="0"/>
                      <w:jc w:val="center"/>
                      <w:rPr>
                        <w:sz w:val="18"/>
                        <w:szCs w:val="18"/>
                      </w:rPr>
                    </w:pPr>
                  </w:p>
                </w:tc>
                <w:tc>
                  <w:tcPr>
                    <w:tcW w:w="1470" w:type="dxa"/>
                    <w:vMerge w:val="continue"/>
                    <w:vAlign w:val="center"/>
                  </w:tcPr>
                  <w:p>
                    <w:pPr>
                      <w:adjustRightInd w:val="0"/>
                      <w:snapToGrid w:val="0"/>
                      <w:jc w:val="center"/>
                      <w:rPr>
                        <w:sz w:val="18"/>
                        <w:szCs w:val="18"/>
                      </w:rPr>
                    </w:pPr>
                  </w:p>
                </w:tc>
                <w:tc>
                  <w:tcPr>
                    <w:tcW w:w="1535" w:type="dxa"/>
                    <w:gridSpan w:val="2"/>
                    <w:vMerge w:val="continue"/>
                    <w:vAlign w:val="center"/>
                  </w:tcPr>
                  <w:p>
                    <w:pPr>
                      <w:adjustRightInd w:val="0"/>
                      <w:snapToGrid w:val="0"/>
                      <w:jc w:val="center"/>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sz w:val="18"/>
                        <w:szCs w:val="18"/>
                      </w:rPr>
                      <w:t>一、上年</w:t>
                    </w:r>
                    <w:r>
                      <w:rPr>
                        <w:rFonts w:hint="eastAsia"/>
                        <w:sz w:val="18"/>
                        <w:szCs w:val="18"/>
                      </w:rPr>
                      <w:t>年</w:t>
                    </w:r>
                    <w:r>
                      <w:rPr>
                        <w:sz w:val="18"/>
                        <w:szCs w:val="18"/>
                      </w:rPr>
                      <w:t>末余额</w:t>
                    </w:r>
                  </w:p>
                </w:tc>
                <w:tc>
                  <w:tcPr>
                    <w:tcW w:w="1320" w:type="dxa"/>
                    <w:tcBorders>
                      <w:right w:val="single" w:color="auto" w:sz="4" w:space="0"/>
                    </w:tcBorders>
                    <w:vAlign w:val="center"/>
                  </w:tcPr>
                  <w:p>
                    <w:pPr>
                      <w:jc w:val="right"/>
                      <w:rPr>
                        <w:sz w:val="18"/>
                        <w:szCs w:val="18"/>
                      </w:rPr>
                    </w:pPr>
                    <w:r>
                      <w:rPr>
                        <w:rFonts w:hint="eastAsia"/>
                        <w:color w:val="auto"/>
                        <w:sz w:val="18"/>
                        <w:szCs w:val="18"/>
                      </w:rPr>
                      <w:t>550,000,000.00</w:t>
                    </w: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right w:val="single" w:color="auto" w:sz="4" w:space="0"/>
                    </w:tcBorders>
                    <w:vAlign w:val="center"/>
                  </w:tcPr>
                  <w:p>
                    <w:pPr>
                      <w:jc w:val="right"/>
                      <w:rPr>
                        <w:sz w:val="18"/>
                        <w:szCs w:val="18"/>
                      </w:rPr>
                    </w:pPr>
                  </w:p>
                </w:tc>
                <w:tc>
                  <w:tcPr>
                    <w:tcW w:w="1455" w:type="dxa"/>
                    <w:tcBorders>
                      <w:left w:val="single" w:color="auto" w:sz="4" w:space="0"/>
                    </w:tcBorders>
                    <w:vAlign w:val="center"/>
                  </w:tcPr>
                  <w:p>
                    <w:pPr>
                      <w:jc w:val="right"/>
                      <w:rPr>
                        <w:sz w:val="18"/>
                        <w:szCs w:val="18"/>
                      </w:rPr>
                    </w:pPr>
                    <w:r>
                      <w:rPr>
                        <w:rFonts w:hint="eastAsia"/>
                        <w:color w:val="auto"/>
                        <w:sz w:val="18"/>
                        <w:szCs w:val="18"/>
                      </w:rPr>
                      <w:t>579,271,389.07</w:t>
                    </w: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r>
                      <w:rPr>
                        <w:rFonts w:hint="eastAsia"/>
                        <w:color w:val="auto"/>
                        <w:sz w:val="18"/>
                        <w:szCs w:val="18"/>
                      </w:rPr>
                      <w:t>217,403,035.33</w:t>
                    </w:r>
                  </w:p>
                </w:tc>
                <w:tc>
                  <w:tcPr>
                    <w:tcW w:w="1470" w:type="dxa"/>
                    <w:vAlign w:val="center"/>
                  </w:tcPr>
                  <w:p>
                    <w:pPr>
                      <w:jc w:val="right"/>
                      <w:rPr>
                        <w:sz w:val="18"/>
                        <w:szCs w:val="18"/>
                      </w:rPr>
                    </w:pPr>
                    <w:r>
                      <w:rPr>
                        <w:rFonts w:hint="eastAsia"/>
                        <w:color w:val="auto"/>
                        <w:sz w:val="18"/>
                        <w:szCs w:val="18"/>
                      </w:rPr>
                      <w:t>660,948,470.73</w:t>
                    </w:r>
                  </w:p>
                </w:tc>
                <w:tc>
                  <w:tcPr>
                    <w:tcW w:w="1535" w:type="dxa"/>
                    <w:gridSpan w:val="2"/>
                    <w:vAlign w:val="center"/>
                  </w:tcPr>
                  <w:p>
                    <w:pPr>
                      <w:jc w:val="right"/>
                      <w:rPr>
                        <w:sz w:val="18"/>
                        <w:szCs w:val="18"/>
                      </w:rPr>
                    </w:pPr>
                    <w:r>
                      <w:rPr>
                        <w:rFonts w:hint="eastAsia"/>
                        <w:color w:val="auto"/>
                        <w:sz w:val="18"/>
                        <w:szCs w:val="18"/>
                      </w:rPr>
                      <w:t>2,007,622,895.13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sz w:val="18"/>
                        <w:szCs w:val="18"/>
                      </w:rPr>
                      <w:t>加：会计政策变更</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right w:val="single" w:color="auto" w:sz="4" w:space="0"/>
                    </w:tcBorders>
                    <w:vAlign w:val="center"/>
                  </w:tcPr>
                  <w:p>
                    <w:pPr>
                      <w:jc w:val="right"/>
                      <w:rPr>
                        <w:sz w:val="18"/>
                        <w:szCs w:val="18"/>
                      </w:rPr>
                    </w:pPr>
                  </w:p>
                </w:tc>
                <w:tc>
                  <w:tcPr>
                    <w:tcW w:w="1455" w:type="dxa"/>
                    <w:tcBorders>
                      <w:left w:val="single" w:color="auto" w:sz="4" w:space="0"/>
                    </w:tcBorders>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ind w:firstLine="360" w:firstLineChars="200"/>
                      <w:rPr>
                        <w:sz w:val="18"/>
                        <w:szCs w:val="18"/>
                      </w:rPr>
                    </w:pPr>
                    <w:r>
                      <w:rPr>
                        <w:sz w:val="18"/>
                        <w:szCs w:val="18"/>
                      </w:rPr>
                      <w:t>前期差错更正</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right w:val="single" w:color="auto" w:sz="4" w:space="0"/>
                    </w:tcBorders>
                    <w:vAlign w:val="center"/>
                  </w:tcPr>
                  <w:p>
                    <w:pPr>
                      <w:jc w:val="right"/>
                      <w:rPr>
                        <w:sz w:val="18"/>
                        <w:szCs w:val="18"/>
                      </w:rPr>
                    </w:pPr>
                  </w:p>
                </w:tc>
                <w:tc>
                  <w:tcPr>
                    <w:tcW w:w="1455" w:type="dxa"/>
                    <w:tcBorders>
                      <w:left w:val="single" w:color="auto" w:sz="4" w:space="0"/>
                    </w:tcBorders>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ind w:firstLine="360" w:firstLineChars="200"/>
                      <w:rPr>
                        <w:sz w:val="18"/>
                        <w:szCs w:val="18"/>
                      </w:rPr>
                    </w:pPr>
                    <w:r>
                      <w:rPr>
                        <w:rFonts w:hint="eastAsia"/>
                        <w:sz w:val="18"/>
                        <w:szCs w:val="18"/>
                      </w:rPr>
                      <w:t>其他</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right w:val="single" w:color="auto" w:sz="4" w:space="0"/>
                    </w:tcBorders>
                    <w:vAlign w:val="center"/>
                  </w:tcPr>
                  <w:p>
                    <w:pPr>
                      <w:jc w:val="right"/>
                      <w:rPr>
                        <w:sz w:val="18"/>
                        <w:szCs w:val="18"/>
                      </w:rPr>
                    </w:pPr>
                  </w:p>
                </w:tc>
                <w:tc>
                  <w:tcPr>
                    <w:tcW w:w="1455" w:type="dxa"/>
                    <w:tcBorders>
                      <w:left w:val="single" w:color="auto" w:sz="4" w:space="0"/>
                    </w:tcBorders>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sz w:val="18"/>
                        <w:szCs w:val="18"/>
                      </w:rPr>
                      <w:t>二、本年</w:t>
                    </w:r>
                    <w:r>
                      <w:rPr>
                        <w:rFonts w:hint="eastAsia"/>
                        <w:sz w:val="18"/>
                        <w:szCs w:val="18"/>
                      </w:rPr>
                      <w:t>期</w:t>
                    </w:r>
                    <w:r>
                      <w:rPr>
                        <w:sz w:val="18"/>
                        <w:szCs w:val="18"/>
                      </w:rPr>
                      <w:t>初余额</w:t>
                    </w:r>
                  </w:p>
                </w:tc>
                <w:tc>
                  <w:tcPr>
                    <w:tcW w:w="1320" w:type="dxa"/>
                    <w:tcBorders>
                      <w:right w:val="single" w:color="auto" w:sz="4" w:space="0"/>
                    </w:tcBorders>
                    <w:vAlign w:val="center"/>
                  </w:tcPr>
                  <w:p>
                    <w:pPr>
                      <w:jc w:val="right"/>
                      <w:rPr>
                        <w:sz w:val="18"/>
                        <w:szCs w:val="18"/>
                      </w:rPr>
                    </w:pPr>
                    <w:r>
                      <w:rPr>
                        <w:rFonts w:hint="eastAsia"/>
                        <w:color w:val="auto"/>
                        <w:sz w:val="18"/>
                        <w:szCs w:val="18"/>
                      </w:rPr>
                      <w:t>550,000,000.00</w:t>
                    </w: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right w:val="single" w:color="auto" w:sz="4" w:space="0"/>
                    </w:tcBorders>
                    <w:vAlign w:val="center"/>
                  </w:tcPr>
                  <w:p>
                    <w:pPr>
                      <w:jc w:val="right"/>
                      <w:rPr>
                        <w:sz w:val="18"/>
                        <w:szCs w:val="18"/>
                      </w:rPr>
                    </w:pPr>
                  </w:p>
                </w:tc>
                <w:tc>
                  <w:tcPr>
                    <w:tcW w:w="1455" w:type="dxa"/>
                    <w:tcBorders>
                      <w:left w:val="single" w:color="auto" w:sz="4" w:space="0"/>
                    </w:tcBorders>
                    <w:vAlign w:val="center"/>
                  </w:tcPr>
                  <w:p>
                    <w:pPr>
                      <w:jc w:val="right"/>
                      <w:rPr>
                        <w:sz w:val="18"/>
                        <w:szCs w:val="18"/>
                      </w:rPr>
                    </w:pPr>
                    <w:r>
                      <w:rPr>
                        <w:rFonts w:hint="eastAsia"/>
                        <w:color w:val="auto"/>
                        <w:sz w:val="18"/>
                        <w:szCs w:val="18"/>
                      </w:rPr>
                      <w:t>579,271,389.07</w:t>
                    </w: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r>
                      <w:rPr>
                        <w:rFonts w:hint="eastAsia"/>
                        <w:color w:val="auto"/>
                        <w:sz w:val="18"/>
                        <w:szCs w:val="18"/>
                      </w:rPr>
                      <w:t>217,403,035.33</w:t>
                    </w:r>
                  </w:p>
                </w:tc>
                <w:tc>
                  <w:tcPr>
                    <w:tcW w:w="1470" w:type="dxa"/>
                    <w:vAlign w:val="center"/>
                  </w:tcPr>
                  <w:p>
                    <w:pPr>
                      <w:jc w:val="right"/>
                      <w:rPr>
                        <w:sz w:val="18"/>
                        <w:szCs w:val="18"/>
                      </w:rPr>
                    </w:pPr>
                    <w:r>
                      <w:rPr>
                        <w:rFonts w:hint="eastAsia"/>
                        <w:color w:val="auto"/>
                        <w:sz w:val="18"/>
                        <w:szCs w:val="18"/>
                      </w:rPr>
                      <w:t>660,948,470.73</w:t>
                    </w:r>
                  </w:p>
                </w:tc>
                <w:tc>
                  <w:tcPr>
                    <w:tcW w:w="1535" w:type="dxa"/>
                    <w:gridSpan w:val="2"/>
                    <w:vAlign w:val="center"/>
                  </w:tcPr>
                  <w:p>
                    <w:pPr>
                      <w:jc w:val="right"/>
                      <w:rPr>
                        <w:sz w:val="18"/>
                        <w:szCs w:val="18"/>
                      </w:rPr>
                    </w:pPr>
                    <w:r>
                      <w:rPr>
                        <w:rFonts w:hint="eastAsia"/>
                        <w:color w:val="auto"/>
                        <w:sz w:val="18"/>
                        <w:szCs w:val="18"/>
                      </w:rPr>
                      <w:t>2,007,622,895.13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sz w:val="18"/>
                        <w:szCs w:val="18"/>
                      </w:rPr>
                      <w:t>三、本</w:t>
                    </w:r>
                    <w:r>
                      <w:rPr>
                        <w:rFonts w:hint="eastAsia"/>
                        <w:sz w:val="18"/>
                        <w:szCs w:val="18"/>
                      </w:rPr>
                      <w:t>期</w:t>
                    </w:r>
                    <w:r>
                      <w:rPr>
                        <w:sz w:val="18"/>
                        <w:szCs w:val="18"/>
                      </w:rPr>
                      <w:t>增减变动金额（减少以“－”号填列）</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r>
                      <w:rPr>
                        <w:rFonts w:hint="eastAsia"/>
                        <w:color w:val="auto"/>
                        <w:sz w:val="18"/>
                        <w:szCs w:val="18"/>
                      </w:rPr>
                      <w:t>6,467,077.22</w:t>
                    </w:r>
                  </w:p>
                </w:tc>
                <w:tc>
                  <w:tcPr>
                    <w:tcW w:w="1470" w:type="dxa"/>
                    <w:vAlign w:val="center"/>
                  </w:tcPr>
                  <w:p>
                    <w:pPr>
                      <w:jc w:val="right"/>
                      <w:rPr>
                        <w:sz w:val="18"/>
                        <w:szCs w:val="18"/>
                      </w:rPr>
                    </w:pPr>
                    <w:r>
                      <w:rPr>
                        <w:rFonts w:hint="eastAsia"/>
                        <w:color w:val="auto"/>
                        <w:sz w:val="18"/>
                        <w:szCs w:val="18"/>
                      </w:rPr>
                      <w:t>41,703,694.98</w:t>
                    </w:r>
                  </w:p>
                </w:tc>
                <w:tc>
                  <w:tcPr>
                    <w:tcW w:w="1535" w:type="dxa"/>
                    <w:gridSpan w:val="2"/>
                    <w:vAlign w:val="center"/>
                  </w:tcPr>
                  <w:p>
                    <w:pPr>
                      <w:jc w:val="right"/>
                      <w:rPr>
                        <w:sz w:val="18"/>
                        <w:szCs w:val="18"/>
                      </w:rPr>
                    </w:pPr>
                    <w:r>
                      <w:rPr>
                        <w:rFonts w:hint="eastAsia"/>
                        <w:color w:val="auto"/>
                        <w:sz w:val="18"/>
                        <w:szCs w:val="18"/>
                      </w:rPr>
                      <w:t>48,170,772.20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rFonts w:hint="eastAsia"/>
                        <w:sz w:val="18"/>
                        <w:szCs w:val="18"/>
                      </w:rPr>
                      <w:t>（一）综合收益总额</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r>
                      <w:rPr>
                        <w:rFonts w:hint="eastAsia"/>
                        <w:color w:val="auto"/>
                        <w:sz w:val="18"/>
                        <w:szCs w:val="18"/>
                      </w:rPr>
                      <w:t>64,670,772.20</w:t>
                    </w:r>
                  </w:p>
                </w:tc>
                <w:tc>
                  <w:tcPr>
                    <w:tcW w:w="1535" w:type="dxa"/>
                    <w:gridSpan w:val="2"/>
                    <w:vAlign w:val="center"/>
                  </w:tcPr>
                  <w:p>
                    <w:pPr>
                      <w:jc w:val="right"/>
                      <w:rPr>
                        <w:sz w:val="18"/>
                        <w:szCs w:val="18"/>
                      </w:rPr>
                    </w:pPr>
                    <w:r>
                      <w:rPr>
                        <w:rFonts w:hint="eastAsia"/>
                        <w:color w:val="auto"/>
                        <w:sz w:val="18"/>
                        <w:szCs w:val="18"/>
                      </w:rPr>
                      <w:t>64,670,772.20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sz w:val="18"/>
                        <w:szCs w:val="18"/>
                      </w:rPr>
                      <w:t>（</w:t>
                    </w:r>
                    <w:r>
                      <w:rPr>
                        <w:rFonts w:hint="eastAsia"/>
                        <w:sz w:val="18"/>
                        <w:szCs w:val="18"/>
                      </w:rPr>
                      <w:t>二</w:t>
                    </w:r>
                    <w:r>
                      <w:rPr>
                        <w:sz w:val="18"/>
                        <w:szCs w:val="18"/>
                      </w:rPr>
                      <w:t>）所有者投入和减少资本</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rFonts w:hint="eastAsia"/>
                        <w:sz w:val="18"/>
                        <w:szCs w:val="18"/>
                      </w:rPr>
                      <w:t>1．所有者投入的普通股</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rFonts w:hint="eastAsia"/>
                        <w:sz w:val="18"/>
                        <w:szCs w:val="18"/>
                      </w:rPr>
                      <w:t>2．其他权益工具持有者投入资本</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rFonts w:hint="eastAsia"/>
                        <w:sz w:val="18"/>
                        <w:szCs w:val="18"/>
                      </w:rPr>
                      <w:t>3</w:t>
                    </w:r>
                    <w:r>
                      <w:rPr>
                        <w:sz w:val="18"/>
                        <w:szCs w:val="18"/>
                      </w:rPr>
                      <w:t>．股份支付计入所有者权益的金额</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rFonts w:hint="eastAsia"/>
                        <w:sz w:val="18"/>
                        <w:szCs w:val="18"/>
                      </w:rPr>
                      <w:t>4</w:t>
                    </w:r>
                    <w:r>
                      <w:rPr>
                        <w:sz w:val="18"/>
                        <w:szCs w:val="18"/>
                      </w:rPr>
                      <w:t>．其他</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sz w:val="18"/>
                        <w:szCs w:val="18"/>
                      </w:rPr>
                      <w:t>（</w:t>
                    </w:r>
                    <w:r>
                      <w:rPr>
                        <w:rFonts w:hint="eastAsia"/>
                        <w:sz w:val="18"/>
                        <w:szCs w:val="18"/>
                      </w:rPr>
                      <w:t>三</w:t>
                    </w:r>
                    <w:r>
                      <w:rPr>
                        <w:sz w:val="18"/>
                        <w:szCs w:val="18"/>
                      </w:rPr>
                      <w:t>）利润分配</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r>
                      <w:rPr>
                        <w:rFonts w:hint="eastAsia"/>
                        <w:color w:val="auto"/>
                        <w:sz w:val="18"/>
                        <w:szCs w:val="18"/>
                      </w:rPr>
                      <w:t>6,467,077.22</w:t>
                    </w:r>
                  </w:p>
                </w:tc>
                <w:tc>
                  <w:tcPr>
                    <w:tcW w:w="1470" w:type="dxa"/>
                    <w:vAlign w:val="center"/>
                  </w:tcPr>
                  <w:p>
                    <w:pPr>
                      <w:jc w:val="right"/>
                      <w:rPr>
                        <w:sz w:val="18"/>
                        <w:szCs w:val="18"/>
                      </w:rPr>
                    </w:pPr>
                    <w:r>
                      <w:rPr>
                        <w:rFonts w:hint="eastAsia"/>
                        <w:color w:val="auto"/>
                        <w:sz w:val="18"/>
                        <w:szCs w:val="18"/>
                      </w:rPr>
                      <w:t>-22,967,077.22</w:t>
                    </w:r>
                  </w:p>
                </w:tc>
                <w:tc>
                  <w:tcPr>
                    <w:tcW w:w="1535" w:type="dxa"/>
                    <w:gridSpan w:val="2"/>
                    <w:vAlign w:val="center"/>
                  </w:tcPr>
                  <w:p>
                    <w:pPr>
                      <w:jc w:val="right"/>
                      <w:rPr>
                        <w:sz w:val="18"/>
                        <w:szCs w:val="18"/>
                      </w:rPr>
                    </w:pPr>
                    <w:r>
                      <w:rPr>
                        <w:rFonts w:hint="eastAsia"/>
                        <w:color w:val="auto"/>
                        <w:sz w:val="18"/>
                        <w:szCs w:val="18"/>
                      </w:rPr>
                      <w:t>-16,500,000.00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sz w:val="18"/>
                        <w:szCs w:val="18"/>
                      </w:rPr>
                      <w:t>1．提取盈余公积</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r>
                      <w:rPr>
                        <w:rFonts w:hint="eastAsia"/>
                        <w:color w:val="auto"/>
                        <w:sz w:val="18"/>
                        <w:szCs w:val="18"/>
                      </w:rPr>
                      <w:t>6,467,077.22</w:t>
                    </w:r>
                  </w:p>
                </w:tc>
                <w:tc>
                  <w:tcPr>
                    <w:tcW w:w="1470" w:type="dxa"/>
                    <w:vAlign w:val="center"/>
                  </w:tcPr>
                  <w:p>
                    <w:pPr>
                      <w:jc w:val="right"/>
                      <w:rPr>
                        <w:sz w:val="18"/>
                        <w:szCs w:val="18"/>
                      </w:rPr>
                    </w:pPr>
                    <w:r>
                      <w:rPr>
                        <w:rFonts w:hint="eastAsia"/>
                        <w:color w:val="auto"/>
                        <w:sz w:val="18"/>
                        <w:szCs w:val="18"/>
                      </w:rPr>
                      <w:t>-6,467,077.22</w:t>
                    </w: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rFonts w:hint="eastAsia"/>
                        <w:sz w:val="18"/>
                        <w:szCs w:val="18"/>
                      </w:rPr>
                      <w:t>2</w:t>
                    </w:r>
                    <w:r>
                      <w:rPr>
                        <w:sz w:val="18"/>
                        <w:szCs w:val="18"/>
                      </w:rPr>
                      <w:t>．对所有者（或股东）的分配</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r>
                      <w:rPr>
                        <w:rFonts w:hint="eastAsia"/>
                        <w:color w:val="auto"/>
                        <w:sz w:val="18"/>
                        <w:szCs w:val="18"/>
                      </w:rPr>
                      <w:t>-16,500,000.00</w:t>
                    </w:r>
                  </w:p>
                </w:tc>
                <w:tc>
                  <w:tcPr>
                    <w:tcW w:w="1535" w:type="dxa"/>
                    <w:gridSpan w:val="2"/>
                    <w:vAlign w:val="center"/>
                  </w:tcPr>
                  <w:p>
                    <w:pPr>
                      <w:jc w:val="right"/>
                      <w:rPr>
                        <w:sz w:val="18"/>
                        <w:szCs w:val="18"/>
                      </w:rPr>
                    </w:pPr>
                    <w:r>
                      <w:rPr>
                        <w:rFonts w:hint="eastAsia"/>
                        <w:color w:val="auto"/>
                        <w:sz w:val="18"/>
                        <w:szCs w:val="18"/>
                      </w:rPr>
                      <w:t>-16,500,000.00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rFonts w:hint="eastAsia"/>
                        <w:sz w:val="18"/>
                        <w:szCs w:val="18"/>
                      </w:rPr>
                      <w:t>3</w:t>
                    </w:r>
                    <w:r>
                      <w:rPr>
                        <w:sz w:val="18"/>
                        <w:szCs w:val="18"/>
                      </w:rPr>
                      <w:t>．其他</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sz w:val="18"/>
                        <w:szCs w:val="18"/>
                      </w:rPr>
                      <w:t>（</w:t>
                    </w:r>
                    <w:r>
                      <w:rPr>
                        <w:rFonts w:hint="eastAsia"/>
                        <w:sz w:val="18"/>
                        <w:szCs w:val="18"/>
                      </w:rPr>
                      <w:t>四</w:t>
                    </w:r>
                    <w:r>
                      <w:rPr>
                        <w:sz w:val="18"/>
                        <w:szCs w:val="18"/>
                      </w:rPr>
                      <w:t>）所有者权益内部结转</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sz w:val="18"/>
                        <w:szCs w:val="18"/>
                      </w:rPr>
                      <w:t>1．资本公积转增资本（或股本）</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sz w:val="18"/>
                        <w:szCs w:val="18"/>
                      </w:rPr>
                      <w:t>2．盈余公积转增资本（或股本）</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sz w:val="18"/>
                        <w:szCs w:val="18"/>
                      </w:rPr>
                      <w:t>3．盈余公积弥补亏损</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r>
                      <w:rPr>
                        <w:sz w:val="18"/>
                        <w:szCs w:val="18"/>
                      </w:rPr>
                      <w:t>4．设定受益计划变动额结转留存收益</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sz w:val="18"/>
                        <w:szCs w:val="18"/>
                      </w:rPr>
                      <w:t>5．其他综合收益结转留存收益</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r>
                      <w:rPr>
                        <w:sz w:val="18"/>
                        <w:szCs w:val="18"/>
                      </w:rPr>
                      <w:t>6．其他</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rFonts w:hint="eastAsia"/>
                        <w:sz w:val="18"/>
                        <w:szCs w:val="18"/>
                      </w:rPr>
                      <w:t>（五）专项储备</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rFonts w:hint="eastAsia"/>
                        <w:sz w:val="18"/>
                        <w:szCs w:val="18"/>
                      </w:rPr>
                      <w:t>1．本期提取</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rFonts w:hint="eastAsia"/>
                        <w:sz w:val="18"/>
                        <w:szCs w:val="18"/>
                      </w:rPr>
                      <w:t>2．本期使用</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rFonts w:hint="eastAsia"/>
                        <w:sz w:val="18"/>
                        <w:szCs w:val="18"/>
                      </w:rPr>
                      <w:t>（六）其他</w:t>
                    </w:r>
                  </w:p>
                </w:tc>
                <w:tc>
                  <w:tcPr>
                    <w:tcW w:w="1320" w:type="dxa"/>
                    <w:tcBorders>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p>
                </w:tc>
                <w:tc>
                  <w:tcPr>
                    <w:tcW w:w="1470" w:type="dxa"/>
                    <w:vAlign w:val="center"/>
                  </w:tcPr>
                  <w:p>
                    <w:pPr>
                      <w:jc w:val="right"/>
                      <w:rPr>
                        <w:sz w:val="18"/>
                        <w:szCs w:val="18"/>
                      </w:rPr>
                    </w:pPr>
                  </w:p>
                </w:tc>
                <w:tc>
                  <w:tcPr>
                    <w:tcW w:w="1535" w:type="dxa"/>
                    <w:gridSpan w:val="2"/>
                    <w:vAlign w:val="center"/>
                  </w:tcPr>
                  <w:p>
                    <w:pPr>
                      <w:jc w:val="right"/>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850" w:type="dxa"/>
                    <w:vAlign w:val="center"/>
                  </w:tcPr>
                  <w:p>
                    <w:pPr>
                      <w:rPr>
                        <w:sz w:val="18"/>
                        <w:szCs w:val="18"/>
                      </w:rPr>
                    </w:pPr>
                    <w:r>
                      <w:rPr>
                        <w:sz w:val="18"/>
                        <w:szCs w:val="18"/>
                      </w:rPr>
                      <w:t>四、本期期末余额</w:t>
                    </w:r>
                  </w:p>
                </w:tc>
                <w:tc>
                  <w:tcPr>
                    <w:tcW w:w="1320" w:type="dxa"/>
                    <w:tcBorders>
                      <w:right w:val="single" w:color="auto" w:sz="4" w:space="0"/>
                    </w:tcBorders>
                    <w:vAlign w:val="center"/>
                  </w:tcPr>
                  <w:p>
                    <w:pPr>
                      <w:jc w:val="right"/>
                      <w:rPr>
                        <w:sz w:val="18"/>
                        <w:szCs w:val="18"/>
                      </w:rPr>
                    </w:pPr>
                    <w:r>
                      <w:rPr>
                        <w:rFonts w:hint="eastAsia"/>
                        <w:color w:val="auto"/>
                        <w:sz w:val="18"/>
                        <w:szCs w:val="18"/>
                      </w:rPr>
                      <w:t>550,000,000.00</w:t>
                    </w:r>
                  </w:p>
                </w:tc>
                <w:tc>
                  <w:tcPr>
                    <w:tcW w:w="825" w:type="dxa"/>
                    <w:tcBorders>
                      <w:left w:val="single" w:color="auto" w:sz="4" w:space="0"/>
                      <w:right w:val="single" w:color="auto" w:sz="4" w:space="0"/>
                    </w:tcBorders>
                    <w:vAlign w:val="center"/>
                  </w:tcPr>
                  <w:p>
                    <w:pPr>
                      <w:jc w:val="right"/>
                      <w:rPr>
                        <w:sz w:val="18"/>
                        <w:szCs w:val="18"/>
                      </w:rPr>
                    </w:pPr>
                  </w:p>
                </w:tc>
                <w:tc>
                  <w:tcPr>
                    <w:tcW w:w="825" w:type="dxa"/>
                    <w:tcBorders>
                      <w:left w:val="single" w:color="auto" w:sz="4" w:space="0"/>
                      <w:right w:val="single" w:color="auto" w:sz="4" w:space="0"/>
                    </w:tcBorders>
                    <w:vAlign w:val="center"/>
                  </w:tcPr>
                  <w:p>
                    <w:pPr>
                      <w:jc w:val="right"/>
                      <w:rPr>
                        <w:sz w:val="18"/>
                        <w:szCs w:val="18"/>
                      </w:rPr>
                    </w:pPr>
                  </w:p>
                </w:tc>
                <w:tc>
                  <w:tcPr>
                    <w:tcW w:w="930" w:type="dxa"/>
                    <w:tcBorders>
                      <w:left w:val="single" w:color="auto" w:sz="4" w:space="0"/>
                    </w:tcBorders>
                    <w:vAlign w:val="center"/>
                  </w:tcPr>
                  <w:p>
                    <w:pPr>
                      <w:jc w:val="right"/>
                      <w:rPr>
                        <w:sz w:val="18"/>
                        <w:szCs w:val="18"/>
                      </w:rPr>
                    </w:pPr>
                  </w:p>
                </w:tc>
                <w:tc>
                  <w:tcPr>
                    <w:tcW w:w="1455" w:type="dxa"/>
                    <w:vAlign w:val="center"/>
                  </w:tcPr>
                  <w:p>
                    <w:pPr>
                      <w:jc w:val="right"/>
                      <w:rPr>
                        <w:sz w:val="18"/>
                        <w:szCs w:val="18"/>
                      </w:rPr>
                    </w:pPr>
                    <w:r>
                      <w:rPr>
                        <w:rFonts w:hint="eastAsia"/>
                        <w:color w:val="auto"/>
                        <w:sz w:val="18"/>
                        <w:szCs w:val="18"/>
                      </w:rPr>
                      <w:t>579,271,389.07</w:t>
                    </w:r>
                  </w:p>
                </w:tc>
                <w:tc>
                  <w:tcPr>
                    <w:tcW w:w="975" w:type="dxa"/>
                    <w:vAlign w:val="center"/>
                  </w:tcPr>
                  <w:p>
                    <w:pPr>
                      <w:jc w:val="right"/>
                      <w:rPr>
                        <w:sz w:val="18"/>
                        <w:szCs w:val="18"/>
                      </w:rPr>
                    </w:pPr>
                  </w:p>
                </w:tc>
                <w:tc>
                  <w:tcPr>
                    <w:tcW w:w="870" w:type="dxa"/>
                    <w:vAlign w:val="center"/>
                  </w:tcPr>
                  <w:p>
                    <w:pPr>
                      <w:jc w:val="right"/>
                      <w:rPr>
                        <w:sz w:val="18"/>
                        <w:szCs w:val="18"/>
                      </w:rPr>
                    </w:pPr>
                  </w:p>
                </w:tc>
                <w:tc>
                  <w:tcPr>
                    <w:tcW w:w="615" w:type="dxa"/>
                    <w:vAlign w:val="center"/>
                  </w:tcPr>
                  <w:p>
                    <w:pPr>
                      <w:jc w:val="right"/>
                      <w:rPr>
                        <w:sz w:val="18"/>
                        <w:szCs w:val="18"/>
                      </w:rPr>
                    </w:pPr>
                  </w:p>
                </w:tc>
                <w:tc>
                  <w:tcPr>
                    <w:tcW w:w="1470" w:type="dxa"/>
                    <w:vAlign w:val="center"/>
                  </w:tcPr>
                  <w:p>
                    <w:pPr>
                      <w:jc w:val="right"/>
                      <w:rPr>
                        <w:sz w:val="18"/>
                        <w:szCs w:val="18"/>
                      </w:rPr>
                    </w:pPr>
                    <w:r>
                      <w:rPr>
                        <w:rFonts w:hint="eastAsia"/>
                        <w:color w:val="auto"/>
                        <w:sz w:val="18"/>
                        <w:szCs w:val="18"/>
                      </w:rPr>
                      <w:t>223,870,112.55</w:t>
                    </w:r>
                  </w:p>
                </w:tc>
                <w:tc>
                  <w:tcPr>
                    <w:tcW w:w="1470" w:type="dxa"/>
                    <w:vAlign w:val="center"/>
                  </w:tcPr>
                  <w:p>
                    <w:pPr>
                      <w:jc w:val="right"/>
                      <w:rPr>
                        <w:sz w:val="18"/>
                        <w:szCs w:val="18"/>
                      </w:rPr>
                    </w:pPr>
                    <w:r>
                      <w:rPr>
                        <w:rFonts w:hint="eastAsia"/>
                        <w:color w:val="auto"/>
                        <w:sz w:val="18"/>
                        <w:szCs w:val="18"/>
                      </w:rPr>
                      <w:t>702,652,165.71</w:t>
                    </w:r>
                  </w:p>
                </w:tc>
                <w:tc>
                  <w:tcPr>
                    <w:tcW w:w="1535" w:type="dxa"/>
                    <w:gridSpan w:val="2"/>
                    <w:vAlign w:val="center"/>
                  </w:tcPr>
                  <w:p>
                    <w:pPr>
                      <w:jc w:val="right"/>
                      <w:rPr>
                        <w:sz w:val="18"/>
                        <w:szCs w:val="18"/>
                      </w:rPr>
                    </w:pPr>
                    <w:r>
                      <w:rPr>
                        <w:rFonts w:hint="eastAsia"/>
                        <w:color w:val="auto"/>
                        <w:sz w:val="18"/>
                        <w:szCs w:val="18"/>
                      </w:rPr>
                      <w:t>2,055,793,667.33</w:t>
                    </w:r>
                  </w:p>
                </w:tc>
              </w:tr>
            </w:tbl>
            <w:p>
              <w:pPr>
                <w:snapToGrid w:val="0"/>
                <w:spacing w:line="240" w:lineRule="atLeast"/>
                <w:rPr>
                  <w:b/>
                  <w:bCs/>
                  <w:color w:val="FF0000"/>
                  <w:szCs w:val="21"/>
                </w:rPr>
              </w:pPr>
              <w:r>
                <w:rPr>
                  <w:rFonts w:hint="eastAsia"/>
                  <w:szCs w:val="21"/>
                </w:rPr>
                <w:t>公司负责</w:t>
              </w:r>
              <w:r>
                <w:rPr>
                  <w:szCs w:val="21"/>
                </w:rPr>
                <w:t>人</w:t>
              </w:r>
              <w:r>
                <w:rPr>
                  <w:rFonts w:hint="eastAsia"/>
                  <w:szCs w:val="21"/>
                </w:rPr>
                <w:t>：</w:t>
              </w:r>
              <w:sdt>
                <w:sdtPr>
                  <w:rPr>
                    <w:rFonts w:hint="eastAsia"/>
                    <w:szCs w:val="21"/>
                  </w:rPr>
                  <w:alias w:val="公司负责人姓名"/>
                  <w:tag w:val="_GBC_6042a2c12168484781348969a4da3e4c"/>
                  <w:id w:val="6540"/>
                  <w:placeholder>
                    <w:docPart w:val="GBC22222222222222222222222222222"/>
                  </w:placeholder>
                  <w:dataBinding w:prefixMappings="xmlns:clcid-mr='clcid-mr'" w:xpath="/*/clcid-mr:GongSiFuZeRenXingMing[not(@periodRef)]" w:storeItemID="{89EBAB94-44A0-46A2-B712-30D997D04A6D}"/>
                  <w:text/>
                </w:sdtPr>
                <w:sdtEndPr>
                  <w:rPr>
                    <w:rFonts w:hint="eastAsia"/>
                    <w:szCs w:val="21"/>
                  </w:rPr>
                </w:sdtEndPr>
                <w:sdtContent>
                  <w:r>
                    <w:rPr>
                      <w:rFonts w:hint="eastAsia"/>
                      <w:szCs w:val="21"/>
                      <w:lang w:val="en-US" w:eastAsia="zh-CN"/>
                    </w:rPr>
                    <w:t>周云祥</w:t>
                  </w:r>
                </w:sdtContent>
              </w:sdt>
              <w:r>
                <w:rPr>
                  <w:rFonts w:hint="eastAsia"/>
                  <w:szCs w:val="21"/>
                </w:rPr>
                <w:t xml:space="preserve"> </w:t>
              </w:r>
              <w:r>
                <w:rPr>
                  <w:rFonts w:hint="eastAsia"/>
                  <w:szCs w:val="21"/>
                  <w:lang w:val="en-US" w:eastAsia="zh-CN"/>
                </w:rPr>
                <w:t xml:space="preserve">                                 </w:t>
              </w:r>
              <w:r>
                <w:rPr>
                  <w:szCs w:val="21"/>
                </w:rPr>
                <w:t>主管会计工作负责人</w:t>
              </w:r>
              <w:r>
                <w:rPr>
                  <w:rFonts w:hint="eastAsia"/>
                  <w:szCs w:val="21"/>
                </w:rPr>
                <w:t>：</w:t>
              </w:r>
              <w:sdt>
                <w:sdtPr>
                  <w:rPr>
                    <w:rFonts w:hint="eastAsia"/>
                    <w:szCs w:val="21"/>
                  </w:rPr>
                  <w:alias w:val="主管会计工作负责人姓名"/>
                  <w:tag w:val="_GBC_3008dab61aca43f0a6d82ef192943e79"/>
                  <w:id w:val="6541"/>
                  <w:placeholder>
                    <w:docPart w:val="GBC22222222222222222222222222222"/>
                  </w:placeholder>
                  <w:dataBinding w:prefixMappings="xmlns:clcid-mr='clcid-mr'" w:xpath="/*/clcid-mr:ZhuGuanKuaiJiGongZuoFuZeRenXingMing[not(@periodRef)]" w:storeItemID="{89EBAB94-44A0-46A2-B712-30D997D04A6D}"/>
                  <w:text/>
                </w:sdtPr>
                <w:sdtEndPr>
                  <w:rPr>
                    <w:rFonts w:hint="eastAsia"/>
                    <w:szCs w:val="21"/>
                  </w:rPr>
                </w:sdtEndPr>
                <w:sdtContent>
                  <w:r>
                    <w:rPr>
                      <w:rFonts w:hint="eastAsia"/>
                      <w:szCs w:val="21"/>
                      <w:lang w:eastAsia="zh-CN"/>
                    </w:rPr>
                    <w:t>龚慧泉</w:t>
                  </w:r>
                </w:sdtContent>
              </w:sdt>
              <w:r>
                <w:rPr>
                  <w:rFonts w:hint="eastAsia"/>
                  <w:szCs w:val="21"/>
                </w:rPr>
                <w:t xml:space="preserve"> </w:t>
              </w:r>
              <w:r>
                <w:rPr>
                  <w:rFonts w:hint="eastAsia"/>
                  <w:szCs w:val="21"/>
                  <w:lang w:val="en-US" w:eastAsia="zh-CN"/>
                </w:rPr>
                <w:t xml:space="preserve">                               </w:t>
              </w:r>
              <w:r>
                <w:rPr>
                  <w:szCs w:val="21"/>
                </w:rPr>
                <w:t>会计机构负责人</w:t>
              </w:r>
              <w:r>
                <w:rPr>
                  <w:rFonts w:hint="eastAsia"/>
                  <w:szCs w:val="21"/>
                </w:rPr>
                <w:t>：</w:t>
              </w:r>
              <w:sdt>
                <w:sdtPr>
                  <w:rPr>
                    <w:rFonts w:hint="eastAsia"/>
                    <w:szCs w:val="21"/>
                  </w:rPr>
                  <w:alias w:val="会计机构负责人姓名"/>
                  <w:tag w:val="_GBC_e6c21b270080402ca8dbdc0cab514bde"/>
                  <w:id w:val="6542"/>
                  <w:placeholder>
                    <w:docPart w:val="GBC22222222222222222222222222222"/>
                  </w:placeholder>
                  <w:dataBinding w:prefixMappings="xmlns:clcid-mr='clcid-mr'" w:xpath="/*/clcid-mr:KuaiJiJiGouFuZeRenXingMing[not(@periodRef)]" w:storeItemID="{89EBAB94-44A0-46A2-B712-30D997D04A6D}"/>
                  <w:text/>
                </w:sdtPr>
                <w:sdtEndPr>
                  <w:rPr>
                    <w:rFonts w:hint="eastAsia"/>
                    <w:szCs w:val="21"/>
                  </w:rPr>
                </w:sdtEndPr>
                <w:sdtContent>
                  <w:r>
                    <w:rPr>
                      <w:rFonts w:hint="eastAsia"/>
                      <w:szCs w:val="21"/>
                      <w:lang w:eastAsia="zh-CN"/>
                    </w:rPr>
                    <w:t>游发禄</w:t>
                  </w:r>
                </w:sdtContent>
              </w:sdt>
            </w:p>
          </w:sdtContent>
        </w:sdt>
      </w:sdtContent>
    </w:sdt>
    <w:bookmarkEnd w:id="188"/>
    <w:p>
      <w:pPr>
        <w:snapToGrid w:val="0"/>
        <w:spacing w:line="240" w:lineRule="atLeast"/>
        <w:ind w:right="-153" w:rightChars="-73"/>
        <w:rPr>
          <w:b/>
          <w:bCs/>
          <w:color w:val="FF0000"/>
          <w:szCs w:val="21"/>
        </w:rPr>
      </w:pPr>
      <w:bookmarkStart w:id="189" w:name="_Hlk24980162"/>
      <w:bookmarkEnd w:id="189"/>
    </w:p>
    <w:p>
      <w:pPr>
        <w:snapToGrid w:val="0"/>
        <w:spacing w:line="240" w:lineRule="atLeast"/>
        <w:rPr>
          <w:szCs w:val="21"/>
        </w:rPr>
        <w:sectPr>
          <w:pgSz w:w="16838" w:h="11906" w:orient="landscape"/>
          <w:pgMar w:top="1276" w:right="1440" w:bottom="1797" w:left="1525" w:header="856" w:footer="992" w:gutter="0"/>
          <w:cols w:space="425" w:num="1"/>
          <w:docGrid w:linePitch="312" w:charSpace="0"/>
        </w:sectPr>
      </w:pPr>
      <w:bookmarkStart w:id="190" w:name="_Hlk533930396"/>
    </w:p>
    <w:bookmarkEnd w:id="190"/>
    <w:sdt>
      <w:sdtPr>
        <w:tag w:val="_PLD_e12119f2cfa8496984586677d1a0bc0b"/>
        <w:id w:val="6543"/>
      </w:sdtPr>
      <w:sdtEndPr>
        <w:rPr>
          <w:rFonts w:cs="Times New Roman"/>
          <w:b/>
          <w:bCs/>
          <w:kern w:val="2"/>
          <w:szCs w:val="21"/>
        </w:rPr>
      </w:sdtEndPr>
      <w:sdtContent>
        <w:p>
          <w:pPr>
            <w:pStyle w:val="3"/>
            <w:numPr>
              <w:ilvl w:val="0"/>
              <w:numId w:val="52"/>
            </w:numPr>
            <w:rPr>
              <w:rFonts w:hint="eastAsia" w:ascii="宋体" w:hAnsi="宋体"/>
            </w:rPr>
          </w:pPr>
          <w:r>
            <w:rPr>
              <w:rFonts w:ascii="宋体" w:hAnsi="宋体"/>
            </w:rPr>
            <w:t>公司基本情况</w:t>
          </w:r>
        </w:p>
      </w:sdtContent>
    </w:sdt>
    <w:p>
      <w:pPr>
        <w:pStyle w:val="4"/>
        <w:numPr>
          <w:ilvl w:val="0"/>
          <w:numId w:val="53"/>
        </w:numPr>
      </w:pPr>
      <w:r>
        <w:rPr>
          <w:rFonts w:hint="eastAsia"/>
        </w:rPr>
        <w:t>公司概况</w:t>
      </w:r>
    </w:p>
    <w:sdt>
      <w:sdtPr>
        <w:rPr>
          <w:rFonts w:hint="eastAsia"/>
          <w:szCs w:val="21"/>
        </w:rPr>
        <w:alias w:val="是否适用：公司概况[双击切换]"/>
        <w:tag w:val="_GBC_7b613deb8c7f4027b73602e5cd1d4a2e"/>
        <w:id w:val="6544"/>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szCs w:val="21"/>
        </w:rPr>
        <w:alias w:val="公司概况"/>
        <w:tag w:val="_GBC_dfec127af3a7441dade8cb0f67119e66"/>
        <w:id w:val="6545"/>
        <w:placeholder>
          <w:docPart w:val="GBC22222222222222222222222222222"/>
        </w:placeholder>
      </w:sdtPr>
      <w:sdtEndPr>
        <w:rPr>
          <w:rFonts w:ascii="Times New Roman" w:hAnsi="Times New Roman" w:eastAsia="宋体"/>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公司名称：柳州两面针股份有限公司</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英文名称：LIUZHOULIANGMIANZHENCO.,LTD</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注册地址：广西柳州市东环大道282号</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注册资本：550,000,000.00元</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统一社会信用代码：914502001982303373</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法定代表人：周云祥</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b/>
              <w:bCs/>
              <w:szCs w:val="21"/>
            </w:rPr>
          </w:pPr>
          <w:r>
            <w:rPr>
              <w:rFonts w:hint="eastAsia" w:ascii="宋体" w:eastAsia="宋体"/>
              <w:b/>
              <w:bCs/>
              <w:sz w:val="24"/>
              <w:szCs w:val="24"/>
            </w:rPr>
            <w:t>（一）公司简介</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eastAsia="宋体"/>
              <w:sz w:val="21"/>
              <w:szCs w:val="21"/>
            </w:rPr>
          </w:pPr>
          <w:r>
            <w:rPr>
              <w:rFonts w:hint="eastAsia" w:ascii="Times New Roman" w:hAnsi="Times New Roman" w:eastAsia="宋体"/>
              <w:sz w:val="21"/>
              <w:szCs w:val="21"/>
            </w:rPr>
            <w:t>柳州两面针股份有限公司（以下简称“本公司”或“公司”）前身为柳州市牙膏厂，1993年经广西壮族自治区经济体制改革委员会桂体改股字[1993]156号文批准，由柳州市牙膏厂独家发起，采取定向募集方式设立为股份有限公司，总股本7,500万元人民币，每股面值1元。</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eastAsia="宋体"/>
              <w:sz w:val="21"/>
              <w:szCs w:val="21"/>
            </w:rPr>
          </w:pPr>
          <w:r>
            <w:rPr>
              <w:rFonts w:hint="eastAsia" w:ascii="Times New Roman" w:hAnsi="Times New Roman" w:eastAsia="宋体"/>
              <w:sz w:val="21"/>
              <w:szCs w:val="21"/>
            </w:rPr>
            <w:t>根据广西壮族自治区经济体制改革委员会桂体改股字[1997]10号文件批复，同意本公司1996年度分红派息方案，即公司向全体股东每10股送红股2股，共送红股1,500万股。至此，本公司总股本为9,000万股。</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eastAsia="宋体"/>
              <w:sz w:val="21"/>
              <w:szCs w:val="21"/>
            </w:rPr>
          </w:pPr>
          <w:r>
            <w:rPr>
              <w:rFonts w:hint="eastAsia" w:ascii="Times New Roman" w:hAnsi="Times New Roman" w:eastAsia="宋体"/>
              <w:sz w:val="21"/>
              <w:szCs w:val="21"/>
            </w:rPr>
            <w:t>2003年11月，经中国证券监督管理委员会证监发行字[2003]136号文核准，本公司向社会公开发行人民币普通股股票6,000万股，并于2004年1月30日在上海证券交易所上市。证券简称为“两面针”，证券代码为“600249”。公开发行后，本公司注册资本为人民币150,000,000.00元。</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eastAsia="宋体"/>
              <w:sz w:val="21"/>
              <w:szCs w:val="21"/>
            </w:rPr>
          </w:pPr>
          <w:r>
            <w:rPr>
              <w:rFonts w:hint="eastAsia" w:ascii="Times New Roman" w:hAnsi="Times New Roman" w:eastAsia="宋体"/>
              <w:sz w:val="21"/>
              <w:szCs w:val="21"/>
            </w:rPr>
            <w:t>经过历年的派送红股、转增股本及增发新股，截止2025年12月31日，本公司累计发行股本总数55,000万股，注册资本为55,000.00万元。</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eastAsia="宋体"/>
              <w:b/>
              <w:bCs/>
              <w:sz w:val="21"/>
              <w:szCs w:val="21"/>
            </w:rPr>
          </w:pPr>
          <w:r>
            <w:rPr>
              <w:rFonts w:hint="eastAsia" w:ascii="Times New Roman" w:hAnsi="Times New Roman" w:eastAsia="宋体"/>
              <w:b/>
              <w:bCs/>
              <w:sz w:val="21"/>
              <w:szCs w:val="21"/>
            </w:rPr>
            <w:t>（二）本公司实际控制人</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eastAsia="宋体"/>
              <w:sz w:val="21"/>
              <w:szCs w:val="21"/>
            </w:rPr>
          </w:pPr>
          <w:r>
            <w:rPr>
              <w:rFonts w:hint="eastAsia" w:ascii="Times New Roman" w:hAnsi="Times New Roman" w:eastAsia="宋体"/>
              <w:sz w:val="21"/>
              <w:szCs w:val="21"/>
            </w:rPr>
            <w:t>截至2025年12月31日，</w:t>
          </w:r>
          <w:r>
            <w:rPr>
              <w:rFonts w:ascii="Times New Roman" w:hAnsi="Times New Roman" w:eastAsia="宋体"/>
              <w:sz w:val="21"/>
              <w:szCs w:val="21"/>
            </w:rPr>
            <w:t>公司的控股股东为广西柳州市产业投资发展集团有限公司</w:t>
          </w:r>
          <w:r>
            <w:rPr>
              <w:rFonts w:hint="eastAsia"/>
              <w:sz w:val="21"/>
              <w:szCs w:val="21"/>
              <w:lang w:eastAsia="zh-CN"/>
            </w:rPr>
            <w:t>，</w:t>
          </w:r>
          <w:r>
            <w:rPr>
              <w:rFonts w:ascii="Times New Roman" w:hAnsi="Times New Roman" w:eastAsia="宋体"/>
              <w:sz w:val="21"/>
              <w:szCs w:val="21"/>
            </w:rPr>
            <w:t>持有本公司</w:t>
          </w:r>
          <w:r>
            <w:rPr>
              <w:rFonts w:hint="eastAsia" w:ascii="Times New Roman" w:hAnsi="Times New Roman" w:eastAsia="宋体"/>
              <w:sz w:val="21"/>
              <w:szCs w:val="21"/>
            </w:rPr>
            <w:t>183,360,652</w:t>
          </w:r>
          <w:r>
            <w:rPr>
              <w:rFonts w:ascii="Times New Roman" w:hAnsi="Times New Roman" w:eastAsia="宋体"/>
              <w:sz w:val="21"/>
              <w:szCs w:val="21"/>
            </w:rPr>
            <w:t>股，占公司总股本的</w:t>
          </w:r>
          <w:r>
            <w:rPr>
              <w:rFonts w:hint="eastAsia" w:ascii="Times New Roman" w:hAnsi="Times New Roman" w:eastAsia="宋体"/>
              <w:sz w:val="21"/>
              <w:szCs w:val="21"/>
            </w:rPr>
            <w:t>33.34%</w:t>
          </w:r>
          <w:r>
            <w:rPr>
              <w:rFonts w:ascii="Times New Roman" w:hAnsi="Times New Roman" w:eastAsia="宋体"/>
              <w:sz w:val="21"/>
              <w:szCs w:val="21"/>
            </w:rPr>
            <w:t>，</w:t>
          </w:r>
          <w:r>
            <w:rPr>
              <w:rFonts w:hint="eastAsia" w:ascii="Times New Roman" w:hAnsi="Times New Roman" w:eastAsia="宋体"/>
              <w:sz w:val="21"/>
              <w:szCs w:val="21"/>
            </w:rPr>
            <w:t>公司的实际控制人为柳州市人民政府国有资产监督管理委员会(控股比例(上市公司):3</w:t>
          </w:r>
          <w:r>
            <w:rPr>
              <w:rFonts w:hint="eastAsia"/>
              <w:sz w:val="21"/>
              <w:szCs w:val="21"/>
              <w:lang w:val="en-US" w:eastAsia="zh-CN"/>
            </w:rPr>
            <w:t>5</w:t>
          </w:r>
          <w:r>
            <w:rPr>
              <w:rFonts w:hint="eastAsia" w:ascii="Times New Roman" w:hAnsi="Times New Roman" w:eastAsia="宋体"/>
              <w:sz w:val="21"/>
              <w:szCs w:val="21"/>
            </w:rPr>
            <w:t>.88%)。</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eastAsia="宋体"/>
              <w:b/>
              <w:bCs/>
              <w:sz w:val="21"/>
              <w:szCs w:val="21"/>
            </w:rPr>
          </w:pPr>
          <w:r>
            <w:rPr>
              <w:rFonts w:hint="eastAsia" w:ascii="Times New Roman" w:hAnsi="Times New Roman" w:eastAsia="宋体"/>
              <w:b/>
              <w:bCs/>
              <w:sz w:val="21"/>
              <w:szCs w:val="21"/>
            </w:rPr>
            <w:t>（三）公司业务性质和主要经营活动</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eastAsia="宋体"/>
              <w:sz w:val="21"/>
              <w:szCs w:val="21"/>
            </w:rPr>
          </w:pPr>
          <w:r>
            <w:rPr>
              <w:rFonts w:hint="eastAsia" w:ascii="Times New Roman" w:hAnsi="Times New Roman" w:eastAsia="宋体"/>
              <w:sz w:val="21"/>
              <w:szCs w:val="21"/>
            </w:rPr>
            <w:t>公司以日化产业为主营业务，现有业务分为日化及医药</w:t>
          </w:r>
          <w:r>
            <w:rPr>
              <w:rFonts w:hint="eastAsia"/>
              <w:sz w:val="21"/>
              <w:szCs w:val="21"/>
              <w:lang w:val="en-US" w:eastAsia="zh-CN"/>
            </w:rPr>
            <w:t>两</w:t>
          </w:r>
          <w:r>
            <w:rPr>
              <w:rFonts w:hint="eastAsia" w:ascii="Times New Roman" w:hAnsi="Times New Roman" w:eastAsia="宋体"/>
              <w:sz w:val="21"/>
              <w:szCs w:val="21"/>
            </w:rPr>
            <w:t>个板块。日化板块主要产品为牙膏（含酒店用品牙膏）、洗涤用品；医药板块主要为药品的生产销售。</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eastAsia="宋体"/>
              <w:b/>
              <w:bCs/>
              <w:sz w:val="21"/>
              <w:szCs w:val="21"/>
            </w:rPr>
          </w:pPr>
          <w:r>
            <w:rPr>
              <w:rFonts w:hint="eastAsia" w:ascii="Times New Roman" w:hAnsi="Times New Roman" w:eastAsia="宋体"/>
              <w:b/>
              <w:bCs/>
              <w:sz w:val="21"/>
              <w:szCs w:val="21"/>
            </w:rPr>
            <w:t>（四）财务报表的批准报出</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eastAsia="宋体"/>
              <w:sz w:val="21"/>
              <w:szCs w:val="21"/>
            </w:rPr>
          </w:pPr>
          <w:r>
            <w:rPr>
              <w:rFonts w:hint="eastAsia" w:ascii="Times New Roman" w:hAnsi="Times New Roman" w:eastAsia="宋体"/>
              <w:sz w:val="21"/>
              <w:szCs w:val="21"/>
            </w:rPr>
            <w:t>本财务报表业经本公司于2026年3月25日召开</w:t>
          </w:r>
          <w:r>
            <w:rPr>
              <w:rFonts w:hint="eastAsia" w:ascii="Times New Roman" w:hAnsi="Times New Roman" w:eastAsia="宋体"/>
              <w:sz w:val="21"/>
              <w:szCs w:val="21"/>
              <w:highlight w:val="none"/>
            </w:rPr>
            <w:t>的</w:t>
          </w:r>
          <w:r>
            <w:rPr>
              <w:rFonts w:hint="eastAsia"/>
              <w:sz w:val="21"/>
              <w:szCs w:val="21"/>
              <w:highlight w:val="none"/>
              <w:lang w:val="en-US" w:eastAsia="zh-CN"/>
            </w:rPr>
            <w:t>第九届董事会第二次会议</w:t>
          </w:r>
          <w:r>
            <w:rPr>
              <w:rFonts w:hint="eastAsia" w:ascii="Times New Roman" w:hAnsi="Times New Roman" w:eastAsia="宋体"/>
              <w:sz w:val="21"/>
              <w:szCs w:val="21"/>
            </w:rPr>
            <w:t>批准报出。</w:t>
          </w:r>
        </w:p>
      </w:sdtContent>
    </w:sdt>
    <w:p>
      <w:pPr>
        <w:rPr>
          <w:szCs w:val="21"/>
        </w:rPr>
      </w:pPr>
    </w:p>
    <w:p>
      <w:pPr>
        <w:pStyle w:val="3"/>
        <w:numPr>
          <w:ilvl w:val="0"/>
          <w:numId w:val="52"/>
        </w:numPr>
        <w:rPr>
          <w:rFonts w:hint="eastAsia" w:ascii="宋体" w:hAnsi="宋体"/>
        </w:rPr>
      </w:pPr>
      <w:bookmarkStart w:id="191" w:name="OLE_LINK10"/>
      <w:r>
        <w:rPr>
          <w:rFonts w:hint="eastAsia" w:ascii="宋体" w:hAnsi="宋体"/>
        </w:rPr>
        <w:t>财务报表的编制基础</w:t>
      </w:r>
    </w:p>
    <w:bookmarkEnd w:id="191"/>
    <w:p>
      <w:pPr>
        <w:pStyle w:val="4"/>
        <w:numPr>
          <w:ilvl w:val="0"/>
          <w:numId w:val="54"/>
        </w:numPr>
      </w:pPr>
      <w:r>
        <w:t>编制基础</w:t>
      </w:r>
    </w:p>
    <w:sdt>
      <w:sdtPr>
        <w:rPr>
          <w:rFonts w:hint="eastAsia" w:ascii="Times New Roman" w:hAnsi="Times New Roman"/>
          <w:szCs w:val="21"/>
        </w:rPr>
        <w:alias w:val="财务报表的编制基础"/>
        <w:tag w:val="_GBC_1dc2375ed7ab49628f5badf2d5006405"/>
        <w:id w:val="6546"/>
        <w:placeholder>
          <w:docPart w:val="GBC22222222222222222222222222222"/>
        </w:placeholder>
      </w:sdtPr>
      <w:sdtEndPr>
        <w:rPr>
          <w:rFonts w:hint="eastAsia" w:ascii="Times New Roman" w:hAnsi="Times New Roman" w:eastAsia="宋体" w:cs="宋体"/>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52"/>
            <w:textAlignment w:val="auto"/>
            <w:rPr>
              <w:rFonts w:hint="eastAsia" w:ascii="Times New Roman" w:hAnsi="Times New Roman" w:eastAsia="宋体" w:cs="宋体"/>
              <w:sz w:val="21"/>
              <w:szCs w:val="21"/>
            </w:rPr>
          </w:pPr>
          <w:r>
            <w:rPr>
              <w:rFonts w:hint="eastAsia"/>
              <w:szCs w:val="21"/>
              <w:lang w:val="en-US" w:eastAsia="zh-CN"/>
            </w:rPr>
            <w:t xml:space="preserve"> </w:t>
          </w:r>
          <w:r>
            <w:rPr>
              <w:rFonts w:hint="eastAsia" w:ascii="Times New Roman" w:hAnsi="Times New Roman" w:eastAsia="宋体" w:cs="宋体"/>
              <w:sz w:val="21"/>
              <w:szCs w:val="21"/>
            </w:rPr>
            <w:t>本公司财务报表以持续经营假设为基础，根据实际发生的交易和事项，按照财政部颁布的《企业会计准则——基本准则》和各项具体会计准则、企业会计准则应用指南、企业会计准则解释及其他相关规定（以下合称“企业会计准则”），以及中国证券监督管理委员会《公开发行证券的公司信息披露编报规则第15号——财务报告的一般规定》（2023年修订）的披露规定编制。</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宋体"/>
              <w:sz w:val="21"/>
              <w:szCs w:val="21"/>
            </w:rPr>
          </w:pPr>
          <w:r>
            <w:rPr>
              <w:rFonts w:hint="eastAsia" w:ascii="Times New Roman" w:hAnsi="Times New Roman" w:eastAsia="宋体" w:cs="宋体"/>
              <w:sz w:val="21"/>
              <w:szCs w:val="21"/>
            </w:rPr>
            <w:t>根据企业会计准则的相关规定，本公司会计核算以权责发生制为基础。除某些金融工具外，本财务报表均以历史成本为计量基础。资产如果发生减值，则按照相关规定计提相应的减值准备。</w:t>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宋体" w:cs="宋体"/>
          <w:sz w:val="21"/>
          <w:szCs w:val="21"/>
        </w:rPr>
      </w:pPr>
    </w:p>
    <w:p>
      <w:pPr>
        <w:pStyle w:val="4"/>
        <w:numPr>
          <w:ilvl w:val="0"/>
          <w:numId w:val="54"/>
        </w:numPr>
        <w:rPr>
          <w:sz w:val="21"/>
          <w:szCs w:val="21"/>
        </w:rPr>
      </w:pPr>
      <w:r>
        <w:rPr>
          <w:rFonts w:hint="eastAsia"/>
          <w:sz w:val="21"/>
          <w:szCs w:val="21"/>
        </w:rPr>
        <w:t>持续经营</w:t>
      </w:r>
    </w:p>
    <w:sdt>
      <w:sdtPr>
        <w:rPr>
          <w:rFonts w:hint="eastAsia"/>
          <w:sz w:val="21"/>
          <w:szCs w:val="21"/>
        </w:rPr>
        <w:alias w:val="是否适用：持续经营[双击切换]"/>
        <w:tag w:val="_GBC_fa7177dc4f164e56b4df7bebc60acf50"/>
        <w:id w:val="6547"/>
        <w:placeholder>
          <w:docPart w:val="GBC22222222222222222222222222222"/>
        </w:placeholder>
      </w:sdtPr>
      <w:sdtEndPr>
        <w:rPr>
          <w:rFonts w:hint="eastAsia"/>
          <w:sz w:val="21"/>
          <w:szCs w:val="21"/>
        </w:rPr>
      </w:sdtEndPr>
      <w:sdtContent>
        <w:p>
          <w:pPr>
            <w:rPr>
              <w:sz w:val="21"/>
              <w:szCs w:val="21"/>
            </w:rPr>
          </w:pPr>
          <w:r>
            <w:rPr>
              <w:rFonts w:ascii="宋体" w:hAnsi="宋体"/>
              <w:sz w:val="21"/>
              <w:szCs w:val="21"/>
            </w:rPr>
            <w:fldChar w:fldCharType="begin"/>
          </w:r>
          <w:r>
            <w:rPr>
              <w:rFonts w:ascii="宋体" w:hAnsi="宋体"/>
              <w:sz w:val="21"/>
              <w:szCs w:val="21"/>
            </w:rPr>
            <w:instrText xml:space="preserve"> </w:instrText>
          </w:r>
          <w:r>
            <w:rPr>
              <w:rFonts w:hint="eastAsia" w:ascii="宋体" w:hAnsi="宋体"/>
              <w:sz w:val="21"/>
              <w:szCs w:val="21"/>
            </w:rPr>
            <w:instrText xml:space="preserve">MACROBUTTON  SnrToggleCheckbox √适用 </w:instrText>
          </w:r>
          <w:r>
            <w:rPr>
              <w:rFonts w:ascii="宋体" w:hAnsi="宋体"/>
              <w:sz w:val="21"/>
              <w:szCs w:val="21"/>
            </w:rPr>
            <w:fldChar w:fldCharType="end"/>
          </w:r>
          <w:r>
            <w:rPr>
              <w:rFonts w:ascii="宋体" w:hAnsi="宋体"/>
              <w:sz w:val="21"/>
              <w:szCs w:val="21"/>
            </w:rPr>
            <w:fldChar w:fldCharType="begin"/>
          </w:r>
          <w:r>
            <w:rPr>
              <w:rFonts w:ascii="宋体" w:hAnsi="宋体"/>
              <w:sz w:val="21"/>
              <w:szCs w:val="21"/>
            </w:rPr>
            <w:instrText xml:space="preserve"> MACROBUTTON  SnrToggleCheckbox □不适用 </w:instrText>
          </w:r>
          <w:r>
            <w:rPr>
              <w:rFonts w:ascii="宋体" w:hAnsi="宋体"/>
              <w:sz w:val="21"/>
              <w:szCs w:val="21"/>
            </w:rPr>
            <w:fldChar w:fldCharType="end"/>
          </w:r>
        </w:p>
      </w:sdtContent>
    </w:sdt>
    <w:sdt>
      <w:sdtPr>
        <w:rPr>
          <w:sz w:val="21"/>
          <w:szCs w:val="21"/>
        </w:rPr>
        <w:alias w:val="持续经营"/>
        <w:tag w:val="_GBC_dc876c24006b428987a041949eb554f3"/>
        <w:id w:val="6548"/>
        <w:placeholder>
          <w:docPart w:val="GBC22222222222222222222222222222"/>
        </w:placeholder>
      </w:sdtPr>
      <w:sdtEndPr>
        <w:rPr>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sz w:val="21"/>
              <w:szCs w:val="21"/>
            </w:rPr>
          </w:pPr>
          <w:r>
            <w:rPr>
              <w:rFonts w:hint="eastAsia" w:ascii="宋体" w:eastAsia="宋体"/>
              <w:sz w:val="21"/>
              <w:szCs w:val="21"/>
            </w:rPr>
            <w:t>本公司对报告期末起</w:t>
          </w:r>
          <w:r>
            <w:rPr>
              <w:rFonts w:hint="default" w:ascii="Times New Roman" w:hAnsi="Times New Roman" w:eastAsia="宋体" w:cs="Times New Roman"/>
              <w:sz w:val="21"/>
              <w:szCs w:val="21"/>
            </w:rPr>
            <w:t>12</w:t>
          </w:r>
          <w:r>
            <w:rPr>
              <w:rFonts w:hint="eastAsia" w:ascii="宋体" w:eastAsia="宋体"/>
              <w:sz w:val="21"/>
              <w:szCs w:val="21"/>
            </w:rPr>
            <w:t>个月的持续经营能力进行了评价，未发现对持续经营能力产生重大怀疑的事项或情况。因此，本财务报表系在持续经营假设的基础上编制。</w:t>
          </w:r>
        </w:p>
      </w:sdtContent>
    </w:sdt>
    <w:p>
      <w:pPr>
        <w:rPr>
          <w:sz w:val="21"/>
          <w:szCs w:val="21"/>
        </w:rPr>
      </w:pPr>
    </w:p>
    <w:sdt>
      <w:sdtPr>
        <w:rPr>
          <w:sz w:val="21"/>
          <w:szCs w:val="21"/>
        </w:rPr>
        <w:tag w:val="_PLD_2a8654af39244f94856bf73ac1879f3c"/>
        <w:id w:val="6549"/>
      </w:sdtPr>
      <w:sdtEndPr>
        <w:rPr>
          <w:rFonts w:hint="default"/>
          <w:sz w:val="21"/>
          <w:szCs w:val="21"/>
        </w:rPr>
      </w:sdtEndPr>
      <w:sdtContent>
        <w:p>
          <w:pPr>
            <w:pStyle w:val="3"/>
            <w:numPr>
              <w:ilvl w:val="0"/>
              <w:numId w:val="52"/>
            </w:numPr>
            <w:rPr>
              <w:rFonts w:hint="eastAsia" w:ascii="宋体" w:hAnsi="宋体"/>
              <w:sz w:val="21"/>
              <w:szCs w:val="21"/>
            </w:rPr>
          </w:pPr>
          <w:r>
            <w:rPr>
              <w:rFonts w:hint="eastAsia" w:ascii="宋体" w:hAnsi="宋体"/>
              <w:sz w:val="21"/>
              <w:szCs w:val="21"/>
            </w:rPr>
            <w:t>重</w:t>
          </w:r>
          <w:r>
            <w:rPr>
              <w:rFonts w:ascii="宋体" w:hAnsi="宋体"/>
              <w:sz w:val="21"/>
              <w:szCs w:val="21"/>
            </w:rPr>
            <w:t>要会计政策</w:t>
          </w:r>
          <w:r>
            <w:rPr>
              <w:rFonts w:hint="eastAsia" w:ascii="宋体" w:hAnsi="宋体"/>
              <w:sz w:val="21"/>
              <w:szCs w:val="21"/>
            </w:rPr>
            <w:t>及</w:t>
          </w:r>
          <w:r>
            <w:rPr>
              <w:rFonts w:ascii="宋体" w:hAnsi="宋体"/>
              <w:sz w:val="21"/>
              <w:szCs w:val="21"/>
            </w:rPr>
            <w:t>会计估计</w:t>
          </w:r>
        </w:p>
      </w:sdtContent>
    </w:sdt>
    <w:p>
      <w:pPr>
        <w:rPr>
          <w:sz w:val="21"/>
          <w:szCs w:val="21"/>
        </w:rPr>
      </w:pPr>
      <w:r>
        <w:rPr>
          <w:rFonts w:hint="eastAsia"/>
          <w:sz w:val="21"/>
          <w:szCs w:val="21"/>
        </w:rPr>
        <w:t>具体会计政策和会计估计提示：</w:t>
      </w:r>
    </w:p>
    <w:sdt>
      <w:sdtPr>
        <w:rPr>
          <w:sz w:val="21"/>
          <w:szCs w:val="21"/>
        </w:rPr>
        <w:alias w:val="是否适用：具体会计政策和会计估计提示[双击切换]"/>
        <w:tag w:val="_GBC_86fd142a599649f8a3574e6ddaba5f71"/>
        <w:id w:val="6550"/>
        <w:placeholder>
          <w:docPart w:val="GBC22222222222222222222222222222"/>
        </w:placeholder>
      </w:sdtPr>
      <w:sdtEndPr>
        <w:rPr>
          <w:sz w:val="21"/>
          <w:szCs w:val="21"/>
        </w:rPr>
      </w:sdtEndPr>
      <w:sdtContent>
        <w:p>
          <w:pPr>
            <w:rPr>
              <w:sz w:val="21"/>
              <w:szCs w:val="21"/>
            </w:rPr>
          </w:pPr>
          <w:r>
            <w:rPr>
              <w:rFonts w:ascii="宋体" w:hAnsi="宋体"/>
              <w:sz w:val="21"/>
              <w:szCs w:val="21"/>
            </w:rPr>
            <w:fldChar w:fldCharType="begin"/>
          </w:r>
          <w:r>
            <w:rPr>
              <w:rFonts w:hint="eastAsia" w:ascii="宋体" w:hAnsi="宋体"/>
              <w:sz w:val="21"/>
              <w:szCs w:val="21"/>
            </w:rPr>
            <w:instrText xml:space="preserve">MACROBUTTON  SnrToggleCheckbox √适用 </w:instrText>
          </w:r>
          <w:r>
            <w:rPr>
              <w:rFonts w:ascii="宋体" w:hAnsi="宋体"/>
              <w:sz w:val="21"/>
              <w:szCs w:val="21"/>
            </w:rPr>
            <w:fldChar w:fldCharType="end"/>
          </w:r>
          <w:r>
            <w:rPr>
              <w:rFonts w:ascii="宋体" w:hAnsi="宋体"/>
              <w:sz w:val="21"/>
              <w:szCs w:val="21"/>
            </w:rPr>
            <w:fldChar w:fldCharType="begin"/>
          </w:r>
          <w:r>
            <w:rPr>
              <w:rFonts w:ascii="宋体" w:hAnsi="宋体"/>
              <w:sz w:val="21"/>
              <w:szCs w:val="21"/>
            </w:rPr>
            <w:instrText xml:space="preserve"> MACROBUTTON  SnrToggleCheckbox □不适用 </w:instrText>
          </w:r>
          <w:r>
            <w:rPr>
              <w:rFonts w:ascii="宋体" w:hAnsi="宋体"/>
              <w:sz w:val="21"/>
              <w:szCs w:val="21"/>
            </w:rPr>
            <w:fldChar w:fldCharType="end"/>
          </w:r>
        </w:p>
      </w:sdtContent>
    </w:sdt>
    <w:sdt>
      <w:sdtPr>
        <w:rPr>
          <w:sz w:val="21"/>
          <w:szCs w:val="21"/>
        </w:rPr>
        <w:alias w:val="具体会计政策和会计估计提示"/>
        <w:tag w:val="_GBC_caddaeaf0d1a454ab0bede37f0db7782"/>
        <w:id w:val="6551"/>
        <w:placeholder>
          <w:docPart w:val="GBC22222222222222222222222222222"/>
        </w:placeholder>
      </w:sdtPr>
      <w:sdtEndPr>
        <w:rPr>
          <w:rFonts w:hint="eastAsia" w:ascii="Times New Roman" w:hAnsi="Times New Roman" w:eastAsia="宋体" w:cs="Times New Roman"/>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17"/>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本公司根据生产经营特点确定具体会计政策和会计估计，主要体现在“五、重要会计政策及会计估计”之“16.存货”、“21.固定资产”、“26.无形资产”、“34.收入”。</w:t>
          </w:r>
        </w:p>
      </w:sdtContent>
    </w:sdt>
    <w:p/>
    <w:p>
      <w:pPr>
        <w:pStyle w:val="4"/>
        <w:numPr>
          <w:ilvl w:val="0"/>
          <w:numId w:val="55"/>
        </w:numPr>
      </w:pPr>
      <w:r>
        <w:t>遵循企业会计准则的声明</w:t>
      </w:r>
    </w:p>
    <w:sdt>
      <w:sdtPr>
        <w:rPr>
          <w:rFonts w:hint="eastAsia"/>
          <w:szCs w:val="21"/>
        </w:rPr>
        <w:alias w:val="会计准则和会计制度"/>
        <w:tag w:val="_GBC_a350b889163a4ef3bb500c021e6a6b47"/>
        <w:id w:val="6552"/>
        <w:placeholder>
          <w:docPart w:val="GBC22222222222222222222222222222"/>
        </w:placeholder>
      </w:sdtPr>
      <w:sdtEndPr>
        <w:rPr>
          <w:rFonts w:hint="eastAsia"/>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sz w:val="21"/>
              <w:szCs w:val="21"/>
            </w:rPr>
          </w:pPr>
          <w:r>
            <w:rPr>
              <w:rFonts w:hint="eastAsia"/>
              <w:szCs w:val="21"/>
              <w:lang w:val="en-US" w:eastAsia="zh-CN"/>
            </w:rPr>
            <w:t xml:space="preserve">   </w:t>
          </w:r>
          <w:r>
            <w:rPr>
              <w:sz w:val="21"/>
              <w:szCs w:val="21"/>
            </w:rPr>
            <w:t>本公司所编制的财务报表符合企业会计准则的要求，真实、完整地反映了公司的财务状况、经营成果、现金流量等有关信息。</w:t>
          </w:r>
        </w:p>
      </w:sdtContent>
    </w:sdt>
    <w:p>
      <w:pPr>
        <w:rPr>
          <w:szCs w:val="21"/>
        </w:rPr>
      </w:pPr>
    </w:p>
    <w:p>
      <w:pPr>
        <w:pStyle w:val="4"/>
        <w:numPr>
          <w:ilvl w:val="0"/>
          <w:numId w:val="55"/>
        </w:numPr>
      </w:pPr>
      <w:r>
        <w:t>会计期间</w:t>
      </w:r>
    </w:p>
    <w:sdt>
      <w:sdtPr>
        <w:rPr>
          <w:rFonts w:hint="eastAsia"/>
          <w:szCs w:val="21"/>
        </w:rPr>
        <w:alias w:val="会计年度"/>
        <w:tag w:val="_GBC_fc896fba50b143f8a06984831f5d5600"/>
        <w:id w:val="6553"/>
        <w:placeholder>
          <w:docPart w:val="GBC22222222222222222222222222222"/>
        </w:placeholder>
      </w:sdtPr>
      <w:sdtEndPr>
        <w:rPr>
          <w:rFonts w:hint="eastAsia"/>
          <w:sz w:val="21"/>
          <w:szCs w:val="21"/>
        </w:rPr>
      </w:sdtEndPr>
      <w:sdtContent>
        <w:p>
          <w:pPr>
            <w:rPr>
              <w:szCs w:val="21"/>
            </w:rPr>
          </w:pPr>
          <w:r>
            <w:rPr>
              <w:sz w:val="21"/>
              <w:szCs w:val="21"/>
            </w:rPr>
            <w:t>自公历1月1日起至12月31日止为一个会计年度。</w:t>
          </w:r>
        </w:p>
      </w:sdtContent>
    </w:sdt>
    <w:p>
      <w:pPr>
        <w:rPr>
          <w:szCs w:val="21"/>
        </w:rPr>
      </w:pPr>
    </w:p>
    <w:p>
      <w:pPr>
        <w:pStyle w:val="4"/>
        <w:numPr>
          <w:ilvl w:val="0"/>
          <w:numId w:val="55"/>
        </w:numPr>
      </w:pPr>
      <w:r>
        <w:rPr>
          <w:rFonts w:hint="eastAsia"/>
        </w:rPr>
        <w:t>营业周期</w:t>
      </w:r>
    </w:p>
    <w:sdt>
      <w:sdtPr>
        <w:rPr>
          <w:rFonts w:hint="eastAsia"/>
          <w:szCs w:val="21"/>
        </w:rPr>
        <w:alias w:val="是否适用：营业周期[双击切换]"/>
        <w:tag w:val="_GBC_41bd09d0a4bd429996597e58a613259e"/>
        <w:id w:val="6554"/>
        <w:placeholder>
          <w:docPart w:val="GBC22222222222222222222222222222"/>
        </w:placeholder>
      </w:sdtPr>
      <w:sdtEndPr>
        <w:rPr>
          <w:rFonts w:hint="eastAsia"/>
          <w:szCs w:val="21"/>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szCs w:val="21"/>
        </w:rPr>
        <w:alias w:val="营业周期"/>
        <w:tag w:val="_GBC_e145e43187d9463889884f48e9e0b234"/>
        <w:id w:val="6555"/>
        <w:placeholder>
          <w:docPart w:val="GBC22222222222222222222222222222"/>
        </w:placeholder>
      </w:sdtPr>
      <w:sdtEndPr>
        <w:rPr>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15"/>
            <w:textAlignment w:val="auto"/>
            <w:rPr>
              <w:kern w:val="2"/>
              <w:szCs w:val="21"/>
            </w:rPr>
          </w:pPr>
          <w:r>
            <w:rPr>
              <w:rFonts w:hint="eastAsia" w:ascii="宋体" w:eastAsia="宋体"/>
              <w:sz w:val="21"/>
              <w:szCs w:val="21"/>
            </w:rPr>
            <w:t>本公司的营业周期较短，以</w:t>
          </w:r>
          <w:r>
            <w:rPr>
              <w:rFonts w:hint="default" w:ascii="Times New Roman" w:hAnsi="Times New Roman" w:eastAsia="宋体" w:cs="Times New Roman"/>
              <w:sz w:val="21"/>
              <w:szCs w:val="21"/>
            </w:rPr>
            <w:t>12</w:t>
          </w:r>
          <w:r>
            <w:rPr>
              <w:rFonts w:hint="eastAsia" w:ascii="宋体" w:eastAsia="宋体"/>
              <w:sz w:val="21"/>
              <w:szCs w:val="21"/>
            </w:rPr>
            <w:t>个月作为资产和负债的流动性划分标准。</w:t>
          </w:r>
        </w:p>
      </w:sdtContent>
    </w:sdt>
    <w:p>
      <w:pPr>
        <w:rPr>
          <w:szCs w:val="21"/>
        </w:rPr>
      </w:pPr>
    </w:p>
    <w:p>
      <w:pPr>
        <w:pStyle w:val="4"/>
        <w:numPr>
          <w:ilvl w:val="0"/>
          <w:numId w:val="55"/>
        </w:numPr>
      </w:pPr>
      <w:r>
        <w:t>记账本位币</w:t>
      </w:r>
    </w:p>
    <w:sdt>
      <w:sdtPr>
        <w:rPr>
          <w:rFonts w:hint="eastAsia"/>
          <w:szCs w:val="21"/>
        </w:rPr>
        <w:alias w:val="记账本位币"/>
        <w:tag w:val="_GBC_3749a2357eba44e8b968cb41cda75ff1"/>
        <w:id w:val="6556"/>
        <w:placeholder>
          <w:docPart w:val="GBC22222222222222222222222222222"/>
        </w:placeholder>
      </w:sdtPr>
      <w:sdtEndPr>
        <w:rPr>
          <w:rFonts w:hint="eastAsia"/>
          <w:szCs w:val="21"/>
        </w:rPr>
      </w:sdtEndPr>
      <w:sdtContent>
        <w:p>
          <w:pPr>
            <w:ind w:firstLine="365"/>
            <w:rPr>
              <w:szCs w:val="21"/>
            </w:rPr>
          </w:pPr>
          <w:r>
            <w:rPr>
              <w:rFonts w:hint="eastAsia" w:ascii="宋体" w:eastAsia="宋体"/>
              <w:sz w:val="24"/>
              <w:szCs w:val="24"/>
            </w:rPr>
            <w:t>采用人民币为记账本位币。</w:t>
          </w:r>
        </w:p>
      </w:sdtContent>
    </w:sdt>
    <w:p>
      <w:pPr>
        <w:rPr>
          <w:kern w:val="2"/>
          <w:szCs w:val="21"/>
        </w:rPr>
      </w:pPr>
    </w:p>
    <w:p>
      <w:pPr>
        <w:pStyle w:val="4"/>
        <w:numPr>
          <w:ilvl w:val="0"/>
          <w:numId w:val="55"/>
        </w:numPr>
        <w:ind w:left="450" w:hanging="450"/>
        <w:rPr>
          <w:color w:val="000000" w:themeColor="text1"/>
          <w14:textFill>
            <w14:solidFill>
              <w14:schemeClr w14:val="tx1"/>
            </w14:solidFill>
          </w14:textFill>
        </w:rPr>
      </w:pPr>
      <w:bookmarkStart w:id="192" w:name="_Hlk182408346"/>
      <w:bookmarkStart w:id="193" w:name="_Hlk169007161"/>
      <w:bookmarkStart w:id="194" w:name="_Hlk167809539"/>
      <w:r>
        <w:rPr>
          <w:rFonts w:hint="eastAsia"/>
          <w:color w:val="000000" w:themeColor="text1"/>
          <w14:textFill>
            <w14:solidFill>
              <w14:schemeClr w14:val="tx1"/>
            </w14:solidFill>
          </w14:textFill>
        </w:rPr>
        <w:t>重要性标准确定方法和选择依据</w:t>
      </w:r>
    </w:p>
    <w:sdt>
      <w:sdtPr>
        <w:rPr>
          <w:color w:val="000000" w:themeColor="text1"/>
          <w14:textFill>
            <w14:solidFill>
              <w14:schemeClr w14:val="tx1"/>
            </w14:solidFill>
          </w14:textFill>
        </w:rPr>
        <w:alias w:val="是否适用：重要性标准确定方法和选择依据[双击切换]"/>
        <w:tag w:val="_GBC_f3fe7ba4d0b64357b4a1c06c771e5b1a"/>
        <w:id w:val="6557"/>
        <w:placeholder>
          <w:docPart w:val="GBC22222222222222222222222222222"/>
        </w:placeholder>
      </w:sdtPr>
      <w:sdtEndPr>
        <w:rPr>
          <w:color w:val="000000" w:themeColor="text1"/>
          <w14:textFill>
            <w14:solidFill>
              <w14:schemeClr w14:val="tx1"/>
            </w14:solidFill>
          </w14:textFill>
        </w:rPr>
      </w:sdtEndPr>
      <w:sdtContent>
        <w:p>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9"/>
        <w:gridCol w:w="5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9" w:type="dxa"/>
            <w:vAlign w:val="center"/>
          </w:tcPr>
          <w:sdt>
            <w:sdtPr>
              <w:tag w:val="_PLD_0dcbeb4305c44211925953c92ffe63a0"/>
              <w:id w:val="6558"/>
            </w:sdtPr>
            <w:sdtContent>
              <w:p>
                <w:pPr>
                  <w:widowControl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sdtContent>
          </w:sdt>
        </w:tc>
        <w:tc>
          <w:tcPr>
            <w:tcW w:w="5674" w:type="dxa"/>
            <w:vAlign w:val="center"/>
          </w:tcPr>
          <w:sdt>
            <w:sdtPr>
              <w:tag w:val="_PLD_def90d798dba4c27b8c2b37b31086625"/>
              <w:id w:val="6559"/>
            </w:sdtPr>
            <w:sdtContent>
              <w:p>
                <w:pPr>
                  <w:widowControl w:val="0"/>
                  <w:jc w:val="center"/>
                  <w:rPr>
                    <w:color w:val="000000" w:themeColor="text1"/>
                    <w14:textFill>
                      <w14:solidFill>
                        <w14:schemeClr w14:val="tx1"/>
                      </w14:solidFill>
                    </w14:textFill>
                  </w:rPr>
                </w:pPr>
                <w:r>
                  <w:rPr>
                    <w:color w:val="000000" w:themeColor="text1"/>
                    <w14:textFill>
                      <w14:solidFill>
                        <w14:schemeClr w14:val="tx1"/>
                      </w14:solidFill>
                    </w14:textFill>
                  </w:rPr>
                  <w:t>重要性标准</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9" w:type="dxa"/>
            <w:vAlign w:val="center"/>
          </w:tcPr>
          <w:p>
            <w:pPr>
              <w:widowControl w:val="0"/>
              <w:jc w:val="both"/>
            </w:pPr>
            <w:r>
              <w:rPr>
                <w:rStyle w:val="71"/>
                <w:rFonts w:hint="eastAsia"/>
                <w:color w:val="auto"/>
              </w:rPr>
              <w:t>超过1年的重要预付账款</w:t>
            </w:r>
          </w:p>
        </w:tc>
        <w:tc>
          <w:tcPr>
            <w:tcW w:w="5674" w:type="dxa"/>
            <w:vAlign w:val="center"/>
          </w:tcPr>
          <w:p>
            <w:pPr>
              <w:widowControl w:val="0"/>
              <w:jc w:val="both"/>
            </w:pPr>
            <w:r>
              <w:rPr>
                <w:rStyle w:val="71"/>
                <w:rFonts w:hint="eastAsia"/>
                <w:color w:val="auto"/>
              </w:rPr>
              <w:t>金额大于等于100万以上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9" w:type="dxa"/>
            <w:vAlign w:val="center"/>
          </w:tcPr>
          <w:p>
            <w:pPr>
              <w:widowControl w:val="0"/>
              <w:jc w:val="both"/>
            </w:pPr>
            <w:r>
              <w:rPr>
                <w:rStyle w:val="71"/>
                <w:rFonts w:hint="eastAsia"/>
                <w:color w:val="auto"/>
              </w:rPr>
              <w:t>重要的在建工程项目</w:t>
            </w:r>
          </w:p>
        </w:tc>
        <w:tc>
          <w:tcPr>
            <w:tcW w:w="5674" w:type="dxa"/>
            <w:vAlign w:val="center"/>
          </w:tcPr>
          <w:p>
            <w:pPr>
              <w:widowControl w:val="0"/>
              <w:jc w:val="both"/>
            </w:pPr>
            <w:r>
              <w:rPr>
                <w:rStyle w:val="71"/>
                <w:rFonts w:hint="eastAsia"/>
                <w:color w:val="auto"/>
              </w:rPr>
              <w:t>金额大于期初加本期增加合计10%，且大于等于100万以上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9" w:type="dxa"/>
            <w:vAlign w:val="center"/>
          </w:tcPr>
          <w:p>
            <w:pPr>
              <w:widowControl w:val="0"/>
              <w:jc w:val="both"/>
            </w:pPr>
            <w:r>
              <w:rPr>
                <w:rStyle w:val="71"/>
                <w:rFonts w:hint="eastAsia"/>
                <w:color w:val="auto"/>
              </w:rPr>
              <w:t>账龄超过1年的重要应付账款</w:t>
            </w:r>
          </w:p>
        </w:tc>
        <w:tc>
          <w:tcPr>
            <w:tcW w:w="5674" w:type="dxa"/>
            <w:vAlign w:val="center"/>
          </w:tcPr>
          <w:p>
            <w:pPr>
              <w:widowControl w:val="0"/>
              <w:jc w:val="both"/>
            </w:pPr>
            <w:r>
              <w:rPr>
                <w:rStyle w:val="71"/>
                <w:rFonts w:hint="eastAsia"/>
                <w:color w:val="auto"/>
              </w:rPr>
              <w:t>金额大于等于100万以上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9" w:type="dxa"/>
            <w:vAlign w:val="center"/>
          </w:tcPr>
          <w:p>
            <w:pPr>
              <w:widowControl w:val="0"/>
              <w:jc w:val="both"/>
            </w:pPr>
            <w:r>
              <w:rPr>
                <w:rStyle w:val="71"/>
                <w:rFonts w:hint="eastAsia"/>
                <w:color w:val="auto"/>
              </w:rPr>
              <w:t>账龄超过1年的重要其他应付款</w:t>
            </w:r>
          </w:p>
        </w:tc>
        <w:tc>
          <w:tcPr>
            <w:tcW w:w="5674" w:type="dxa"/>
            <w:vAlign w:val="center"/>
          </w:tcPr>
          <w:p>
            <w:pPr>
              <w:widowControl w:val="0"/>
              <w:jc w:val="both"/>
            </w:pPr>
            <w:r>
              <w:rPr>
                <w:rStyle w:val="71"/>
                <w:rFonts w:hint="eastAsia"/>
                <w:color w:val="auto"/>
              </w:rPr>
              <w:t>金额大于等于100万以上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9" w:type="dxa"/>
            <w:vAlign w:val="center"/>
          </w:tcPr>
          <w:p>
            <w:pPr>
              <w:widowControl w:val="0"/>
              <w:jc w:val="both"/>
            </w:pPr>
            <w:r>
              <w:rPr>
                <w:rStyle w:val="71"/>
                <w:rFonts w:hint="eastAsia"/>
                <w:color w:val="auto"/>
              </w:rPr>
              <w:t>重要的非全资子公司</w:t>
            </w:r>
          </w:p>
        </w:tc>
        <w:tc>
          <w:tcPr>
            <w:tcW w:w="5674" w:type="dxa"/>
            <w:vAlign w:val="center"/>
          </w:tcPr>
          <w:p>
            <w:pPr>
              <w:widowControl w:val="0"/>
              <w:jc w:val="both"/>
            </w:pPr>
            <w:r>
              <w:rPr>
                <w:rStyle w:val="71"/>
                <w:rFonts w:hint="eastAsia"/>
                <w:color w:val="auto"/>
              </w:rPr>
              <w:t>非全资子公司收入金额占公司总收入金额比例大于等于10%</w:t>
            </w:r>
          </w:p>
        </w:tc>
      </w:tr>
    </w:tbl>
    <w:p>
      <w:pPr>
        <w:rPr>
          <w:color w:val="000000" w:themeColor="text1"/>
          <w14:textFill>
            <w14:solidFill>
              <w14:schemeClr w14:val="tx1"/>
            </w14:solidFill>
          </w14:textFill>
        </w:rPr>
      </w:pPr>
    </w:p>
    <w:bookmarkEnd w:id="192"/>
    <w:bookmarkEnd w:id="193"/>
    <w:bookmarkEnd w:id="194"/>
    <w:sdt>
      <w:sdtPr>
        <w:rPr>
          <w:rFonts w:cs="宋体" w:asciiTheme="minorHAnsi" w:hAnsiTheme="minorHAnsi"/>
          <w:b w:val="0"/>
          <w:bCs w:val="0"/>
          <w:kern w:val="0"/>
          <w:szCs w:val="22"/>
        </w:rPr>
        <w:tag w:val="_PLD_b1abe80d278c419597f9a06bc5d2a450"/>
        <w:id w:val="6560"/>
      </w:sdtPr>
      <w:sdtEndPr>
        <w:rPr>
          <w:rFonts w:ascii="Calibri" w:hAnsi="Calibri" w:cs="Times New Roman"/>
          <w:b/>
          <w:bCs/>
          <w:kern w:val="2"/>
          <w:szCs w:val="32"/>
        </w:rPr>
      </w:sdtEndPr>
      <w:sdtContent>
        <w:p>
          <w:pPr>
            <w:pStyle w:val="4"/>
            <w:numPr>
              <w:ilvl w:val="0"/>
              <w:numId w:val="55"/>
            </w:numPr>
          </w:pPr>
          <w:r>
            <w:t>同一控制下和非同一控制下企业合并的会计处理方法</w:t>
          </w:r>
        </w:p>
      </w:sdtContent>
    </w:sdt>
    <w:sdt>
      <w:sdtPr>
        <w:rPr>
          <w:rFonts w:hint="eastAsia"/>
          <w:szCs w:val="21"/>
        </w:rPr>
        <w:alias w:val="是否适用：同一控制下和非同一控制下企业合并的会计处理方法[双击切换]"/>
        <w:tag w:val="_GBC_46d00db18b44411d8dd79543c30557e3"/>
        <w:id w:val="6561"/>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b/>
          <w:bCs/>
          <w:szCs w:val="21"/>
        </w:rPr>
        <w:alias w:val="同一控制下和非同一控制下企业合并的会计处理方法"/>
        <w:tag w:val="_GBC_ef4b9a8d4ac34f45a0f61a23267bcbb8"/>
        <w:id w:val="6562"/>
        <w:placeholder>
          <w:docPart w:val="GBC22222222222222222222222222222"/>
        </w:placeholder>
      </w:sdtPr>
      <w:sdtEndPr>
        <w:rPr>
          <w:rFonts w:hint="eastAsia" w:ascii="Times New Roman" w:hAnsi="Times New Roman"/>
          <w:b/>
          <w:bCs/>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65"/>
            <w:textAlignment w:val="auto"/>
            <w:rPr>
              <w:rFonts w:ascii="Times New Roman" w:hAnsi="Times New Roman"/>
              <w:b/>
              <w:bCs/>
              <w:kern w:val="2"/>
              <w:sz w:val="21"/>
              <w:szCs w:val="21"/>
            </w:rPr>
          </w:pPr>
          <w:r>
            <w:rPr>
              <w:rFonts w:hint="eastAsia" w:ascii="Times New Roman" w:hAnsi="Times New Roman" w:eastAsia="宋体"/>
              <w:b/>
              <w:bCs/>
              <w:sz w:val="21"/>
              <w:szCs w:val="21"/>
            </w:rPr>
            <w:t>（1）分步实现企业合并过程中的各项交易的条款、条件以及经济影响符合以下一种或多种情况，将多次交易事项作为一揽子交易进行会计处理：</w:t>
          </w:r>
        </w:p>
        <w:p>
          <w:pPr>
            <w:keepNext w:val="0"/>
            <w:keepLines w:val="0"/>
            <w:pageBreakBefore w:val="0"/>
            <w:widowControl/>
            <w:kinsoku/>
            <w:wordWrap/>
            <w:overflowPunct/>
            <w:topLinePunct w:val="0"/>
            <w:autoSpaceDE/>
            <w:autoSpaceDN/>
            <w:bidi w:val="0"/>
            <w:adjustRightInd/>
            <w:snapToGrid/>
            <w:spacing w:line="400" w:lineRule="exact"/>
            <w:ind w:firstLine="420"/>
            <w:textAlignment w:val="auto"/>
            <w:rPr>
              <w:rFonts w:ascii="Times New Roman" w:hAnsi="Times New Roman"/>
              <w:kern w:val="2"/>
              <w:sz w:val="21"/>
              <w:szCs w:val="21"/>
            </w:rPr>
          </w:pPr>
          <w:r>
            <w:rPr>
              <w:rFonts w:hint="eastAsia" w:ascii="Times New Roman" w:hAnsi="Times New Roman" w:eastAsia="宋体"/>
              <w:sz w:val="21"/>
              <w:szCs w:val="21"/>
            </w:rPr>
            <w:t>①这些交易是同时或者在考虑了彼此影响的情况下订立的；</w:t>
          </w:r>
        </w:p>
        <w:p>
          <w:pPr>
            <w:keepNext w:val="0"/>
            <w:keepLines w:val="0"/>
            <w:pageBreakBefore w:val="0"/>
            <w:widowControl/>
            <w:kinsoku/>
            <w:wordWrap/>
            <w:overflowPunct/>
            <w:topLinePunct w:val="0"/>
            <w:autoSpaceDE/>
            <w:autoSpaceDN/>
            <w:bidi w:val="0"/>
            <w:adjustRightInd/>
            <w:snapToGrid/>
            <w:spacing w:line="400" w:lineRule="exact"/>
            <w:ind w:firstLine="420"/>
            <w:textAlignment w:val="auto"/>
            <w:rPr>
              <w:rFonts w:ascii="Times New Roman" w:hAnsi="Times New Roman"/>
              <w:kern w:val="2"/>
              <w:sz w:val="21"/>
              <w:szCs w:val="21"/>
            </w:rPr>
          </w:pPr>
          <w:r>
            <w:rPr>
              <w:rFonts w:hint="eastAsia" w:ascii="Times New Roman" w:hAnsi="Times New Roman" w:eastAsia="宋体"/>
              <w:sz w:val="21"/>
              <w:szCs w:val="21"/>
            </w:rPr>
            <w:t>②这些交易整体才能达成一项完整的商业结果；</w:t>
          </w:r>
        </w:p>
        <w:p>
          <w:pPr>
            <w:keepNext w:val="0"/>
            <w:keepLines w:val="0"/>
            <w:pageBreakBefore w:val="0"/>
            <w:widowControl/>
            <w:kinsoku/>
            <w:wordWrap/>
            <w:overflowPunct/>
            <w:topLinePunct w:val="0"/>
            <w:autoSpaceDE/>
            <w:autoSpaceDN/>
            <w:bidi w:val="0"/>
            <w:adjustRightInd/>
            <w:snapToGrid/>
            <w:spacing w:line="400" w:lineRule="exact"/>
            <w:ind w:firstLine="420"/>
            <w:textAlignment w:val="auto"/>
            <w:rPr>
              <w:rFonts w:ascii="Times New Roman" w:hAnsi="Times New Roman"/>
              <w:kern w:val="2"/>
              <w:sz w:val="21"/>
              <w:szCs w:val="21"/>
            </w:rPr>
          </w:pPr>
          <w:r>
            <w:rPr>
              <w:rFonts w:hint="eastAsia" w:ascii="Times New Roman" w:hAnsi="Times New Roman" w:eastAsia="宋体"/>
              <w:sz w:val="21"/>
              <w:szCs w:val="21"/>
            </w:rPr>
            <w:t>③一项交易的发生取决于其他至少一项交易的发生；</w:t>
          </w:r>
        </w:p>
        <w:p>
          <w:pPr>
            <w:keepNext w:val="0"/>
            <w:keepLines w:val="0"/>
            <w:pageBreakBefore w:val="0"/>
            <w:widowControl/>
            <w:kinsoku/>
            <w:wordWrap/>
            <w:overflowPunct/>
            <w:topLinePunct w:val="0"/>
            <w:autoSpaceDE/>
            <w:autoSpaceDN/>
            <w:bidi w:val="0"/>
            <w:adjustRightInd/>
            <w:snapToGrid/>
            <w:spacing w:line="400" w:lineRule="exact"/>
            <w:ind w:firstLine="420"/>
            <w:textAlignment w:val="auto"/>
            <w:rPr>
              <w:rFonts w:ascii="Times New Roman" w:hAnsi="Times New Roman"/>
              <w:kern w:val="2"/>
              <w:sz w:val="21"/>
              <w:szCs w:val="21"/>
            </w:rPr>
          </w:pPr>
          <w:r>
            <w:rPr>
              <w:rFonts w:hint="eastAsia" w:ascii="Times New Roman" w:hAnsi="Times New Roman" w:eastAsia="宋体"/>
              <w:sz w:val="21"/>
              <w:szCs w:val="21"/>
            </w:rPr>
            <w:t>④一项交易单独看是不经济的，但是和其他交易一并考虑时是经济的。</w:t>
          </w:r>
        </w:p>
        <w:p>
          <w:pPr>
            <w:keepNext w:val="0"/>
            <w:keepLines w:val="0"/>
            <w:pageBreakBefore w:val="0"/>
            <w:widowControl/>
            <w:kinsoku/>
            <w:wordWrap/>
            <w:overflowPunct/>
            <w:topLinePunct w:val="0"/>
            <w:autoSpaceDE/>
            <w:autoSpaceDN/>
            <w:bidi w:val="0"/>
            <w:adjustRightInd/>
            <w:snapToGrid/>
            <w:spacing w:line="400" w:lineRule="exact"/>
            <w:ind w:firstLine="365"/>
            <w:textAlignment w:val="auto"/>
            <w:rPr>
              <w:rFonts w:ascii="Times New Roman" w:hAnsi="Times New Roman"/>
              <w:b/>
              <w:bCs/>
              <w:kern w:val="2"/>
              <w:sz w:val="21"/>
              <w:szCs w:val="21"/>
            </w:rPr>
          </w:pPr>
          <w:r>
            <w:rPr>
              <w:rFonts w:hint="eastAsia" w:ascii="Times New Roman" w:hAnsi="Times New Roman" w:eastAsia="宋体"/>
              <w:b/>
              <w:bCs/>
              <w:sz w:val="21"/>
              <w:szCs w:val="21"/>
            </w:rPr>
            <w:t>（2）同一控制下的企业合并</w:t>
          </w:r>
        </w:p>
        <w:p>
          <w:pPr>
            <w:keepNext w:val="0"/>
            <w:keepLines w:val="0"/>
            <w:pageBreakBefore w:val="0"/>
            <w:widowControl/>
            <w:kinsoku/>
            <w:wordWrap/>
            <w:overflowPunct/>
            <w:topLinePunct w:val="0"/>
            <w:autoSpaceDE/>
            <w:autoSpaceDN/>
            <w:bidi w:val="0"/>
            <w:adjustRightInd/>
            <w:snapToGrid/>
            <w:spacing w:line="400" w:lineRule="exact"/>
            <w:ind w:firstLine="365"/>
            <w:textAlignment w:val="auto"/>
            <w:rPr>
              <w:rFonts w:ascii="Times New Roman" w:hAnsi="Times New Roman"/>
              <w:kern w:val="2"/>
              <w:sz w:val="21"/>
              <w:szCs w:val="21"/>
            </w:rPr>
          </w:pPr>
          <w:r>
            <w:rPr>
              <w:rFonts w:hint="eastAsia" w:ascii="Times New Roman" w:hAnsi="Times New Roman" w:eastAsia="宋体"/>
              <w:sz w:val="21"/>
              <w:szCs w:val="21"/>
            </w:rPr>
            <w:t>本公司在企业合并中取得的资产和负债，按照合并日在被合并方资产、负债（包括最终控制方收购被合并方而形成的商誉）在最终控制方合并财务报表中的账面价值计量。在合并中取得的净资产账面价值与支付的合并对价账面价值（或发行股份面值总额）的差额，调整资本公积中的股本溢价，资本公积中的股本溢价不足冲减的，调整留存收益。</w:t>
          </w:r>
        </w:p>
        <w:p>
          <w:pPr>
            <w:keepNext w:val="0"/>
            <w:keepLines w:val="0"/>
            <w:pageBreakBefore w:val="0"/>
            <w:widowControl/>
            <w:kinsoku/>
            <w:wordWrap/>
            <w:overflowPunct/>
            <w:topLinePunct w:val="0"/>
            <w:autoSpaceDE/>
            <w:autoSpaceDN/>
            <w:bidi w:val="0"/>
            <w:adjustRightInd/>
            <w:snapToGrid/>
            <w:spacing w:line="400" w:lineRule="exact"/>
            <w:ind w:firstLine="365"/>
            <w:textAlignment w:val="auto"/>
            <w:rPr>
              <w:rFonts w:ascii="Times New Roman" w:hAnsi="Times New Roman"/>
              <w:kern w:val="2"/>
              <w:sz w:val="21"/>
              <w:szCs w:val="21"/>
            </w:rPr>
          </w:pPr>
          <w:r>
            <w:rPr>
              <w:rFonts w:hint="eastAsia" w:ascii="Times New Roman" w:hAnsi="Times New Roman" w:eastAsia="宋体"/>
              <w:sz w:val="21"/>
              <w:szCs w:val="21"/>
            </w:rPr>
            <w:t>如果存在或有对价并需要确认预计负债或资产，该预计负债或资产金额与后续或有对价结算金额的差额，调整资本公积（资本溢价或股本溢价），资本公积不足的，调整留存收益。</w:t>
          </w:r>
        </w:p>
        <w:p>
          <w:pPr>
            <w:keepNext w:val="0"/>
            <w:keepLines w:val="0"/>
            <w:pageBreakBefore w:val="0"/>
            <w:widowControl/>
            <w:kinsoku/>
            <w:wordWrap/>
            <w:overflowPunct/>
            <w:topLinePunct w:val="0"/>
            <w:autoSpaceDE/>
            <w:autoSpaceDN/>
            <w:bidi w:val="0"/>
            <w:adjustRightInd/>
            <w:snapToGrid/>
            <w:spacing w:line="400" w:lineRule="exact"/>
            <w:ind w:firstLine="365"/>
            <w:textAlignment w:val="auto"/>
            <w:rPr>
              <w:rFonts w:ascii="Times New Roman" w:hAnsi="Times New Roman"/>
              <w:kern w:val="2"/>
              <w:sz w:val="21"/>
              <w:szCs w:val="21"/>
            </w:rPr>
          </w:pPr>
          <w:r>
            <w:rPr>
              <w:rFonts w:hint="eastAsia" w:ascii="Times New Roman" w:hAnsi="Times New Roman" w:eastAsia="宋体"/>
              <w:sz w:val="21"/>
              <w:szCs w:val="21"/>
            </w:rPr>
            <w:t>对于通过多次交易最终实现企业合并的，属于一揽子交易的，将各项交易作为一项取得控制权的交易进行会计处理；不属于一揽子交易的，在取得控制权日，长期股权投资初始投资成本，与达到合并前的长期股权投资账面价值加上合并日进一步取得股份新支付对价的账面价值之和的差额，调整资本公积；资本公积不足冲减的，调整留存收益。对于合并日之前持有的股权投资，因采用权益法核算或金融工具确认和计量准则核算而确认的其他综合收益，暂不进行会计处理，直至处置该项投资时采用与被投资单位直接处置相关资产或负债相同的基础进行会计处理；因采用权益法核算而确认的被投资单位净资产中除净损益、其他综合收益和利润分配以外的所有者权益其他变动，暂不进行会计处理，直至处置该项投资时转入当期损益。</w:t>
          </w:r>
        </w:p>
        <w:p>
          <w:pPr>
            <w:keepNext w:val="0"/>
            <w:keepLines w:val="0"/>
            <w:pageBreakBefore w:val="0"/>
            <w:widowControl/>
            <w:kinsoku/>
            <w:wordWrap/>
            <w:overflowPunct/>
            <w:topLinePunct w:val="0"/>
            <w:autoSpaceDE/>
            <w:autoSpaceDN/>
            <w:bidi w:val="0"/>
            <w:adjustRightInd/>
            <w:snapToGrid/>
            <w:spacing w:line="400" w:lineRule="exact"/>
            <w:ind w:firstLine="365"/>
            <w:textAlignment w:val="auto"/>
            <w:rPr>
              <w:rFonts w:ascii="Times New Roman" w:hAnsi="Times New Roman"/>
              <w:b/>
              <w:bCs/>
              <w:kern w:val="2"/>
              <w:sz w:val="21"/>
              <w:szCs w:val="21"/>
            </w:rPr>
          </w:pPr>
          <w:r>
            <w:rPr>
              <w:rFonts w:hint="eastAsia" w:ascii="Times New Roman" w:hAnsi="Times New Roman" w:eastAsia="宋体"/>
              <w:b/>
              <w:bCs/>
              <w:sz w:val="21"/>
              <w:szCs w:val="21"/>
            </w:rPr>
            <w:t>（3）非同一控制下的企业合并</w:t>
          </w:r>
        </w:p>
        <w:p>
          <w:pPr>
            <w:keepNext w:val="0"/>
            <w:keepLines w:val="0"/>
            <w:pageBreakBefore w:val="0"/>
            <w:widowControl/>
            <w:kinsoku/>
            <w:wordWrap/>
            <w:overflowPunct/>
            <w:topLinePunct w:val="0"/>
            <w:autoSpaceDE/>
            <w:autoSpaceDN/>
            <w:bidi w:val="0"/>
            <w:adjustRightInd/>
            <w:snapToGrid/>
            <w:spacing w:line="400" w:lineRule="exact"/>
            <w:ind w:firstLine="365"/>
            <w:textAlignment w:val="auto"/>
            <w:rPr>
              <w:rFonts w:ascii="Times New Roman" w:hAnsi="Times New Roman"/>
              <w:kern w:val="2"/>
              <w:sz w:val="21"/>
              <w:szCs w:val="21"/>
            </w:rPr>
          </w:pPr>
          <w:r>
            <w:rPr>
              <w:rFonts w:hint="eastAsia" w:ascii="Times New Roman" w:hAnsi="Times New Roman" w:eastAsia="宋体"/>
              <w:sz w:val="21"/>
              <w:szCs w:val="21"/>
            </w:rPr>
            <w:t>购买日是指本公司实际取得对被购买方控制权的日期，即被购买方的净资产或生产经营决策的控制权转移给本公司的日期。同时满足下列条件时，本公司一般认为实现了控制权的转移：</w:t>
          </w:r>
        </w:p>
        <w:p>
          <w:pPr>
            <w:keepNext w:val="0"/>
            <w:keepLines w:val="0"/>
            <w:pageBreakBefore w:val="0"/>
            <w:widowControl/>
            <w:kinsoku/>
            <w:wordWrap/>
            <w:overflowPunct/>
            <w:topLinePunct w:val="0"/>
            <w:autoSpaceDE/>
            <w:autoSpaceDN/>
            <w:bidi w:val="0"/>
            <w:adjustRightInd/>
            <w:snapToGrid/>
            <w:spacing w:line="400" w:lineRule="exact"/>
            <w:ind w:firstLine="365"/>
            <w:textAlignment w:val="auto"/>
            <w:rPr>
              <w:rFonts w:ascii="Times New Roman" w:hAnsi="Times New Roman"/>
              <w:kern w:val="2"/>
              <w:sz w:val="21"/>
              <w:szCs w:val="21"/>
            </w:rPr>
          </w:pPr>
          <w:r>
            <w:rPr>
              <w:rFonts w:hint="eastAsia" w:ascii="Times New Roman" w:hAnsi="Times New Roman" w:eastAsia="宋体"/>
              <w:sz w:val="21"/>
              <w:szCs w:val="21"/>
            </w:rPr>
            <w:t>①企业合并合同或协议已获本公司内部权力机构通过。</w:t>
          </w:r>
        </w:p>
        <w:p>
          <w:pPr>
            <w:keepNext w:val="0"/>
            <w:keepLines w:val="0"/>
            <w:pageBreakBefore w:val="0"/>
            <w:widowControl/>
            <w:kinsoku/>
            <w:wordWrap/>
            <w:overflowPunct/>
            <w:topLinePunct w:val="0"/>
            <w:autoSpaceDE/>
            <w:autoSpaceDN/>
            <w:bidi w:val="0"/>
            <w:adjustRightInd/>
            <w:snapToGrid/>
            <w:spacing w:line="400" w:lineRule="exact"/>
            <w:ind w:firstLine="365"/>
            <w:textAlignment w:val="auto"/>
            <w:rPr>
              <w:rFonts w:ascii="Times New Roman" w:hAnsi="Times New Roman"/>
              <w:kern w:val="2"/>
              <w:sz w:val="21"/>
              <w:szCs w:val="21"/>
            </w:rPr>
          </w:pPr>
          <w:r>
            <w:rPr>
              <w:rFonts w:hint="eastAsia" w:ascii="Times New Roman" w:hAnsi="Times New Roman" w:eastAsia="宋体"/>
              <w:sz w:val="21"/>
              <w:szCs w:val="21"/>
            </w:rPr>
            <w:t>②企业合并事项需要经过国家有关主管部门审批的，已获得批准。</w:t>
          </w:r>
        </w:p>
        <w:p>
          <w:pPr>
            <w:keepNext w:val="0"/>
            <w:keepLines w:val="0"/>
            <w:pageBreakBefore w:val="0"/>
            <w:widowControl/>
            <w:kinsoku/>
            <w:wordWrap/>
            <w:overflowPunct/>
            <w:topLinePunct w:val="0"/>
            <w:autoSpaceDE/>
            <w:autoSpaceDN/>
            <w:bidi w:val="0"/>
            <w:adjustRightInd/>
            <w:snapToGrid/>
            <w:spacing w:line="400" w:lineRule="exact"/>
            <w:ind w:firstLine="365"/>
            <w:textAlignment w:val="auto"/>
            <w:rPr>
              <w:rFonts w:ascii="Times New Roman" w:hAnsi="Times New Roman"/>
              <w:kern w:val="2"/>
              <w:sz w:val="21"/>
              <w:szCs w:val="21"/>
            </w:rPr>
          </w:pPr>
          <w:r>
            <w:rPr>
              <w:rFonts w:hint="eastAsia" w:ascii="Times New Roman" w:hAnsi="Times New Roman" w:eastAsia="宋体"/>
              <w:sz w:val="21"/>
              <w:szCs w:val="21"/>
            </w:rPr>
            <w:t>③已办理了必要的财产权转移手续。</w:t>
          </w:r>
        </w:p>
        <w:p>
          <w:pPr>
            <w:keepNext w:val="0"/>
            <w:keepLines w:val="0"/>
            <w:pageBreakBefore w:val="0"/>
            <w:widowControl/>
            <w:kinsoku/>
            <w:wordWrap/>
            <w:overflowPunct/>
            <w:topLinePunct w:val="0"/>
            <w:autoSpaceDE/>
            <w:autoSpaceDN/>
            <w:bidi w:val="0"/>
            <w:adjustRightInd/>
            <w:snapToGrid/>
            <w:spacing w:line="400" w:lineRule="exact"/>
            <w:ind w:firstLine="365"/>
            <w:textAlignment w:val="auto"/>
            <w:rPr>
              <w:rFonts w:ascii="Times New Roman" w:hAnsi="Times New Roman"/>
              <w:kern w:val="2"/>
              <w:sz w:val="21"/>
              <w:szCs w:val="21"/>
            </w:rPr>
          </w:pPr>
          <w:r>
            <w:rPr>
              <w:rFonts w:hint="eastAsia" w:ascii="Times New Roman" w:hAnsi="Times New Roman" w:eastAsia="宋体"/>
              <w:sz w:val="21"/>
              <w:szCs w:val="21"/>
            </w:rPr>
            <w:t>④本公司已支付了合并价款的大部分，并且有能力、有计划支付剩余款项。</w:t>
          </w:r>
        </w:p>
        <w:p>
          <w:pPr>
            <w:keepNext w:val="0"/>
            <w:keepLines w:val="0"/>
            <w:pageBreakBefore w:val="0"/>
            <w:widowControl/>
            <w:kinsoku/>
            <w:wordWrap/>
            <w:overflowPunct/>
            <w:topLinePunct w:val="0"/>
            <w:autoSpaceDE/>
            <w:autoSpaceDN/>
            <w:bidi w:val="0"/>
            <w:adjustRightInd/>
            <w:snapToGrid/>
            <w:spacing w:line="400" w:lineRule="exact"/>
            <w:ind w:firstLine="365"/>
            <w:textAlignment w:val="auto"/>
            <w:rPr>
              <w:rFonts w:ascii="Times New Roman" w:hAnsi="Times New Roman"/>
              <w:kern w:val="2"/>
              <w:sz w:val="21"/>
              <w:szCs w:val="21"/>
            </w:rPr>
          </w:pPr>
          <w:r>
            <w:rPr>
              <w:rFonts w:hint="eastAsia" w:ascii="Times New Roman" w:hAnsi="Times New Roman" w:eastAsia="宋体"/>
              <w:sz w:val="21"/>
              <w:szCs w:val="21"/>
            </w:rPr>
            <w:t>⑤本公司实际上已经控制了被购买方的财务和经营政策，并享有相应的利益、承担相应的风险。</w:t>
          </w:r>
        </w:p>
        <w:p>
          <w:pPr>
            <w:keepNext w:val="0"/>
            <w:keepLines w:val="0"/>
            <w:pageBreakBefore w:val="0"/>
            <w:widowControl/>
            <w:kinsoku/>
            <w:wordWrap/>
            <w:overflowPunct/>
            <w:topLinePunct w:val="0"/>
            <w:autoSpaceDE/>
            <w:autoSpaceDN/>
            <w:bidi w:val="0"/>
            <w:adjustRightInd/>
            <w:snapToGrid/>
            <w:spacing w:line="400" w:lineRule="exact"/>
            <w:ind w:firstLine="365"/>
            <w:textAlignment w:val="auto"/>
            <w:rPr>
              <w:rFonts w:ascii="Times New Roman" w:hAnsi="Times New Roman"/>
              <w:kern w:val="2"/>
              <w:sz w:val="21"/>
              <w:szCs w:val="21"/>
            </w:rPr>
          </w:pPr>
          <w:r>
            <w:rPr>
              <w:rFonts w:hint="eastAsia" w:ascii="Times New Roman" w:hAnsi="Times New Roman" w:eastAsia="宋体"/>
              <w:sz w:val="21"/>
              <w:szCs w:val="21"/>
            </w:rPr>
            <w:t>本公司在购买日对作为企业合并对价付出的资产、发生或承担的负债按照公允价值计量，公允价值与其账面价值的差额，计入当期损益。</w:t>
          </w:r>
        </w:p>
        <w:p>
          <w:pPr>
            <w:keepNext w:val="0"/>
            <w:keepLines w:val="0"/>
            <w:pageBreakBefore w:val="0"/>
            <w:widowControl/>
            <w:kinsoku/>
            <w:wordWrap/>
            <w:overflowPunct/>
            <w:topLinePunct w:val="0"/>
            <w:autoSpaceDE/>
            <w:autoSpaceDN/>
            <w:bidi w:val="0"/>
            <w:adjustRightInd/>
            <w:snapToGrid/>
            <w:spacing w:line="400" w:lineRule="exact"/>
            <w:ind w:firstLine="365"/>
            <w:textAlignment w:val="auto"/>
            <w:rPr>
              <w:rFonts w:ascii="Times New Roman" w:hAnsi="Times New Roman"/>
              <w:kern w:val="2"/>
              <w:sz w:val="21"/>
              <w:szCs w:val="21"/>
            </w:rPr>
          </w:pPr>
          <w:r>
            <w:rPr>
              <w:rFonts w:hint="eastAsia" w:ascii="Times New Roman" w:hAnsi="Times New Roman" w:eastAsia="宋体"/>
              <w:sz w:val="21"/>
              <w:szCs w:val="21"/>
            </w:rPr>
            <w:t>本公司对合并成本大于合并中取得的被购买方可辨认净资产公允价值份额的差额，确认为商誉；合并成本小于合并中取得的被购买方可辨认净资产公允价值份额的差额，经复核后，计入当期损益。</w:t>
          </w:r>
        </w:p>
        <w:p>
          <w:pPr>
            <w:keepNext w:val="0"/>
            <w:keepLines w:val="0"/>
            <w:pageBreakBefore w:val="0"/>
            <w:widowControl/>
            <w:kinsoku/>
            <w:wordWrap/>
            <w:overflowPunct/>
            <w:topLinePunct w:val="0"/>
            <w:autoSpaceDE/>
            <w:autoSpaceDN/>
            <w:bidi w:val="0"/>
            <w:adjustRightInd/>
            <w:snapToGrid/>
            <w:spacing w:line="400" w:lineRule="exact"/>
            <w:ind w:firstLine="365"/>
            <w:textAlignment w:val="auto"/>
            <w:rPr>
              <w:rFonts w:ascii="Times New Roman" w:hAnsi="Times New Roman"/>
              <w:kern w:val="2"/>
              <w:sz w:val="21"/>
              <w:szCs w:val="21"/>
            </w:rPr>
          </w:pPr>
          <w:r>
            <w:rPr>
              <w:rFonts w:hint="eastAsia" w:ascii="Times New Roman" w:hAnsi="Times New Roman" w:eastAsia="宋体"/>
              <w:sz w:val="21"/>
              <w:szCs w:val="21"/>
            </w:rPr>
            <w:t>通过多次交换交易分步实现的非同一控制下企业合并，属于一揽子交易的，将各项交易作为一项取得控制权的交易进行会计处理；不属于一揽子交易的，合并日之前持有的股权投资采用权益法核算的，以购买日之前所持被购买方的股权投资的账面价值与购买日新增投资成本之和，作为该项投资的初始投资成本；购买日之前持有的股权投资因采用权益法核算而确认的其他综合收益，在处置该项投资时采用与被投资单位直接处置相关资产或负债相同的基础进行会计处理。合并日之前持有的股权投资采用金融工具确认和计量准则核算的，以该股权投资在合并日的公允价值加上新增投资成本之和，作为合并日的初始投资成本。原持有股权的公允价值与账面价值之间的差额以及原计入其他综合收益的累计公允价值变动应全部转入合并日当期的投资收益。</w:t>
          </w:r>
        </w:p>
        <w:p>
          <w:pPr>
            <w:keepNext w:val="0"/>
            <w:keepLines w:val="0"/>
            <w:pageBreakBefore w:val="0"/>
            <w:widowControl/>
            <w:kinsoku/>
            <w:wordWrap/>
            <w:overflowPunct/>
            <w:topLinePunct w:val="0"/>
            <w:autoSpaceDE/>
            <w:autoSpaceDN/>
            <w:bidi w:val="0"/>
            <w:adjustRightInd/>
            <w:snapToGrid/>
            <w:spacing w:line="400" w:lineRule="exact"/>
            <w:ind w:firstLine="365"/>
            <w:textAlignment w:val="auto"/>
            <w:rPr>
              <w:rFonts w:ascii="Times New Roman" w:hAnsi="Times New Roman"/>
              <w:b/>
              <w:bCs/>
              <w:kern w:val="2"/>
              <w:sz w:val="21"/>
              <w:szCs w:val="21"/>
            </w:rPr>
          </w:pPr>
          <w:r>
            <w:rPr>
              <w:rFonts w:hint="eastAsia" w:ascii="Times New Roman" w:hAnsi="Times New Roman" w:eastAsia="宋体"/>
              <w:b/>
              <w:bCs/>
              <w:sz w:val="21"/>
              <w:szCs w:val="21"/>
            </w:rPr>
            <w:t>（4）为合并发生的相关费用</w:t>
          </w:r>
        </w:p>
        <w:p>
          <w:pPr>
            <w:keepNext w:val="0"/>
            <w:keepLines w:val="0"/>
            <w:pageBreakBefore w:val="0"/>
            <w:widowControl/>
            <w:kinsoku/>
            <w:wordWrap/>
            <w:overflowPunct/>
            <w:topLinePunct w:val="0"/>
            <w:autoSpaceDE/>
            <w:autoSpaceDN/>
            <w:bidi w:val="0"/>
            <w:adjustRightInd/>
            <w:snapToGrid/>
            <w:spacing w:line="400" w:lineRule="exact"/>
            <w:ind w:firstLine="365"/>
            <w:textAlignment w:val="auto"/>
            <w:rPr>
              <w:rFonts w:ascii="Times New Roman" w:hAnsi="Times New Roman"/>
              <w:kern w:val="2"/>
              <w:sz w:val="21"/>
              <w:szCs w:val="21"/>
            </w:rPr>
          </w:pPr>
          <w:r>
            <w:rPr>
              <w:rFonts w:hint="eastAsia" w:ascii="Times New Roman" w:hAnsi="Times New Roman" w:eastAsia="宋体"/>
              <w:sz w:val="21"/>
              <w:szCs w:val="21"/>
            </w:rPr>
            <w:t>为企业合并发生的审计、法律服务、评估咨询等中介费用以及其他直接相关费用，于发生时计入当期损益；为企业合并而发行权益性证券的交易费用，可直接归属于权益性交易的从权益中扣减。</w:t>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sz w:val="21"/>
          <w:szCs w:val="21"/>
        </w:rPr>
      </w:pPr>
    </w:p>
    <w:p>
      <w:pPr>
        <w:pStyle w:val="4"/>
        <w:numPr>
          <w:ilvl w:val="0"/>
          <w:numId w:val="55"/>
        </w:numPr>
      </w:pPr>
      <w:r>
        <w:rPr>
          <w:rFonts w:hint="eastAsia" w:ascii="宋体" w:hAnsi="宋体" w:cs="宋体"/>
          <w:kern w:val="0"/>
          <w:szCs w:val="24"/>
        </w:rPr>
        <w:t>控制的判断标准和</w:t>
      </w:r>
      <w:r>
        <w:t>合并财务报表的编制方法</w:t>
      </w:r>
    </w:p>
    <w:sdt>
      <w:sdtPr>
        <w:rPr>
          <w:rFonts w:hint="eastAsia"/>
          <w:szCs w:val="21"/>
        </w:rPr>
        <w:alias w:val="是否适用：控制的判断标准和合并财务报表的编制方法[双击切换]"/>
        <w:tag w:val="_GBC_d8312ea572e647a59b796bf708b54713"/>
        <w:id w:val="6563"/>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b/>
          <w:bCs/>
          <w:szCs w:val="21"/>
        </w:rPr>
        <w:alias w:val="控制的判断标准和合并财务报表的编制方法"/>
        <w:tag w:val="_GBC_5201beca0c0944939b4a0d8d100d6fcf"/>
        <w:id w:val="6564"/>
        <w:placeholder>
          <w:docPart w:val="GBC22222222222222222222222222222"/>
        </w:placeholder>
      </w:sdtPr>
      <w:sdtEndPr>
        <w:rPr>
          <w:rFonts w:hint="eastAsia" w:ascii="Times New Roman" w:hAnsi="Times New Roman"/>
          <w:b/>
          <w:bCs/>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b/>
              <w:bCs/>
              <w:sz w:val="21"/>
              <w:szCs w:val="21"/>
            </w:rPr>
          </w:pPr>
          <w:r>
            <w:rPr>
              <w:rFonts w:hint="eastAsia" w:ascii="Times New Roman" w:hAnsi="Times New Roman" w:eastAsia="宋体"/>
              <w:b/>
              <w:bCs/>
              <w:sz w:val="21"/>
              <w:szCs w:val="21"/>
            </w:rPr>
            <w:t>（1）合并范围</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本公司合并财务报表的合并范围以控制为基础确定，控制是指本公司拥有对被投资方的权力，通过参与被投资方的相关活动而享有可变回报，并且有能力运用对被投资方的权力影响该回报金额。所有子公司（包括本公司所控制的单独主体）均纳入合并财务报表。</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b/>
              <w:bCs/>
              <w:sz w:val="21"/>
              <w:szCs w:val="21"/>
            </w:rPr>
          </w:pPr>
          <w:r>
            <w:rPr>
              <w:rFonts w:hint="eastAsia" w:ascii="Times New Roman" w:hAnsi="Times New Roman" w:eastAsia="宋体"/>
              <w:b/>
              <w:bCs/>
              <w:sz w:val="21"/>
              <w:szCs w:val="21"/>
            </w:rPr>
            <w:t>（2）合并程序</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本公司以自身和各子公司的财务报表为基础，根据其他有关资料，编制合并财务报表。本公司编制合并财务报表，将整个企业集团视为一个会计主体，依据相关企业会计准则的确认、计量和列报要求，按照统一的会计政策，反映本企业集团整体财务状况、经营成果和现金流量。</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所有纳入合并财务报表合并范围的子公司所采用的会计政策、会计期间与本公司一致，如子公司采用的会计政策、会计期间与本公司不一致的，在编制合并财务报表时，按本公司的会计政策、会计期间进行必要的调整。</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合并财务报表时抵销本公司与各子公司、各子公司相互之间发生的内部交易对合并资产负债表、合并利润表、合并现金流量表、合并股东权益变动表的影响。如果站在企业集团合并财务报表角度与以本公司或子公司为会计主体对同一交易的认定不同时，从企业集团的角度对该交易予以调整。</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子公司所有者权益、当期净损益和当期综合收益中属于少数股东的份额分别在合并资产负债表中所有者权益项目下、合并利润表中净利润项目下和综合收益总额项目下单独列示。子公司少数股东分担的当期亏损超过了少数股东在该子公司期初所有者权益中所享有份额而形成的余额，冲减少数股东权益。</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对于同一控制下企业合并取得的子公司，以其资产、负债（包括最终控制方收购该子公司而形成的商誉）在最终控制方财务报表中的账面价值为基础对其财务报表进行调整。</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对于非同一控制下企业合并取得的子公司，以购买日可辨认净资产公允价值为基础对其财务报表进行调整</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①增加子公司或业务</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在报告期内，若因同一控制下企业合并增加子公司或业务的，则调整合并资产负债表的期初数；将子公司或业务合并当期期初至报告期末的收入、费用、利润纳入合并利润表；将子公司或业务合并当期期初至报告期末的现金流量纳入合并现金流量表，同时对比较报表的相关项目进行调整，视同合并后的报告主体自最终控制方开始控制时点起一直存在。</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因追加投资等原因能够对同一控制下的被投资方实施控制的，视同参与合并的各方在最终控制方开始控制时即以目前的状态存在进行调整。在取得被合并方控制权之前持有的股权投资，在取得原股权之日与合并方和被合并方同处于同一控制之日孰晚日起至合并日之间已确认有关损益、其他综合收益以及其他净资产变动，分别冲减比较报表期间的期初留存收益或当期损益。</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在报告期内，若因非同一控制下企业合并增加子公司或业务的，则不调整合并资产负债表期初数；将该子公司或业务自购买日至报告期末的收入、费用、利润纳入合并利润表；该子公司或业务自购买日至报告期末的现金流量纳入合并现金流量表。</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因追加投资等原因能够对非同一控制下的被投资方实施控制的，对于购买日之前持有的被购买方的股权，本公司按照该股权在购买日的公允价值进行重新计量，公允价值与其账面价值的差额计入当期投资收益。购买日之前持有的被购买方的股权涉及权益法核算下的其他综合收益以及除净损益、其他综合收益和利润分配之外的其他所有者权益变动的，与其相关的其他综合收益、其他所有者权益变动转为购买日所属当期投资收益，由于被投资方重新计量设定受益计划净负债或净资产变动而产生的其他综合收益除外。</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②处置子公司或业务</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A、一般处理方法</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在报告期内，本公司处置子公司或业务，则该子公司或业务期初至处置日的收入、费用、利润纳入合并利润表；该子公司或业务期初至处置日的现金流量纳入合并现金流量表。</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因处置部分股权投资或其他原因丧失了对被投资方控制权时，对于处置后的剩余股权投资，本公司按照其在丧失控制权日的公允价值进行重新计量。处置股权取得的对价与剩余股权公允价值之和，减去按原持股比例计算应享有原有子公司自购买日或合并日开始持续计算的净资产的份额与商誉之和的差额，计入丧失控制权当期的投资收益。与原有子公司股权投资相关的其他综合收益或除净损益、其他综合收益及利润分配之外的其他所有者权益变动，在丧失控制权时转为当期投资收益，由于被投资方重新计量设定受益计划净负债或净资产变动而产生的其他综合收益除外。</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B、分步处置子公司</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通过多次交易分步处置对子公司股权投资直至丧失控制权的，处置对子公司股权投资的各项交易的条款、条件以及经济影响符合以下一种或多种情况，通常表明应将多次交易事项作为一揽子交易进行会计处理：</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a、这些交易是同时或者在考虑了彼此影响的情况下订立的；</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b、这些交易整体才能达成一项完整的商业结果；</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c、一项交易的发生取决于其他至少一项交易的发生；</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d、一项交易单独看是不经济的，但是和其他交易一并考虑时是经济的。</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处置对子公司股权投资直至丧失控制权的各项交易属于一揽子交易的，本公司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处置对子公司股权投资直至丧失控制权的各项交易不属于一揽子交易的，在丧失控制权之前，按不丧失控制权的情况下部分处置对子公司的股权投资的相关政策进行会计处理；在丧失控制权时，按处置子公司一般处理方法进行会计处理。</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C、购买子公司少数股权</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本公司因购买少数股权新取得的长期股权投资与按照新增持股比例计算应享有子公司自购买日（或合并日）开始持续计算的净资产份额之间的差额，调整合并资产负债表中的资本公积中的股本溢价，资本公积中的股本溢价不足冲减的，调整留存收益。</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D、不丧失控制权的情况下部分处置对子公司的股权投资</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Cs w:val="21"/>
            </w:rPr>
          </w:pPr>
          <w:r>
            <w:rPr>
              <w:rFonts w:hint="eastAsia" w:ascii="Times New Roman" w:hAnsi="Times New Roman" w:eastAsia="宋体"/>
              <w:sz w:val="21"/>
              <w:szCs w:val="21"/>
            </w:rPr>
            <w:t>在不丧失控制权的情况下因部分处置对子公司的长期股权投资而取得的处置价款与处置长期股权投资相对应享有子公司自购买日或合并日开始持续计算的净资产份额之间的差额，调整合并资产负债表中的资本公积中的股本溢价，资本公积中的股本溢价不足冲减的，调整留存收益。</w:t>
          </w:r>
        </w:p>
      </w:sdtContent>
    </w:sdt>
    <w:p>
      <w:pPr>
        <w:rPr>
          <w:szCs w:val="21"/>
        </w:rPr>
      </w:pPr>
    </w:p>
    <w:p>
      <w:pPr>
        <w:pStyle w:val="4"/>
        <w:numPr>
          <w:ilvl w:val="0"/>
          <w:numId w:val="55"/>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e5a2f4bbc77f437e880fdd380b417236"/>
        <w:id w:val="6565"/>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b/>
          <w:bCs/>
        </w:rPr>
        <w:alias w:val="合营安排分类及共同经营会计处理方法"/>
        <w:tag w:val="_GBC_cf67ede4230c4056b34792c6a0db55e2"/>
        <w:id w:val="6566"/>
        <w:placeholder>
          <w:docPart w:val="GBC22222222222222222222222222222"/>
        </w:placeholder>
      </w:sdtPr>
      <w:sdtEndPr>
        <w:rPr>
          <w:b/>
          <w:bCs/>
        </w:rPr>
      </w:sdtEndPr>
      <w:sdtConten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b/>
              <w:bCs/>
              <w:sz w:val="21"/>
              <w:szCs w:val="21"/>
            </w:rPr>
          </w:pPr>
          <w:r>
            <w:rPr>
              <w:rFonts w:hint="eastAsia" w:ascii="Times New Roman" w:hAnsi="Times New Roman" w:eastAsia="宋体"/>
              <w:b/>
              <w:bCs/>
              <w:sz w:val="21"/>
              <w:szCs w:val="21"/>
            </w:rPr>
            <w:t>（1）合营安排的分类</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b/>
              <w:bCs/>
              <w:sz w:val="21"/>
              <w:szCs w:val="21"/>
            </w:rPr>
          </w:pPr>
          <w:r>
            <w:rPr>
              <w:rFonts w:hint="eastAsia" w:ascii="Times New Roman" w:hAnsi="Times New Roman" w:eastAsia="宋体"/>
              <w:sz w:val="21"/>
              <w:szCs w:val="21"/>
            </w:rPr>
            <w:t>本公司根据合营安排的结构、法律形式以及合营安排中约定的条款、其他相关事实和情况等因素，将合营安排分为共同经营和合营企业。</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b/>
              <w:bCs/>
              <w:sz w:val="21"/>
              <w:szCs w:val="21"/>
            </w:rPr>
          </w:pPr>
          <w:r>
            <w:rPr>
              <w:rFonts w:hint="eastAsia" w:ascii="Times New Roman" w:hAnsi="Times New Roman" w:eastAsia="宋体"/>
              <w:sz w:val="21"/>
              <w:szCs w:val="21"/>
            </w:rPr>
            <w:t>未通过单独主体达成的合营安排，划分为共同经营；通过单独主体达成的合营安排，通常划分为合营企业；但有确凿证据表明满足下列任一条件并且符合相关法律法规规定的合营安排划分为共同经营：</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b/>
              <w:bCs/>
              <w:sz w:val="21"/>
              <w:szCs w:val="21"/>
            </w:rPr>
          </w:pPr>
          <w:r>
            <w:rPr>
              <w:rFonts w:hint="eastAsia" w:ascii="Times New Roman" w:hAnsi="Times New Roman" w:eastAsia="宋体"/>
              <w:sz w:val="21"/>
              <w:szCs w:val="21"/>
            </w:rPr>
            <w:t>①合营安排的法律形式表明，合营方对该安排中的相关资产和负债分别享有权利和承担义务。</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b/>
              <w:bCs/>
              <w:sz w:val="21"/>
              <w:szCs w:val="21"/>
            </w:rPr>
          </w:pPr>
          <w:r>
            <w:rPr>
              <w:rFonts w:hint="eastAsia" w:ascii="Times New Roman" w:hAnsi="Times New Roman" w:eastAsia="宋体"/>
              <w:sz w:val="21"/>
              <w:szCs w:val="21"/>
            </w:rPr>
            <w:t>②合营安排的合同条款约定，合营方对该安排中的相关资产和负债分别享有权利和承担义务。</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b/>
              <w:bCs/>
              <w:sz w:val="21"/>
              <w:szCs w:val="21"/>
            </w:rPr>
          </w:pPr>
          <w:r>
            <w:rPr>
              <w:rFonts w:hint="eastAsia" w:ascii="Times New Roman" w:hAnsi="Times New Roman" w:eastAsia="宋体"/>
              <w:sz w:val="21"/>
              <w:szCs w:val="21"/>
            </w:rPr>
            <w:t>③其他相关事实和情况表明，合营方对该安排中的相关资产和负债分别享有权利和承担义务，如合营方享有与合营安排相关的几乎所有产出，并且该安排中负债的清偿持续依赖于合营方的支持。</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b/>
              <w:bCs/>
              <w:sz w:val="21"/>
              <w:szCs w:val="21"/>
            </w:rPr>
          </w:pPr>
          <w:r>
            <w:rPr>
              <w:rFonts w:hint="eastAsia" w:ascii="Times New Roman" w:hAnsi="Times New Roman" w:eastAsia="宋体"/>
              <w:b/>
              <w:bCs/>
              <w:sz w:val="21"/>
              <w:szCs w:val="21"/>
            </w:rPr>
            <w:t>（2）共同经营会计处理方法</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b/>
              <w:bCs/>
              <w:sz w:val="21"/>
              <w:szCs w:val="21"/>
            </w:rPr>
          </w:pPr>
          <w:r>
            <w:rPr>
              <w:rFonts w:hint="eastAsia" w:ascii="Times New Roman" w:hAnsi="Times New Roman" w:eastAsia="宋体"/>
              <w:sz w:val="21"/>
              <w:szCs w:val="21"/>
            </w:rPr>
            <w:t>本公司确认共同经营中利益份额中与本公司相关的下列项目，并按照相关企业会计准则的规定进行会计处理：</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b/>
              <w:bCs/>
              <w:sz w:val="21"/>
              <w:szCs w:val="21"/>
            </w:rPr>
          </w:pPr>
          <w:r>
            <w:rPr>
              <w:rFonts w:hint="eastAsia" w:ascii="Times New Roman" w:hAnsi="Times New Roman" w:eastAsia="宋体"/>
              <w:sz w:val="21"/>
              <w:szCs w:val="21"/>
            </w:rPr>
            <w:t>①确认单独所持有的资产，以及按其份额确认共同持有的资产；</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b/>
              <w:bCs/>
              <w:sz w:val="21"/>
              <w:szCs w:val="21"/>
            </w:rPr>
          </w:pPr>
          <w:r>
            <w:rPr>
              <w:rFonts w:hint="eastAsia" w:ascii="Times New Roman" w:hAnsi="Times New Roman" w:eastAsia="宋体"/>
              <w:sz w:val="21"/>
              <w:szCs w:val="21"/>
            </w:rPr>
            <w:t>②确认单独所承担的负债，以及按其份额确认共同承担的负债；</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b/>
              <w:bCs/>
              <w:sz w:val="21"/>
              <w:szCs w:val="21"/>
            </w:rPr>
          </w:pPr>
          <w:r>
            <w:rPr>
              <w:rFonts w:hint="eastAsia" w:ascii="Times New Roman" w:hAnsi="Times New Roman" w:eastAsia="宋体"/>
              <w:sz w:val="21"/>
              <w:szCs w:val="21"/>
            </w:rPr>
            <w:t>③确认出售其享有的共同经营产出份额所产生的收入；</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b/>
              <w:bCs/>
              <w:sz w:val="21"/>
              <w:szCs w:val="21"/>
            </w:rPr>
          </w:pPr>
          <w:r>
            <w:rPr>
              <w:rFonts w:hint="eastAsia" w:ascii="Times New Roman" w:hAnsi="Times New Roman" w:eastAsia="宋体"/>
              <w:sz w:val="21"/>
              <w:szCs w:val="21"/>
            </w:rPr>
            <w:t>④按其份额确认共同经营因出售产出所产生的收入；</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b/>
              <w:bCs/>
              <w:sz w:val="21"/>
              <w:szCs w:val="21"/>
            </w:rPr>
          </w:pPr>
          <w:r>
            <w:rPr>
              <w:rFonts w:hint="eastAsia" w:ascii="Times New Roman" w:hAnsi="Times New Roman" w:eastAsia="宋体"/>
              <w:sz w:val="21"/>
              <w:szCs w:val="21"/>
            </w:rPr>
            <w:t>⑤确认单独所发生的费用，以及按其份额确认共同经营发生的费用。</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b/>
              <w:bCs/>
              <w:sz w:val="21"/>
              <w:szCs w:val="21"/>
            </w:rPr>
          </w:pPr>
          <w:r>
            <w:rPr>
              <w:rFonts w:hint="eastAsia" w:ascii="Times New Roman" w:hAnsi="Times New Roman" w:eastAsia="宋体"/>
              <w:sz w:val="21"/>
              <w:szCs w:val="21"/>
            </w:rPr>
            <w:t>本公司向共同经营投出或出售资产等（该资产构成业务的除外），在该资产等由共同经营出售给第三方之前，仅确认因该交易产生的损益中归属于共同经营其他参与方的部分。投出或出售的资产发生符合《企业会计准则第8号——资产减值》等规定的资产减值损失的，本公司全额确认该损失。</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b/>
              <w:bCs/>
              <w:sz w:val="21"/>
              <w:szCs w:val="21"/>
            </w:rPr>
          </w:pPr>
          <w:r>
            <w:rPr>
              <w:rFonts w:hint="eastAsia" w:ascii="Times New Roman" w:hAnsi="Times New Roman" w:eastAsia="宋体"/>
              <w:sz w:val="21"/>
              <w:szCs w:val="21"/>
            </w:rPr>
            <w:t>本公司自共同经营购买资产等（该资产构成业务的除外），在将该资产等出售给第三方之前，仅确认因该交易产生的损益中归属于共同经营其他参与方的部分。购入的资产发生符合《企业会计准则第8号——资产减值》等规定的资产减值损失的，本公司按承担的份额确认该部分损失。</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b/>
              <w:bCs/>
              <w:szCs w:val="21"/>
            </w:rPr>
          </w:pPr>
          <w:r>
            <w:rPr>
              <w:rFonts w:hint="eastAsia" w:ascii="Times New Roman" w:hAnsi="Times New Roman" w:eastAsia="宋体"/>
              <w:sz w:val="21"/>
              <w:szCs w:val="21"/>
            </w:rPr>
            <w:t>本公司对共同经营不享有共同控制，如果本公司享有该共同经营相关资产且承担该共同经营相关负债的，仍按上述原则进行会计处理，否则，应当按照相关企业会计准则的规定进行会计处理。</w:t>
          </w:r>
        </w:p>
      </w:sdtContent>
    </w:sdt>
    <w:p/>
    <w:p>
      <w:pPr>
        <w:pStyle w:val="4"/>
        <w:numPr>
          <w:ilvl w:val="0"/>
          <w:numId w:val="55"/>
        </w:numPr>
      </w:pPr>
      <w:r>
        <w:t>现金及现金等价物的确定标准</w:t>
      </w:r>
    </w:p>
    <w:sdt>
      <w:sdtPr>
        <w:rPr>
          <w:rFonts w:hint="eastAsia"/>
          <w:szCs w:val="21"/>
        </w:rPr>
        <w:alias w:val="现金及现金等价物的确定标准"/>
        <w:tag w:val="_GBC_54f6bc3e44e840bc85cb3872600823b5"/>
        <w:id w:val="6567"/>
        <w:placeholder>
          <w:docPart w:val="GBC22222222222222222222222222222"/>
        </w:placeholder>
      </w:sdtPr>
      <w:sdtEndPr>
        <w:rPr>
          <w:rFonts w:hint="eastAsia"/>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sz w:val="21"/>
              <w:szCs w:val="21"/>
            </w:rPr>
          </w:pPr>
          <w:r>
            <w:rPr>
              <w:rFonts w:hint="eastAsia" w:ascii="宋体" w:eastAsia="宋体"/>
              <w:sz w:val="21"/>
              <w:szCs w:val="21"/>
            </w:rPr>
            <w:t>在编制现金流量表时，将本公司库存现金以及可以随时用于支付的存款确认为现金。将同时具备期限短（一般从购买日起三个月内到期）、流动性强、易于转换为已知金额的现金、价值变动风险很小四个条件的投资，确定为现金等价物</w:t>
          </w:r>
          <w:r>
            <w:rPr>
              <w:rFonts w:hint="eastAsia" w:ascii="Arial" w:eastAsia="Arial"/>
              <w:b/>
              <w:sz w:val="21"/>
              <w:szCs w:val="21"/>
            </w:rPr>
            <w:t>。</w:t>
          </w:r>
        </w:p>
      </w:sdtContent>
    </w:sdt>
    <w:p>
      <w:pPr>
        <w:rPr>
          <w:szCs w:val="21"/>
        </w:rPr>
      </w:pPr>
    </w:p>
    <w:p>
      <w:pPr>
        <w:pStyle w:val="4"/>
        <w:numPr>
          <w:ilvl w:val="0"/>
          <w:numId w:val="55"/>
        </w:numPr>
      </w:pPr>
      <w:r>
        <w:t>外币业务和外币报表折算</w:t>
      </w:r>
    </w:p>
    <w:sdt>
      <w:sdtPr>
        <w:rPr>
          <w:rFonts w:hint="eastAsia"/>
          <w:szCs w:val="21"/>
        </w:rPr>
        <w:alias w:val="是否适用：外币业务和外币报表折算[双击切换]"/>
        <w:tag w:val="_GBC_9c9def5a1d2241b5a3ee696d03433778"/>
        <w:id w:val="6568"/>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szCs w:val="21"/>
        </w:rPr>
        <w:alias w:val="外币业务核算方法"/>
        <w:tag w:val="_GBC_1703fe5fc56b42a8972c0906a4ac6d6b"/>
        <w:id w:val="6569"/>
        <w:placeholder>
          <w:docPart w:val="GBC22222222222222222222222222222"/>
        </w:placeholder>
      </w:sdtPr>
      <w:sdtEndPr>
        <w:rPr>
          <w:rFonts w:hint="eastAsia"/>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kern w:val="2"/>
              <w:sz w:val="21"/>
              <w:szCs w:val="21"/>
            </w:rPr>
          </w:pPr>
          <w:r>
            <w:rPr>
              <w:rFonts w:hint="eastAsia" w:ascii="宋体" w:eastAsia="宋体"/>
              <w:sz w:val="21"/>
              <w:szCs w:val="21"/>
            </w:rPr>
            <w:t>外币业务交易在初始确认时，采用交易发生日的即期汇率作为折算汇率折合成人民币记账。</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kern w:val="2"/>
              <w:sz w:val="21"/>
              <w:szCs w:val="21"/>
            </w:rPr>
          </w:pPr>
          <w:r>
            <w:rPr>
              <w:rFonts w:hint="eastAsia" w:ascii="宋体" w:eastAsia="宋体"/>
              <w:sz w:val="21"/>
              <w:szCs w:val="21"/>
            </w:rPr>
            <w:t>资产负债表日，外币货币性项目按资产负债表日即期汇率折算，由此产生的汇兑差额，除属于与购建符合资本化条件的资产相关的外币专门借款产生的汇兑差额按照借款费用资本化的原则处理外，均计入当期损益。以历史成本计量的外币非货币性项目，仍采用交易发生日的即期汇率折算，不改变其记账本位币金额。</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kern w:val="2"/>
              <w:sz w:val="21"/>
              <w:szCs w:val="21"/>
            </w:rPr>
          </w:pPr>
          <w:r>
            <w:rPr>
              <w:rFonts w:hint="eastAsia" w:ascii="宋体" w:eastAsia="宋体"/>
              <w:sz w:val="21"/>
              <w:szCs w:val="21"/>
            </w:rPr>
            <w:t>以公允价值计量的外币非货币性项目，采用公允价值确定日的即期汇率折算，由此产生的汇兑差额作为公允价值变动损益计入当期损益。如属于可供出售外币非货币性项目的，形成的汇兑差额计入其他综合收益。</w:t>
          </w:r>
        </w:p>
      </w:sdtContent>
    </w:sdt>
    <w:p>
      <w:pPr>
        <w:rPr>
          <w:szCs w:val="21"/>
        </w:rPr>
      </w:pPr>
    </w:p>
    <w:sdt>
      <w:sdtPr>
        <w:rPr>
          <w:rFonts w:ascii="宋体" w:hAnsi="宋体" w:cs="宋体"/>
          <w:b w:val="0"/>
          <w:bCs w:val="0"/>
          <w:kern w:val="0"/>
          <w:szCs w:val="24"/>
        </w:rPr>
        <w:tag w:val="_PLD_fd459de1dc9f4a888aaf58dec9369d4f"/>
        <w:id w:val="6570"/>
      </w:sdtPr>
      <w:sdtEndPr>
        <w:rPr>
          <w:rFonts w:ascii="Calibri" w:hAnsi="Calibri" w:cs="Times New Roman"/>
          <w:b/>
          <w:bCs/>
          <w:kern w:val="2"/>
          <w:szCs w:val="32"/>
        </w:rPr>
      </w:sdtEndPr>
      <w:sdtContent>
        <w:p>
          <w:pPr>
            <w:pStyle w:val="4"/>
            <w:numPr>
              <w:ilvl w:val="0"/>
              <w:numId w:val="55"/>
            </w:numPr>
          </w:pPr>
          <w:r>
            <w:t>金融工具</w:t>
          </w:r>
        </w:p>
      </w:sdtContent>
    </w:sdt>
    <w:sdt>
      <w:sdtPr>
        <w:rPr>
          <w:rFonts w:hint="eastAsia"/>
          <w:szCs w:val="21"/>
        </w:rPr>
        <w:alias w:val="是否适用：金融工具_重要会计政策和估计[双击切换]"/>
        <w:tag w:val="_GBC_1537cea503f244c2af870a2a0d5fd7a9"/>
        <w:id w:val="6571"/>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szCs w:val="21"/>
        </w:rPr>
        <w:alias w:val="金融资产和金融负债的核算方法"/>
        <w:tag w:val="_GBC_b358067bbe2a49bf880c383a5db50d8a"/>
        <w:id w:val="6572"/>
        <w:placeholder>
          <w:docPart w:val="GBC22222222222222222222222222222"/>
        </w:placeholder>
      </w:sdtPr>
      <w:sdtEndPr>
        <w:rPr>
          <w:rFonts w:hint="eastAsia"/>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sz w:val="21"/>
              <w:szCs w:val="21"/>
            </w:rPr>
          </w:pPr>
          <w:r>
            <w:rPr>
              <w:rFonts w:hint="eastAsia" w:ascii="宋体" w:eastAsia="宋体"/>
              <w:sz w:val="21"/>
              <w:szCs w:val="21"/>
            </w:rPr>
            <w:t>在本公司成为金融工具合同的一方时确认一项金融资产或金融负债。</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sz w:val="21"/>
              <w:szCs w:val="21"/>
            </w:rPr>
          </w:pPr>
          <w:r>
            <w:rPr>
              <w:rFonts w:hint="eastAsia" w:ascii="宋体" w:eastAsia="宋体"/>
              <w:sz w:val="21"/>
              <w:szCs w:val="21"/>
            </w:rPr>
            <w:t>实际利率法是指计算金融资产或金融负债的摊余成本以及将利息收入或利息费用分摊计入各会计期间的方法。</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sz w:val="21"/>
              <w:szCs w:val="21"/>
            </w:rPr>
          </w:pPr>
          <w:r>
            <w:rPr>
              <w:rFonts w:hint="eastAsia" w:ascii="宋体" w:eastAsia="宋体"/>
              <w:sz w:val="21"/>
              <w:szCs w:val="21"/>
            </w:rPr>
            <w:t>实际利率，是指将金融资产或金融负债在预计存续期的估计未来现金流量，折现为该金融资产账面余额或该金融负债摊余成本所使用的利率。在确定实际利率时，在考虑金融资产或金融负债所有合同条款(如提前还款、展期、看涨期权或其他类似期权等)的基础上估计预期现金流量，但不考虑预期信用损失。</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sz w:val="21"/>
              <w:szCs w:val="21"/>
            </w:rPr>
          </w:pPr>
          <w:r>
            <w:rPr>
              <w:rFonts w:hint="eastAsia" w:ascii="宋体" w:eastAsia="宋体"/>
              <w:sz w:val="21"/>
              <w:szCs w:val="21"/>
            </w:rPr>
            <w:t>金融资产或金融负债的摊余成本是以该金融资产或金融负债的初始确认金额扣除已偿还的本金，加上或减去采用实际利率法将该初始确认金额与到期日金额之间的差额进行摊销形成的累计摊销额，再扣除累计计提的损失准备(仅适用于金融资产)。</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b/>
              <w:bCs/>
              <w:sz w:val="21"/>
              <w:szCs w:val="21"/>
            </w:rPr>
          </w:pPr>
          <w:r>
            <w:rPr>
              <w:rFonts w:hint="eastAsia" w:ascii="宋体" w:eastAsia="宋体"/>
              <w:b/>
              <w:bCs/>
              <w:sz w:val="21"/>
              <w:szCs w:val="21"/>
            </w:rPr>
            <w:t>（1）金融资产分类和计量</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本公司根据所管理金融资产的业务模式和金融资产的合同现金流量特征，将金融资产划分为以下三类：</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①以摊余成本计量的金融资产。</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②以公允价值计量且其变动计入其他综合收益的金融资产。</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③以公允价值计量且其变动计入当期损益的金融资产。</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金融资产在初始确认时以公允价值计量，但是因销售商品或提供服务等产生的应收账款或应收票据未包含重大融资成分或不考虑不超过一年的融资成分的，按照交易价格进行初始计量。</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对于以公允价值计量且其变动计入当期损益的金融资产，相关交易费用直接计入当期损益，其他类别的金融资产相关交易费用计入其初始确认金额。</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sz w:val="21"/>
              <w:szCs w:val="21"/>
            </w:rPr>
          </w:pPr>
          <w:r>
            <w:rPr>
              <w:rFonts w:hint="eastAsia" w:ascii="Times New Roman" w:hAnsi="Times New Roman" w:eastAsia="宋体"/>
              <w:sz w:val="21"/>
              <w:szCs w:val="21"/>
            </w:rPr>
            <w:t>金融资产的后续计量取决于其分类，当且仅当本公司改变管理金融资产的业务模式时，才对所有受影响的相关金融资产进行重分类。</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①分类为以摊余成本计量的金融资产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金融资产的合同条款规定在特定日期产生的现金流量仅为对本金和以未偿付本金金额为基础的利息的支付，且管理该金融资产的业务模式是以收取合同现金流量为目标，则本公司将该金融资产分类为以摊余成本计量的金融资产。本公司分类为以摊余成本计量的金融资产包括货币资金、应收款项融资、应收账款、其他应收款等。</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对此类金融资产采用实际利率法确认利息收入，按摊余成本进行后续计量，其发生减值时或终止确认、修改产生的利得或损失，计入当期损益。除下列情况外，本公司根据金融资产账面余额乘以实际利率计算确定利息收入：</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A、对于购入或源生的已发生信用减值的金融资产，本公司自初始确认起，按照该金融资产的摊余成本和经信用调整的实际利率计算确定其利息收入。</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B、对于购入或源生的未发生信用减值、但在后续期间成为已发生信用减值的金融资产，本公司在后续期间，按照该金融资产的摊余成本和实际利率计算确定其利息收入。若该金融工具在后续期间因其信用风险有所改善而不再存在信用减值，本公司转按实际利率乘以该金融资产账面余额来计算确定利息收入。</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②分类为以公允价值计量且其变动计入其他综合收益的金融资产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金融资产的合同条款规定在特定日期产生的现金流量仅为对本金和以未偿付本金金额为基础的利息的支付，且管理该金融资产的业务模式既以收取合同现金流量为目标又以出售该金融资产为目标，则本公司将该金融资产分类为以公允价值计量且其变动计入其他综合收益的金融资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对此类金融资产采用实际利率法确认利息收入。除利息收入、减值损失及汇兑差额确认为当期损益外，其余公允价值变动计入其他综合收益。当该金融资产终止确认时，之前计入其他综合收益的累计利得或损失从其他综合收益中转出，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以公允价值计量且变动计入其他综合收益的应收票据及应收账款列报为应收款项融资，其他此类金融资产列报为其他债权投资，其中：自资产负债表日起一年内到期的其他债权投资列报为一年内到期的非流动资产，原到期日在一年以内的其他债权投资列报为其他流动资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③指定为以公允价值计量且其变动计入其他综合收益的金融资产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在初始确认时，本公司可以单项金融资产为基础不可撤销地将非交易性权益工具投资指定为以公允价值计量且其变动计入其他综合收益的金融资产。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此类金融资产的公允价值变动计入其他综合收益，不需计提减值准备。该金融资产终止确认时，之前计入其他综合收益的累计利得或损失从其他综合收益中转出，计入留存收益。本公司持有该权益工具投资期间，在本公司收取股利的权利已经确立，与股利相关的经济利益很可能流入本公司，且股利的金额能够可靠计量时，确认股利收入并计入当期损益。本公司对此类金融资产在其他权益工具投资项目下列报。</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权益工具投资满足下列条件之一的，属于以公允价值计量且其变动计入当期损益的金融资产：取得该金融资产的目的主要是为了近期出售；初始确认时属于集中管理的可辨认金融资产工具组合的一部分，且有客观证据表明近期实际存在短期获利模式；属于衍生工具（符合财务担保合同定义的以及被指定为有效套期工具的衍生工具除外）。</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④分类为以公允价值计量且其变动计入当期损益的金融资产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不符合分类为以摊余成本计量或以公允价值计量且其变动计入其他综合收益的金融资产条件、亦不指定为以公允价值计量且其变动计入其他综合收益的金融资产均分类为以公允价值计量且其变动计入当期损益的金融资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本公司对此类金融资产采用公允价值进行后续计量，将公允价值变动形成的利得或损失以及与此类金融资产相关的股利和利息收入计入当期损益。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本公司对此类金融资产根据其流动性在交易性金融资产、其他非流动金融资产项目列报。</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⑤指定为以公允价值计量且其变动计入当期损益的金融资产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在初始确认时，本公司为了消除或显著减少会计错配，可以单项金融资产为基础不可撤销地将金融资产指定为以公允价值计量且其变动计入当期损益的金融资产。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混合合同包含一项或多项嵌入衍生工具，且其主合同不属于以上金融资产的，本公司可以将其整体指定为以公允价值计量且其变动计入当期损益的金融工具。但下列情况除外：</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A、嵌入衍生工具不会对混合合同的现金流量产生重大改变。</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B、在初次确定类似的混合合同是否需要分拆时，几乎不需分析就能明确其包含的嵌入衍生工具不应分拆。如嵌入贷款的提前还款权，允许持有人以接近摊余成本的金额提前偿还贷款，该提前还款权不需要分拆。</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本公司对此类金融资产采用公允价值进行后续计量，将公允价值变动形成的利得或损失以及与此类金融资产相关的股利和利息收入计入当期损益。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本公司对此类金融资产根据其流动性在交易性金融资产、其他非流动金融资产项目列报。</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Times New Roman" w:hAnsi="Times New Roman"/>
              <w:b/>
              <w:bCs/>
              <w:sz w:val="21"/>
              <w:szCs w:val="21"/>
            </w:rPr>
          </w:pPr>
          <w:r>
            <w:rPr>
              <w:rFonts w:hint="eastAsia" w:ascii="Times New Roman" w:hAnsi="Times New Roman" w:eastAsia="宋体"/>
              <w:b/>
              <w:bCs/>
              <w:sz w:val="21"/>
              <w:szCs w:val="21"/>
            </w:rPr>
            <w:t>（2）金融负债分类和计量</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根据所发行金融工具的合同条款及其所反映的经济实质而非仅以法律形式，结合金融负债和权益工具的定义，在初始确认时将该金融工具或其组成部分分类为金融负债或权益工具。金融负债在初始确认时分类为：以公允价值计量且其变动计入当期损益的金融负债、其他金融负债、被指定为有效套期工具的衍生工具。</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金融负债在初始确认时以公允价值计量。对于以公允价值计量且其变动计入当期损益的金融负债，相关的交易费用直接计入当期损益；对于其他类别的金融负债，相关交易费用计入初始确认金额。</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金融负债的后续计量取决于其分类：</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①以公允价值计量且其变动计入当期损益的金融负债</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此类金融负债包括交易性金融负债（含属于金融负债的衍生工具）和初始确认时指定为以公允价值计量且其变动计入当期损益的金融负债。</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满足下列条件之一的，属于交易性金融负债：承担相关金融负债的目的主要是为了在近期内出售或回购；属于集中管理的可辨认金融工具组合的一部分，且有客观证据表明企业近期采用短期获利方式模式；属于衍生工具，但是，被指定且为有效套期工具的衍生工具、符合财务担保合同的衍生工具除外。交易性金融负债（含属于金融负债的衍生工具），按照公允价值进行后续计量，除与套期会计有关外，所有公允价值变动均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在初始确认时，为了提供更相关的会计信息，本公司将满足下列条件之一的金融负债不可撤销地指定为以公允价值计量且其变动计入当期损益的金融负债：</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A、能够消除或显著减少会计错配。</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B、根据正式书面文件载明的企业风险管理或投资策略，以公允价值为基础对金融负债组合或金融资产和金融负债组合进行管理和业绩评价，并在企业内部以此为基础向关键管理人员报告。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对此类金融负债采用公允价值进行后续计量，除由本公司自身信用风险变动引起的公允价值变动计入其他综合收益之外，其他公允价值变动计入当期损益。除非由本公司自身信用风险变动引起的公允价值变动计入其他综合收益会造成或扩大损益中的会计错配，本公司将所有公允价值变动（包括自身信用风险变动的影响金额）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②其他金融负债</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除下列各项外，公司将金融负债分类为以摊余成本计量的金融负债，对此类金融负债采用实际利率法，按照摊余成本进行后续计量，终止确认或摊销产生的利得或损失计入当期损益：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A、以公允价值计量且其变动计入当期损益的金融负债。</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B、金融资产转移不符合终止确认条件或继续涉入被转移金融资产所形成的金融负债。</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C、不属于本条前两类情形的财务担保合同，以及不属于本条A类情形的以低于市场利率贷款的贷款承诺。</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财务担保合同是指当特定债务人到期不能按照最初或修改后的债务工具条款偿付债务时，要求发行方向蒙受损失的合同持有人赔付特定金额的合同。不属于指定为以公允价值计量且其变动计入当期损益的金融负债的财务担保合同，在初始确认后按照损失准备金额以及初始确认金额扣除担保期内的累计摊销额后的余额孰高进行计量。</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Times New Roman" w:hAnsi="Times New Roman"/>
              <w:b/>
              <w:bCs/>
              <w:sz w:val="21"/>
              <w:szCs w:val="21"/>
            </w:rPr>
          </w:pPr>
          <w:r>
            <w:rPr>
              <w:rFonts w:hint="eastAsia" w:ascii="Times New Roman" w:hAnsi="Times New Roman" w:eastAsia="宋体"/>
              <w:b/>
              <w:bCs/>
              <w:sz w:val="21"/>
              <w:szCs w:val="21"/>
            </w:rPr>
            <w:t>（3）金融资产和金融负债的终止确认</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①金融资产满足下列条件之一的，终止确认金融资产，即从其账户和资产负债表内予以转销：</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A、收取该金融资产现金流量的合同权利终止。</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B、该金融资产已转移，且该转移满足金融资产终止确认的规定。</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②金融负债终止确认条件</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金融负债（或其一部分）的现时义务已经解除的，则终止确认该金融负债（或该部分金融负债）。</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与借出方之间签订协议，以承担新金融负债方式替换原金融负债，且新金融负债与原金融负债的合同条款实质上不同的，或对原金融负债（或其一部分）的合同条款做出实质性修改的，则终止确认原金融负债，同时确认一项新金融负债，账面价值与支付的对价（包括转出的非现金资产或承担的负债）之间的差额，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回购金融负债一部分的，按照继续确认部分和终止确认部分在回购日各自的公允价值占整体公允价值的比例，对该金融负债整体的账面价值进行分配。分配给终止确认部分的账面价值与支付的对价（包括转出的非现金资产或承担的负债）之间的差额，应当计入当期损益。</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Times New Roman" w:hAnsi="Times New Roman"/>
              <w:b/>
              <w:bCs/>
              <w:sz w:val="21"/>
              <w:szCs w:val="21"/>
            </w:rPr>
          </w:pPr>
          <w:r>
            <w:rPr>
              <w:rFonts w:hint="eastAsia" w:ascii="Times New Roman" w:hAnsi="Times New Roman" w:eastAsia="宋体"/>
              <w:b/>
              <w:bCs/>
              <w:sz w:val="21"/>
              <w:szCs w:val="21"/>
            </w:rPr>
            <w:t>（4）金融资产转移的确认依据和计量方法</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本公司在发生金融资产转移时，评估其保留金融资产所有权上的风险和报酬的程度，并分别下列情形处理：</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①转移了金融资产所有权上几乎所有风险和报酬的，则终止确认该金融资产，并将转移中产生或保留的权利和义务单独确认为资产或负债。</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②保留了金融资产所有权上几乎所有风险和报酬的，则继续确认该金融资产。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③既没有转移也没有保留金融资产所有权上几乎所有风险和报酬的（即除本条①、②之外的其他情形），则根据其是否保留了对金融资产的控制，分别下列情形处理：</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A、未保留对该金融资产控制的，则终止确认该金融资产，并将转移中产生或保留的权利和义务单独确认为资产或负债。</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B、保留了对该金融资产控制的，则按照其继续涉入被转移金融资产的程度继续确认有关金融资产，并相应确认相关负债。继续涉入被转移金融资产的程度，是指本公司承担的被转移金融资产价值变动风险或报酬的程度。</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在判断金融资产转移是否满足上述金融资产终止确认条件时，采用实质重于形式的原则。公司将金融资产转移区分为金融资产整体转移和部分转移。</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①金融资产整体转移满足终止确认条件的，将下列两项金额的差额计入当期损益：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A、被转移金融资产在终止确认日的账面价值。</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B、因转移金融资产而收到的对价，与原直接计入其他综合收益的公允价值变动累计额中对应终止确认部分的金额（涉及转移的金融资产为以公允价值计量且其变动计入其他综合收益的金融资产）之和。</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②金融资产部分转移且该被转移部分整体满足终止确认条件的，将转移前金融资产整体的账面价值，在终止确认部分和继续确认部分（在此种情形下，所保留的服务资产应当视同继续确认金融资产的一部分）之间，按照转移日各自的相对公允价值进行分摊，并将下列两项金额的差额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A、终止确认部分在终止确认日的账面价值。</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B、终止确认部分收到的对价，与原计入其他综合收益的公允价值变动累计额中对应终止确认部分的金额（涉及转移的金融资产为以公允价值计量且其变动计入其他综合收益的金融资产）之和。</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金融资产转移不满足终止确认条件的，继续确认该金融资产，所收到的对价确认为一项金融负债。</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Times New Roman" w:hAnsi="Times New Roman"/>
              <w:b/>
              <w:bCs/>
              <w:sz w:val="21"/>
              <w:szCs w:val="21"/>
            </w:rPr>
          </w:pPr>
          <w:r>
            <w:rPr>
              <w:rFonts w:hint="eastAsia" w:ascii="Times New Roman" w:hAnsi="Times New Roman" w:eastAsia="宋体"/>
              <w:b/>
              <w:bCs/>
              <w:sz w:val="21"/>
              <w:szCs w:val="21"/>
            </w:rPr>
            <w:t>（5）金融资产和金融负债公允价值的确定方法</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存在活跃市场的金融资产或金融负债，以活跃市场的报价确定其公允价值，除非该项金融资产存在针对资产本身的限售期。对于针对资产本身的限售的金融资产，按照活跃市场的报价扣除市场参与者因承担指定期间内无法在公开市场上出售该金融资产的风险而要求获得的补偿金额后确定。活跃市场的报价包括易于且可定期从交易所、交易商、经纪人、行业集团、定价机构或监管机构等获得相关资产或负债的报价，且能代表在公平交易基础上实际并经常发生的市场交易。</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初始取得或衍生的金融资产或承担的金融负债，以市场交易价格作为确定其公允价值的基础。</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不存在活跃市场的金融资产或金融负债，采用估值技术确定其公允价值。在估值时，本公司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观察输入值。</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Times New Roman" w:hAnsi="Times New Roman"/>
              <w:b/>
              <w:bCs/>
              <w:sz w:val="21"/>
              <w:szCs w:val="21"/>
            </w:rPr>
          </w:pPr>
          <w:r>
            <w:rPr>
              <w:rFonts w:hint="eastAsia" w:ascii="Times New Roman" w:hAnsi="Times New Roman" w:eastAsia="宋体"/>
              <w:b/>
              <w:bCs/>
              <w:sz w:val="21"/>
              <w:szCs w:val="21"/>
            </w:rPr>
            <w:t>（6）金融工具减值</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本公司以预期信用损失为基础，对分类为以摊余成本计量的金融资产、分类为以公允价值计量且其变动计入其他综合收益的金融资产以及财务担保合同，进行减值会计处理并确认损失准备。</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预期信用损失，是指以发生违约的风险为权重的金融工具信用损失的加权平均值。信用损失，是指本公司按照原实际利率折现的、根据合同应收的所有合同现金流量与预期收取的所有现金流量之间的差额，即全部现金短缺的现值。其中，对于本公司购买或源生的已发生信用减值的金融资产，应按照该金融资产经信用调整的实际利率折现。</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对由收入准则规范的交易形成的应收款项，本公司运用简化计量方法，按照相当于整个存续期内预期信用损失的金额计量损失准备。</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对于购买或源生的已发生信用减值的金融资产，在资产负债表日仅将自初始确认后整个存续期内预期信用损失的累计变动确认为损失准备。在每个资产负债表日，将整个存续期内预期信用损失的变动金额作为减值损失或利得计入当期损益。即使该资产负债表日确定的整个存续期内预期信用损失小于初始确认时估计现金流量所反映的预期信用损失的金额，也将预期信用损失的有利变动确认为减值利得。</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除上述采用简化计量方法和购买或源生的已发生信用减值以外的其他金融资产，本公司在每个资产负债表日评估相关金融工具的信用风险自初始确认后是否已显著增加，并按照下列情形分别计量其损失准备、确认预期信用损失及其变动：</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①如果该金融工具的信用风险自初始确认后并未显著增加，处于第一阶段，则按照相当于该金融工具未来12个月内预期信用损失的金额计量其损失准备，并按照账面余额和实际利率计算利息收入。</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②如果该金融工具的信用风险自初始确认后已显著增加但尚未发生信用减值的，处于第二阶段，则按照相当于该金融工具整个存续期内预期信用损失的金额计量其损失准备，并按照账面余额和实际利率计算利息收入。</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③如果该金融工具自初始确认后已经发生信用减值的，处于第三阶段，本公司按照相当于该金融工具整个存续期内预期信用损失的金额计量其损失准备，并按照摊余成本和实际利率计算利息收入。</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金融工具信用损失准备的增加或转回金额，作为减值损失或利得计入当期损益。除分类为以公允价值计量且其变动计入其他综合收益的金融资产外，信用损失准备抵减金融资产的账面余额。对于分类为以公允价值计量且其变动计入其他综合收益的金融资产，本公司在其他综合收益中确认其信用损失准备，不减少该金融资产在资产负债表中列示的账面价值。</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在前一会计期间已经按照相当于金融工具整个存续期内预期信用损失的金额计量了损失准备，但在当期资产负债表日，该金融工具已不再属于自初始确认后信用风险显著增加的情形的，本公司在当期资产负债表日按照相当于未来12个月内预期信用损失的金额计量该金融工具的损失准备，由此形成的损失准备的转回金额作为减值利得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①信用风险显著增加</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利用可获得的合理且有依据的前瞻性信息，通过比较金融工具在资产负债表日发生违约的风险与在初始确认日发生违约的风险，以确定金融工具的信用风险自初始确认后是否已显著增加。对于财务担保合同，本公司在应用金融工具减值规定时，将本公司成为做出不可撤销承诺的一方之日作为初始确认日。</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本公司在评估信用风险是否显著增加时会考虑如下因素：</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A、债务人经营成果实际或预期是否发生显著变化；</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B、债务人所处的监管、经济或技术环境是否发生显著不利变化；</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C、作为债务抵押的担保物价值或第三方提供的担保或信用增级质量是否发生显著变化，这些变化预期将降低债务人按合同规定期限还款的经济动机或者影响违约概率；</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D、债务人预期表现和还款行为是否发生显著变化；</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E、本公司对金融工具信用管理方法是否发生变化等。</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于资产负债表日，若本公司判断金融工具只具有较低的信用风险，则本公司假定该金融工具的信用风险自初始确认后并未显著增加。如果金融工具的违约风险较低，借款人在短期内履行其合同现金流量义务的能力很强，并且即使较长时期内经济形势和经营环境存在不利变化，但未必一定降低借款人履行其合同现金流量义务的能力，则该金融工具被视为具有较低的信用风险。</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②已发生信用减值的金融资产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当对金融资产预期未来现金流量具有不利影响的一项或多项事件发生时，该金融资产成为已发生信用减值的金融资产。金融资产已发生信用减值的证据包括下列可观察信息：</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A、发行方或债务人发生重大财务困难；</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B、债务人违反合同，如偿付利息或本金违约或逾期等；</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C、债权人出于与债务人财务困难有关的经济或合同考虑，给予债务人在任何其他情况下都不会做出的让步；</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D、债务人很可能破产或进行其他财务重组；</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E、发行方或债务人财务困难导致该金融资产的活跃市场消失；</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F、以大幅折扣购买或源生一项金融资产，该折扣反映了发生信用损失的事实。</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金融资产发生信用减值，有可能是多个事件的共同作用所致，未必是可单独识别的事件所致。</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③预期信用损失的确定</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本公司基于单项和组合评估金融工具的预期信用损失，在评估预期信用损失时，考虑有关过去事项、当前状况以及未来经济状况预测的合理且有依据的信息。</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以共同信用风险特征为依据，将金融工具分为不同组合。本公司采用的共同信用风险特征包括：金融工具类型、信用风险评级、账龄组合等。相关金融工具的单项评估标准和组合信用风险特征详见相关金融工具的会计政策。</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本公司按照下列方法确定相关金融工具的预期信用损失：</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A、对于金融资产，信用损失为本公司应收取的合同现金流量与预期收取的现金流量之间差额的现值。</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B、对于财务担保合同，信用损失为本公司就该合同持有人发生的信用损失向其做出赔付的预计付款额，减去本公司预期向该合同持有人、债务人或任何其他方收取的金额之间差额的现值。</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C、对于资产负债表日已发生信用减值但并非购买或源生已发生信用减值的金融资产，信用损失为该金融资产账面余额与按原实际利率折现的估计未来现金流量的现值之间的差额。</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计量金融工具预期信用损失的方法反映的因素包括：通过评价一系列可能的结果而确定的无偏概率加权平均金额；货币时间价值；在资产负债表日无须付出不必要的额外成本或努力即可获得的有关过去事项、当前状况以及未来经济状况预测的合理且有依据的信息。</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④减记金融资产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当本公司不再合理预期金融资产合同现金流量能够全部或部分收回的，直接减记该金融资产的账面余额。这种减记构成相关金融资产的终止确认。</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b/>
              <w:bCs/>
              <w:sz w:val="21"/>
              <w:szCs w:val="21"/>
            </w:rPr>
          </w:pPr>
          <w:r>
            <w:rPr>
              <w:rFonts w:hint="eastAsia" w:ascii="宋体" w:eastAsia="宋体"/>
              <w:b/>
              <w:bCs/>
              <w:sz w:val="21"/>
              <w:szCs w:val="21"/>
            </w:rPr>
            <w:t>（7）金融资产及金融负债的抵销</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sz w:val="21"/>
              <w:szCs w:val="21"/>
            </w:rPr>
          </w:pPr>
          <w:r>
            <w:rPr>
              <w:rFonts w:hint="eastAsia" w:ascii="宋体" w:eastAsia="宋体"/>
              <w:sz w:val="21"/>
              <w:szCs w:val="21"/>
            </w:rPr>
            <w:t>金融资产和金融负债在资产负债表内分别列示，没有相互抵销。但是，同时满足下列条件的，以相互抵销后的净额在资产负债表内列示：</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sz w:val="21"/>
              <w:szCs w:val="21"/>
            </w:rPr>
          </w:pPr>
          <w:r>
            <w:rPr>
              <w:rFonts w:hint="eastAsia" w:ascii="宋体" w:eastAsia="宋体"/>
              <w:sz w:val="21"/>
              <w:szCs w:val="21"/>
            </w:rPr>
            <w:t>①本公司具有抵销已确认金额的法定权利，且该种法定权利是当前可执行的；</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sz w:val="21"/>
              <w:szCs w:val="21"/>
            </w:rPr>
          </w:pPr>
          <w:r>
            <w:rPr>
              <w:rFonts w:hint="eastAsia" w:ascii="宋体" w:eastAsia="宋体"/>
              <w:sz w:val="21"/>
              <w:szCs w:val="21"/>
            </w:rPr>
            <w:t>②本公司计划以净额结算，或同时变现该金融资产和清偿该金融负债。</w:t>
          </w:r>
        </w:p>
      </w:sdtContent>
    </w:sdt>
    <w:p>
      <w:pPr>
        <w:rPr>
          <w:szCs w:val="21"/>
        </w:rPr>
      </w:pPr>
    </w:p>
    <w:p>
      <w:pPr>
        <w:pStyle w:val="4"/>
        <w:numPr>
          <w:ilvl w:val="0"/>
          <w:numId w:val="55"/>
        </w:numPr>
        <w:rPr>
          <w:rFonts w:hint="eastAsia" w:ascii="宋体" w:hAnsi="宋体" w:cs="宋体"/>
          <w:kern w:val="0"/>
          <w:szCs w:val="21"/>
        </w:rPr>
      </w:pPr>
      <w:bookmarkStart w:id="195" w:name="_Hlk533667757"/>
      <w:r>
        <w:rPr>
          <w:rFonts w:hint="eastAsia" w:ascii="宋体" w:hAnsi="宋体" w:cs="宋体"/>
          <w:kern w:val="0"/>
          <w:szCs w:val="21"/>
        </w:rPr>
        <w:t>应收票据</w:t>
      </w:r>
    </w:p>
    <w:sdt>
      <w:sdtPr>
        <w:alias w:val="是否适用：应收票据_重要会计政策和估计[双击切换]"/>
        <w:tag w:val="_GBC_71282cbeee2f4e2784a0766b8ae627ef"/>
        <w:id w:val="6573"/>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195"/>
    <w:p>
      <w:pPr>
        <w:pStyle w:val="4"/>
        <w:numPr>
          <w:ilvl w:val="0"/>
          <w:numId w:val="55"/>
        </w:numPr>
        <w:rPr>
          <w:rFonts w:hint="eastAsia" w:ascii="宋体" w:hAnsi="宋体" w:cs="宋体"/>
          <w:kern w:val="0"/>
          <w:szCs w:val="21"/>
        </w:rPr>
      </w:pPr>
      <w:bookmarkStart w:id="196" w:name="_Hlk152690378"/>
      <w:bookmarkStart w:id="197" w:name="_Hlk533667783"/>
      <w:r>
        <w:rPr>
          <w:rFonts w:hint="eastAsia" w:ascii="宋体" w:hAnsi="宋体" w:cs="宋体"/>
          <w:kern w:val="0"/>
          <w:szCs w:val="21"/>
        </w:rPr>
        <w:t>应收账款</w:t>
      </w:r>
    </w:p>
    <w:sdt>
      <w:sdtPr>
        <w:rPr>
          <w:rFonts w:hint="eastAsia"/>
        </w:rPr>
        <w:alias w:val="是否适用：应收账款_重要会计政策和估计[双击切换]"/>
        <w:tag w:val="_GBC_d0c8b3edf5e1401fa6e5edeeb4e121b6"/>
        <w:id w:val="6574"/>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196"/>
    <w:bookmarkEnd w:id="197"/>
    <w:p>
      <w:pPr>
        <w:rPr>
          <w:b/>
          <w:kern w:val="2"/>
          <w:szCs w:val="28"/>
        </w:rPr>
      </w:pPr>
      <w:r>
        <w:rPr>
          <w:b/>
          <w:kern w:val="2"/>
          <w:szCs w:val="28"/>
        </w:rPr>
        <w:t>按照信用风险特征组合计提坏账准备的组合类别及确定依据</w:t>
      </w:r>
    </w:p>
    <w:sdt>
      <w:sdtPr>
        <w:rPr>
          <w:szCs w:val="21"/>
        </w:rPr>
        <w:alias w:val="是否适用：应收账款按照信用风险特征组合计提坏账准备的组合类别及确定依据[双击切换]"/>
        <w:tag w:val="_GBC_bbe660c8a4484f56bb4d8ca560cf5f0d"/>
        <w:id w:val="6575"/>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ascii="宋体" w:hAnsi="宋体" w:eastAsia="宋体" w:cs="宋体"/>
          <w:sz w:val="21"/>
          <w:szCs w:val="21"/>
        </w:rPr>
        <w:alias w:val="应收账款按照信用风险特征组合计提坏账准备的组合类别及确定依据"/>
        <w:tag w:val="_GBC_dc9b9edff6424bb9a8c3e45ddef1456d"/>
        <w:id w:val="6576"/>
        <w:placeholder>
          <w:docPart w:val="GBC22222222222222222222222222222"/>
        </w:placeholder>
      </w:sdtPr>
      <w:sdtEndPr>
        <w:rPr>
          <w:rFonts w:hint="eastAsia" w:ascii="宋体" w:hAnsi="宋体" w:eastAsia="宋体" w:cs="宋体"/>
          <w:sz w:val="21"/>
          <w:szCs w:val="21"/>
        </w:rPr>
      </w:sdtEndPr>
      <w:sdtContent>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3001"/>
            <w:gridCol w:w="4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tcBorders>
                  <w:top w:val="single" w:color="auto" w:sz="12" w:space="0"/>
                  <w:left w:val="nil"/>
                  <w:bottom w:val="single" w:color="auto" w:sz="4" w:space="0"/>
                  <w:right w:val="single" w:color="auto" w:sz="4" w:space="0"/>
                </w:tcBorders>
                <w:vAlign w:val="center"/>
              </w:tcPr>
              <w:p>
                <w:pPr>
                  <w:widowControl w:val="0"/>
                  <w:ind w:firstLine="480"/>
                  <w:jc w:val="both"/>
                  <w:rPr>
                    <w:rFonts w:hint="eastAsia" w:ascii="宋体" w:hAnsi="宋体" w:eastAsia="宋体" w:cs="宋体"/>
                    <w:sz w:val="21"/>
                    <w:szCs w:val="21"/>
                  </w:rPr>
                </w:pPr>
                <w:r>
                  <w:rPr>
                    <w:rFonts w:hint="eastAsia" w:ascii="宋体" w:hAnsi="宋体" w:eastAsia="宋体" w:cs="宋体"/>
                    <w:sz w:val="21"/>
                    <w:szCs w:val="21"/>
                  </w:rPr>
                  <w:t>组合名称</w:t>
                </w:r>
              </w:p>
            </w:tc>
            <w:tc>
              <w:tcPr>
                <w:tcW w:w="1658" w:type="pct"/>
                <w:tcBorders>
                  <w:top w:val="single" w:color="auto" w:sz="12" w:space="0"/>
                  <w:left w:val="single" w:color="auto" w:sz="4" w:space="0"/>
                  <w:bottom w:val="single" w:color="auto" w:sz="4" w:space="0"/>
                  <w:right w:val="single" w:color="auto" w:sz="4" w:space="0"/>
                </w:tcBorders>
                <w:vAlign w:val="center"/>
              </w:tcPr>
              <w:p>
                <w:pPr>
                  <w:widowControl w:val="0"/>
                  <w:ind w:firstLine="480"/>
                  <w:jc w:val="both"/>
                  <w:rPr>
                    <w:rFonts w:hint="eastAsia" w:ascii="宋体" w:hAnsi="宋体" w:eastAsia="宋体" w:cs="宋体"/>
                    <w:sz w:val="21"/>
                    <w:szCs w:val="21"/>
                  </w:rPr>
                </w:pPr>
                <w:r>
                  <w:rPr>
                    <w:rFonts w:hint="eastAsia" w:ascii="宋体" w:hAnsi="宋体" w:eastAsia="宋体" w:cs="宋体"/>
                    <w:sz w:val="21"/>
                    <w:szCs w:val="21"/>
                  </w:rPr>
                  <w:t>确定组合的依据</w:t>
                </w:r>
              </w:p>
            </w:tc>
            <w:tc>
              <w:tcPr>
                <w:tcW w:w="2367" w:type="pct"/>
                <w:tcBorders>
                  <w:top w:val="single" w:color="auto" w:sz="12" w:space="0"/>
                  <w:left w:val="single" w:color="auto" w:sz="4" w:space="0"/>
                  <w:bottom w:val="single" w:color="auto" w:sz="4" w:space="0"/>
                  <w:right w:val="nil"/>
                </w:tcBorders>
                <w:vAlign w:val="center"/>
              </w:tcPr>
              <w:p>
                <w:pPr>
                  <w:widowControl w:val="0"/>
                  <w:ind w:firstLine="480"/>
                  <w:jc w:val="center"/>
                  <w:rPr>
                    <w:rFonts w:hint="eastAsia" w:ascii="宋体" w:hAnsi="宋体" w:eastAsia="宋体" w:cs="宋体"/>
                    <w:sz w:val="21"/>
                    <w:szCs w:val="21"/>
                  </w:rPr>
                </w:pPr>
                <w:r>
                  <w:rPr>
                    <w:rFonts w:hint="eastAsia" w:ascii="宋体" w:hAnsi="宋体" w:eastAsia="宋体" w:cs="宋体"/>
                    <w:sz w:val="21"/>
                    <w:szCs w:val="21"/>
                  </w:rPr>
                  <w:t>计提方法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tcBorders>
                  <w:top w:val="single" w:color="auto" w:sz="4" w:space="0"/>
                  <w:left w:val="nil"/>
                  <w:bottom w:val="single" w:color="auto" w:sz="4" w:space="0"/>
                  <w:right w:val="single" w:color="auto" w:sz="4" w:space="0"/>
                </w:tcBorders>
                <w:vAlign w:val="center"/>
              </w:tcPr>
              <w:p>
                <w:pPr>
                  <w:widowControl w:val="0"/>
                  <w:jc w:val="both"/>
                  <w:rPr>
                    <w:rFonts w:hint="eastAsia" w:ascii="宋体" w:hAnsi="宋体" w:eastAsia="宋体" w:cs="宋体"/>
                    <w:sz w:val="21"/>
                    <w:szCs w:val="21"/>
                  </w:rPr>
                </w:pPr>
                <w:r>
                  <w:rPr>
                    <w:rFonts w:hint="eastAsia" w:ascii="宋体" w:hAnsi="宋体" w:eastAsia="宋体" w:cs="宋体"/>
                    <w:sz w:val="21"/>
                    <w:szCs w:val="21"/>
                  </w:rPr>
                  <w:t>账龄组合</w:t>
                </w:r>
              </w:p>
            </w:tc>
            <w:tc>
              <w:tcPr>
                <w:tcW w:w="1658" w:type="pct"/>
                <w:tcBorders>
                  <w:top w:val="single" w:color="auto" w:sz="4" w:space="0"/>
                  <w:left w:val="single" w:color="auto" w:sz="4" w:space="0"/>
                  <w:bottom w:val="single" w:color="auto" w:sz="4" w:space="0"/>
                  <w:right w:val="single" w:color="auto" w:sz="4" w:space="0"/>
                </w:tcBorders>
                <w:vAlign w:val="center"/>
              </w:tcPr>
              <w:p>
                <w:pPr>
                  <w:widowControl w:val="0"/>
                  <w:jc w:val="both"/>
                  <w:rPr>
                    <w:rFonts w:hint="eastAsia" w:ascii="宋体" w:hAnsi="宋体" w:eastAsia="宋体" w:cs="宋体"/>
                    <w:sz w:val="21"/>
                    <w:szCs w:val="21"/>
                  </w:rPr>
                </w:pPr>
                <w:r>
                  <w:rPr>
                    <w:rFonts w:hint="eastAsia" w:ascii="宋体" w:hAnsi="宋体" w:eastAsia="宋体" w:cs="宋体"/>
                    <w:sz w:val="21"/>
                    <w:szCs w:val="21"/>
                  </w:rPr>
                  <w:t>按账龄划分的具有类似信用风险特征的应收账款</w:t>
                </w:r>
              </w:p>
            </w:tc>
            <w:tc>
              <w:tcPr>
                <w:tcW w:w="2367" w:type="pct"/>
                <w:tcBorders>
                  <w:top w:val="single" w:color="auto" w:sz="4" w:space="0"/>
                  <w:left w:val="single" w:color="auto" w:sz="4" w:space="0"/>
                  <w:bottom w:val="single" w:color="auto" w:sz="4" w:space="0"/>
                  <w:right w:val="single" w:color="auto" w:sz="0" w:space="0"/>
                </w:tcBorders>
                <w:vAlign w:val="center"/>
              </w:tcPr>
              <w:p>
                <w:pPr>
                  <w:widowControl w:val="0"/>
                  <w:jc w:val="both"/>
                  <w:rPr>
                    <w:rFonts w:hint="eastAsia" w:ascii="宋体" w:hAnsi="宋体" w:eastAsia="宋体" w:cs="宋体"/>
                    <w:sz w:val="21"/>
                    <w:szCs w:val="21"/>
                  </w:rPr>
                </w:pPr>
                <w:r>
                  <w:rPr>
                    <w:rFonts w:hint="eastAsia" w:ascii="宋体" w:hAnsi="宋体" w:eastAsia="宋体" w:cs="宋体"/>
                    <w:sz w:val="21"/>
                    <w:szCs w:val="21"/>
                  </w:rPr>
                  <w:t>参考历史信用损失经验，结合当前状况以及对未来经济状况的预测，按账龄与整个存续期预期信用损失率对照表计提。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tcBorders>
                  <w:top w:val="single" w:color="auto" w:sz="4" w:space="0"/>
                  <w:left w:val="nil"/>
                  <w:bottom w:val="single" w:color="auto" w:sz="12" w:space="0"/>
                  <w:right w:val="single" w:color="auto" w:sz="4" w:space="0"/>
                </w:tcBorders>
                <w:vAlign w:val="center"/>
              </w:tcPr>
              <w:p>
                <w:pPr>
                  <w:widowControl w:val="0"/>
                  <w:jc w:val="both"/>
                  <w:rPr>
                    <w:rFonts w:hint="eastAsia" w:ascii="宋体" w:hAnsi="宋体" w:eastAsia="宋体" w:cs="宋体"/>
                    <w:sz w:val="21"/>
                    <w:szCs w:val="21"/>
                  </w:rPr>
                </w:pPr>
                <w:r>
                  <w:rPr>
                    <w:rFonts w:hint="eastAsia" w:ascii="宋体" w:hAnsi="宋体" w:eastAsia="宋体" w:cs="宋体"/>
                    <w:sz w:val="21"/>
                    <w:szCs w:val="21"/>
                  </w:rPr>
                  <w:t>关联方组合</w:t>
                </w:r>
              </w:p>
            </w:tc>
            <w:tc>
              <w:tcPr>
                <w:tcW w:w="1658" w:type="pct"/>
                <w:tcBorders>
                  <w:top w:val="single" w:color="auto" w:sz="4" w:space="0"/>
                  <w:left w:val="single" w:color="auto" w:sz="4" w:space="0"/>
                  <w:bottom w:val="single" w:color="auto" w:sz="12" w:space="0"/>
                  <w:right w:val="single" w:color="auto" w:sz="4" w:space="0"/>
                </w:tcBorders>
                <w:vAlign w:val="center"/>
              </w:tcPr>
              <w:p>
                <w:pPr>
                  <w:widowControl w:val="0"/>
                  <w:jc w:val="both"/>
                  <w:rPr>
                    <w:rFonts w:hint="eastAsia" w:ascii="宋体" w:hAnsi="宋体" w:eastAsia="宋体" w:cs="宋体"/>
                    <w:sz w:val="21"/>
                    <w:szCs w:val="21"/>
                  </w:rPr>
                </w:pPr>
                <w:r>
                  <w:rPr>
                    <w:rFonts w:hint="eastAsia" w:ascii="宋体" w:hAnsi="宋体" w:eastAsia="宋体" w:cs="宋体"/>
                    <w:sz w:val="21"/>
                    <w:szCs w:val="21"/>
                  </w:rPr>
                  <w:t>应收本公司合并范围内关联方款项</w:t>
                </w:r>
              </w:p>
            </w:tc>
            <w:tc>
              <w:tcPr>
                <w:tcW w:w="2367" w:type="pct"/>
                <w:tcBorders>
                  <w:top w:val="single" w:color="auto" w:sz="4" w:space="0"/>
                  <w:left w:val="single" w:color="auto" w:sz="4" w:space="0"/>
                  <w:bottom w:val="single" w:color="auto" w:sz="12" w:space="0"/>
                  <w:right w:val="nil"/>
                </w:tcBorders>
                <w:vAlign w:val="center"/>
              </w:tcPr>
              <w:p>
                <w:pPr>
                  <w:widowControl w:val="0"/>
                  <w:jc w:val="both"/>
                  <w:rPr>
                    <w:rFonts w:hint="eastAsia" w:ascii="宋体" w:hAnsi="宋体" w:eastAsia="宋体" w:cs="宋体"/>
                    <w:sz w:val="21"/>
                    <w:szCs w:val="21"/>
                  </w:rPr>
                </w:pPr>
                <w:r>
                  <w:rPr>
                    <w:rFonts w:hint="eastAsia" w:ascii="宋体" w:hAnsi="宋体" w:eastAsia="宋体" w:cs="宋体"/>
                    <w:sz w:val="21"/>
                    <w:szCs w:val="21"/>
                  </w:rPr>
                  <w:t>不计提。</w:t>
                </w:r>
              </w:p>
            </w:tc>
          </w:tr>
        </w:tbl>
      </w:sdtContent>
    </w:sdt>
    <w:p>
      <w:pPr>
        <w:rPr>
          <w:b/>
          <w:bCs/>
          <w:kern w:val="2"/>
          <w:szCs w:val="28"/>
        </w:rPr>
      </w:pPr>
    </w:p>
    <w:p>
      <w:pPr>
        <w:rPr>
          <w:b/>
          <w:kern w:val="2"/>
          <w:szCs w:val="28"/>
        </w:rPr>
      </w:pPr>
      <w:r>
        <w:rPr>
          <w:b/>
          <w:kern w:val="2"/>
          <w:szCs w:val="28"/>
        </w:rPr>
        <w:t>基于账龄确认信用风险特征组合的账龄计算方法</w:t>
      </w:r>
    </w:p>
    <w:sdt>
      <w:sdtPr>
        <w:rPr>
          <w:szCs w:val="21"/>
        </w:rPr>
        <w:alias w:val="是否适用：应收账款基于账龄确认信用风险特征组合的账龄计算方法[双击切换]"/>
        <w:tag w:val="_GBC_a894190385984ab79eb47091bc48cf44"/>
        <w:id w:val="6577"/>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ascii="宋体" w:hAnsi="宋体" w:eastAsia="宋体" w:cs="宋体"/>
          <w:sz w:val="21"/>
          <w:szCs w:val="21"/>
        </w:rPr>
        <w:alias w:val="应收账款基于账龄确认信用风险特征组合的账龄计算方法"/>
        <w:tag w:val="_GBC_5898846437ea4f198500076e05edd8ab"/>
        <w:id w:val="6578"/>
        <w:placeholder>
          <w:docPart w:val="GBC22222222222222222222222222222"/>
        </w:placeholder>
      </w:sdtPr>
      <w:sdtEndPr>
        <w:rPr>
          <w:rFonts w:hint="eastAsia" w:ascii="宋体" w:hAnsi="宋体" w:eastAsia="宋体" w:cs="宋体"/>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szCs w:val="21"/>
            </w:rPr>
          </w:pPr>
          <w:r>
            <w:rPr>
              <w:rFonts w:hint="eastAsia" w:ascii="宋体" w:hAnsi="宋体" w:eastAsia="宋体" w:cs="宋体"/>
              <w:sz w:val="21"/>
              <w:szCs w:val="21"/>
            </w:rPr>
            <w:t>公司按照先发生先收回的原则统计并计算应收账款账龄。</w:t>
          </w:r>
        </w:p>
      </w:sdtContent>
    </w:sdt>
    <w:p>
      <w:pPr>
        <w:rPr>
          <w:b/>
          <w:bCs/>
          <w:kern w:val="2"/>
          <w:szCs w:val="28"/>
        </w:rPr>
      </w:pPr>
    </w:p>
    <w:p>
      <w:pPr>
        <w:rPr>
          <w:b/>
          <w:kern w:val="2"/>
          <w:szCs w:val="28"/>
        </w:rPr>
      </w:pPr>
      <w:r>
        <w:rPr>
          <w:b/>
          <w:kern w:val="2"/>
          <w:szCs w:val="28"/>
        </w:rPr>
        <w:t>按照单项计提坏账准备的认定单项计提判断标准</w:t>
      </w:r>
    </w:p>
    <w:sdt>
      <w:sdtPr>
        <w:rPr>
          <w:szCs w:val="21"/>
        </w:rPr>
        <w:alias w:val="是否适用：应收账款按照单项计提坏账准备的单项计提判断标准[双击切换]"/>
        <w:tag w:val="_GBC_f7afe786f25942689e4acaa1b3bcb415"/>
        <w:id w:val="6579"/>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szCs w:val="21"/>
        </w:rPr>
        <w:alias w:val="应收账款按照单项计提坏账准备的单项计提判断标准"/>
        <w:tag w:val="_GBC_599e453280664c169d8cffd0da6e21f5"/>
        <w:id w:val="6580"/>
        <w:placeholder>
          <w:docPart w:val="GBC22222222222222222222222222222"/>
        </w:placeholder>
      </w:sdtPr>
      <w:sdtEndPr>
        <w:rPr>
          <w:rFonts w:hint="eastAsia" w:ascii="宋体" w:hAnsi="宋体" w:eastAsia="宋体" w:cs="宋体"/>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宋体" w:hAnsi="宋体" w:eastAsia="宋体" w:cs="宋体"/>
              <w:sz w:val="21"/>
              <w:szCs w:val="21"/>
            </w:rPr>
          </w:pPr>
          <w:r>
            <w:rPr>
              <w:rFonts w:hint="eastAsia" w:ascii="宋体" w:hAnsi="宋体" w:eastAsia="宋体" w:cs="宋体"/>
              <w:sz w:val="21"/>
              <w:szCs w:val="21"/>
            </w:rPr>
            <w:t>本公司将债务人信用状况明显恶化、未来回款可能性较低、已经发生信用减值等信用风险特征明显不同的应收账款单独进行减值测试。</w:t>
          </w:r>
        </w:p>
      </w:sdtContent>
    </w:sd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宋体" w:hAnsi="宋体" w:eastAsia="宋体" w:cs="宋体"/>
          <w:sz w:val="21"/>
          <w:szCs w:val="21"/>
        </w:rPr>
      </w:pPr>
    </w:p>
    <w:sdt>
      <w:sdtPr>
        <w:tag w:val="_PLD_df15800605824474b487cc019b112331"/>
        <w:id w:val="6581"/>
      </w:sdtPr>
      <w:sdtContent>
        <w:p>
          <w:pPr>
            <w:pStyle w:val="4"/>
            <w:numPr>
              <w:ilvl w:val="0"/>
              <w:numId w:val="55"/>
            </w:numPr>
          </w:pPr>
          <w:bookmarkStart w:id="198" w:name="_Hlk152690443"/>
          <w:bookmarkStart w:id="199" w:name="_Hlk24102310"/>
          <w:r>
            <w:rPr>
              <w:rFonts w:hint="eastAsia"/>
            </w:rPr>
            <w:t>应收款项融资</w:t>
          </w:r>
        </w:p>
      </w:sdtContent>
    </w:sdt>
    <w:sdt>
      <w:sdtPr>
        <w:alias w:val="是否适用：应收款项融资_重要会计政策和估计[双击切换]"/>
        <w:tag w:val="_GBC_a2e41ba19b9541d683d17977f5a0e631"/>
        <w:id w:val="6582"/>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198"/>
    <w:bookmarkEnd w:id="199"/>
    <w:p>
      <w:pPr>
        <w:rPr>
          <w:b/>
          <w:kern w:val="2"/>
          <w:szCs w:val="28"/>
        </w:rPr>
      </w:pPr>
      <w:r>
        <w:rPr>
          <w:b/>
          <w:kern w:val="2"/>
          <w:szCs w:val="28"/>
        </w:rPr>
        <w:t>按照信用风险特征组合计提坏账准备的组合类别及确定依据</w:t>
      </w:r>
    </w:p>
    <w:sdt>
      <w:sdtPr>
        <w:rPr>
          <w:szCs w:val="21"/>
        </w:rPr>
        <w:alias w:val="是否适用：应收款项融资按照信用风险特征组合计提坏账准备的组合类别及确定依据[双击切换]"/>
        <w:tag w:val="_GBC_96c4eeead8b040d79bbd069f3f4f2aec"/>
        <w:id w:val="6583"/>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ascii="Arial Narrow" w:hAnsi="Arial Narrow" w:eastAsia="宋体" w:cs="Times New Roman"/>
          <w:kern w:val="2"/>
          <w:szCs w:val="21"/>
        </w:rPr>
        <w:alias w:val="应收款项融资按照信用风险特征组合计提坏账准备的组合类别及确定依据"/>
        <w:tag w:val="_GBC_37ff5d8320ca45f099eeaeeaaf6f1232"/>
        <w:id w:val="6584"/>
        <w:placeholder>
          <w:docPart w:val="GBC22222222222222222222222222222"/>
        </w:placeholder>
      </w:sdtPr>
      <w:sdtEndPr>
        <w:rPr>
          <w:rFonts w:hint="eastAsia" w:ascii="Arial Narrow" w:hAnsi="Arial Narrow" w:eastAsia="宋体" w:cs="Times New Roman"/>
          <w:kern w:val="2"/>
          <w:szCs w:val="21"/>
        </w:rPr>
      </w:sdtEndPr>
      <w:sdtContent>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3"/>
            <w:gridCol w:w="2062"/>
            <w:gridCol w:w="5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36" w:type="pct"/>
                <w:tcBorders>
                  <w:top w:val="single" w:color="auto" w:sz="12" w:space="0"/>
                  <w:left w:val="nil"/>
                  <w:bottom w:val="single" w:color="auto" w:sz="4" w:space="0"/>
                  <w:right w:val="single" w:color="auto" w:sz="4" w:space="0"/>
                </w:tcBorders>
                <w:vAlign w:val="center"/>
              </w:tcPr>
              <w:p>
                <w:pPr>
                  <w:keepNext w:val="0"/>
                  <w:keepLines w:val="0"/>
                  <w:pageBreakBefore w:val="0"/>
                  <w:widowControl w:val="0"/>
                  <w:tabs>
                    <w:tab w:val="left" w:pos="196"/>
                    <w:tab w:val="left" w:pos="426"/>
                  </w:tabs>
                  <w:kinsoku/>
                  <w:wordWrap/>
                  <w:overflowPunct/>
                  <w:topLinePunct w:val="0"/>
                  <w:autoSpaceDE/>
                  <w:autoSpaceDN/>
                  <w:bidi w:val="0"/>
                  <w:adjustRightInd/>
                  <w:snapToGrid w:val="0"/>
                  <w:spacing w:line="240" w:lineRule="exact"/>
                  <w:ind w:firstLine="0" w:firstLineChars="0"/>
                  <w:jc w:val="center"/>
                  <w:textAlignment w:val="auto"/>
                  <w:rPr>
                    <w:rFonts w:hint="eastAsia" w:ascii="Arial Narrow" w:hAnsi="Arial Narrow" w:eastAsia="宋体" w:cs="Times New Roman"/>
                    <w:kern w:val="2"/>
                    <w:szCs w:val="21"/>
                  </w:rPr>
                </w:pPr>
                <w:r>
                  <w:rPr>
                    <w:rFonts w:hint="eastAsia" w:ascii="Arial Narrow" w:hAnsi="Arial Narrow" w:eastAsia="宋体" w:cs="Times New Roman"/>
                    <w:kern w:val="2"/>
                    <w:szCs w:val="21"/>
                  </w:rPr>
                  <w:t>组合名称</w:t>
                </w:r>
              </w:p>
            </w:tc>
            <w:tc>
              <w:tcPr>
                <w:tcW w:w="1139" w:type="pc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val="0"/>
                  <w:tabs>
                    <w:tab w:val="left" w:pos="196"/>
                    <w:tab w:val="left" w:pos="426"/>
                  </w:tabs>
                  <w:kinsoku/>
                  <w:wordWrap/>
                  <w:overflowPunct/>
                  <w:topLinePunct w:val="0"/>
                  <w:autoSpaceDE/>
                  <w:autoSpaceDN/>
                  <w:bidi w:val="0"/>
                  <w:adjustRightInd/>
                  <w:snapToGrid w:val="0"/>
                  <w:spacing w:line="240" w:lineRule="exact"/>
                  <w:ind w:firstLine="0" w:firstLineChars="0"/>
                  <w:jc w:val="center"/>
                  <w:textAlignment w:val="auto"/>
                  <w:rPr>
                    <w:rFonts w:hint="eastAsia" w:ascii="Arial Narrow" w:hAnsi="Arial Narrow" w:eastAsia="宋体" w:cs="Times New Roman"/>
                    <w:kern w:val="2"/>
                    <w:szCs w:val="21"/>
                  </w:rPr>
                </w:pPr>
                <w:r>
                  <w:rPr>
                    <w:rFonts w:hint="eastAsia" w:ascii="Arial Narrow" w:hAnsi="Arial Narrow" w:eastAsia="宋体" w:cs="Times New Roman"/>
                    <w:kern w:val="2"/>
                    <w:szCs w:val="21"/>
                  </w:rPr>
                  <w:t>确定组合的依据</w:t>
                </w:r>
              </w:p>
            </w:tc>
            <w:tc>
              <w:tcPr>
                <w:tcW w:w="3024" w:type="pct"/>
                <w:tcBorders>
                  <w:top w:val="single" w:color="auto" w:sz="12" w:space="0"/>
                  <w:left w:val="single" w:color="auto" w:sz="4" w:space="0"/>
                  <w:bottom w:val="single" w:color="auto" w:sz="4" w:space="0"/>
                  <w:right w:val="nil"/>
                </w:tcBorders>
                <w:vAlign w:val="center"/>
              </w:tcPr>
              <w:p>
                <w:pPr>
                  <w:keepNext w:val="0"/>
                  <w:keepLines w:val="0"/>
                  <w:pageBreakBefore w:val="0"/>
                  <w:widowControl w:val="0"/>
                  <w:tabs>
                    <w:tab w:val="left" w:pos="196"/>
                    <w:tab w:val="left" w:pos="426"/>
                  </w:tabs>
                  <w:kinsoku/>
                  <w:wordWrap/>
                  <w:overflowPunct/>
                  <w:topLinePunct w:val="0"/>
                  <w:autoSpaceDE/>
                  <w:autoSpaceDN/>
                  <w:bidi w:val="0"/>
                  <w:adjustRightInd/>
                  <w:snapToGrid w:val="0"/>
                  <w:spacing w:line="240" w:lineRule="exact"/>
                  <w:ind w:firstLine="0" w:firstLineChars="0"/>
                  <w:jc w:val="center"/>
                  <w:textAlignment w:val="auto"/>
                  <w:rPr>
                    <w:rFonts w:hint="eastAsia" w:ascii="Arial Narrow" w:hAnsi="Arial Narrow" w:eastAsia="宋体" w:cs="Times New Roman"/>
                    <w:kern w:val="2"/>
                    <w:szCs w:val="21"/>
                  </w:rPr>
                </w:pPr>
                <w:r>
                  <w:rPr>
                    <w:rFonts w:hint="eastAsia" w:ascii="Arial Narrow" w:hAnsi="Arial Narrow" w:eastAsia="宋体" w:cs="Times New Roman"/>
                    <w:kern w:val="2"/>
                    <w:szCs w:val="21"/>
                  </w:rPr>
                  <w:t>计提方法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 w:type="pct"/>
                <w:tcBorders>
                  <w:top w:val="single" w:color="auto" w:sz="4" w:space="0"/>
                  <w:left w:val="nil"/>
                  <w:bottom w:val="single" w:color="auto" w:sz="12" w:space="0"/>
                  <w:right w:val="single" w:color="auto" w:sz="4" w:space="0"/>
                </w:tcBorders>
                <w:vAlign w:val="center"/>
              </w:tcPr>
              <w:p>
                <w:pPr>
                  <w:keepNext w:val="0"/>
                  <w:keepLines w:val="0"/>
                  <w:pageBreakBefore w:val="0"/>
                  <w:widowControl w:val="0"/>
                  <w:tabs>
                    <w:tab w:val="left" w:pos="196"/>
                    <w:tab w:val="left" w:pos="426"/>
                  </w:tabs>
                  <w:kinsoku/>
                  <w:wordWrap/>
                  <w:overflowPunct/>
                  <w:topLinePunct w:val="0"/>
                  <w:autoSpaceDE/>
                  <w:autoSpaceDN/>
                  <w:bidi w:val="0"/>
                  <w:adjustRightInd/>
                  <w:snapToGrid w:val="0"/>
                  <w:spacing w:line="240" w:lineRule="exact"/>
                  <w:ind w:firstLine="0" w:firstLineChars="0"/>
                  <w:jc w:val="center"/>
                  <w:textAlignment w:val="auto"/>
                  <w:rPr>
                    <w:rFonts w:hint="eastAsia" w:ascii="Arial Narrow" w:hAnsi="Arial Narrow" w:eastAsia="宋体" w:cs="Times New Roman"/>
                    <w:kern w:val="2"/>
                    <w:szCs w:val="21"/>
                  </w:rPr>
                </w:pPr>
                <w:r>
                  <w:rPr>
                    <w:rFonts w:hint="eastAsia" w:ascii="Arial Narrow" w:hAnsi="Arial Narrow" w:eastAsia="宋体" w:cs="Times New Roman"/>
                    <w:kern w:val="2"/>
                    <w:szCs w:val="21"/>
                  </w:rPr>
                  <w:t>银行承兑汇票</w:t>
                </w:r>
              </w:p>
            </w:tc>
            <w:tc>
              <w:tcPr>
                <w:tcW w:w="1139"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tabs>
                    <w:tab w:val="left" w:pos="196"/>
                    <w:tab w:val="left" w:pos="426"/>
                  </w:tabs>
                  <w:kinsoku/>
                  <w:wordWrap/>
                  <w:overflowPunct/>
                  <w:topLinePunct w:val="0"/>
                  <w:autoSpaceDE/>
                  <w:autoSpaceDN/>
                  <w:bidi w:val="0"/>
                  <w:adjustRightInd/>
                  <w:snapToGrid w:val="0"/>
                  <w:spacing w:line="240" w:lineRule="exact"/>
                  <w:ind w:firstLine="0" w:firstLineChars="0"/>
                  <w:jc w:val="center"/>
                  <w:textAlignment w:val="auto"/>
                  <w:rPr>
                    <w:rFonts w:hint="eastAsia" w:ascii="Arial Narrow" w:hAnsi="Arial Narrow" w:eastAsia="宋体" w:cs="Times New Roman"/>
                    <w:kern w:val="2"/>
                    <w:szCs w:val="21"/>
                  </w:rPr>
                </w:pPr>
                <w:r>
                  <w:rPr>
                    <w:rFonts w:hint="eastAsia" w:ascii="Arial Narrow" w:hAnsi="Arial Narrow" w:eastAsia="宋体" w:cs="Times New Roman"/>
                    <w:kern w:val="2"/>
                    <w:szCs w:val="21"/>
                  </w:rPr>
                  <w:t>信用风险较低银行</w:t>
                </w:r>
              </w:p>
            </w:tc>
            <w:tc>
              <w:tcPr>
                <w:tcW w:w="3024" w:type="pct"/>
                <w:tcBorders>
                  <w:top w:val="single" w:color="auto" w:sz="4" w:space="0"/>
                  <w:left w:val="single" w:color="auto" w:sz="4" w:space="0"/>
                  <w:bottom w:val="single" w:color="auto" w:sz="12" w:space="0"/>
                  <w:right w:val="nil"/>
                </w:tcBorders>
                <w:vAlign w:val="center"/>
              </w:tcPr>
              <w:p>
                <w:pPr>
                  <w:keepNext w:val="0"/>
                  <w:keepLines w:val="0"/>
                  <w:pageBreakBefore w:val="0"/>
                  <w:widowControl w:val="0"/>
                  <w:tabs>
                    <w:tab w:val="left" w:pos="196"/>
                    <w:tab w:val="left" w:pos="426"/>
                  </w:tabs>
                  <w:kinsoku/>
                  <w:wordWrap/>
                  <w:overflowPunct/>
                  <w:topLinePunct w:val="0"/>
                  <w:autoSpaceDE/>
                  <w:autoSpaceDN/>
                  <w:bidi w:val="0"/>
                  <w:adjustRightInd/>
                  <w:snapToGrid w:val="0"/>
                  <w:spacing w:line="240" w:lineRule="exact"/>
                  <w:ind w:firstLine="0" w:firstLineChars="0"/>
                  <w:jc w:val="both"/>
                  <w:textAlignment w:val="auto"/>
                  <w:rPr>
                    <w:rFonts w:hint="eastAsia" w:ascii="Arial Narrow" w:hAnsi="Arial Narrow" w:eastAsia="宋体" w:cs="Times New Roman"/>
                    <w:kern w:val="2"/>
                    <w:szCs w:val="21"/>
                  </w:rPr>
                </w:pPr>
                <w:r>
                  <w:rPr>
                    <w:rFonts w:hint="eastAsia" w:ascii="Arial Narrow" w:hAnsi="Arial Narrow" w:eastAsia="宋体" w:cs="Times New Roman"/>
                    <w:kern w:val="2"/>
                    <w:szCs w:val="21"/>
                  </w:rPr>
                  <w:t>参考历史信</w:t>
                </w:r>
                <w:r>
                  <w:rPr>
                    <w:rFonts w:hint="eastAsia" w:ascii="Times New Roman" w:hAnsi="Times New Roman" w:eastAsia="宋体" w:cs="Times New Roman"/>
                    <w:kern w:val="2"/>
                    <w:sz w:val="21"/>
                    <w:szCs w:val="21"/>
                  </w:rPr>
                  <w:t>用损失经验，结合当前状况以及对未来经济状况的预测，对未来12个月内的预期信</w:t>
                </w:r>
                <w:r>
                  <w:rPr>
                    <w:rFonts w:hint="eastAsia" w:ascii="Arial Narrow" w:hAnsi="Arial Narrow" w:eastAsia="宋体" w:cs="Times New Roman"/>
                    <w:kern w:val="2"/>
                    <w:szCs w:val="21"/>
                  </w:rPr>
                  <w:t>用损失率，计算预期信用损失。</w:t>
                </w:r>
              </w:p>
            </w:tc>
          </w:tr>
        </w:tbl>
      </w:sdtContent>
    </w:sdt>
    <w:p>
      <w:pPr>
        <w:rPr>
          <w:b/>
          <w:bCs/>
          <w:kern w:val="2"/>
          <w:szCs w:val="28"/>
        </w:rPr>
      </w:pPr>
    </w:p>
    <w:p>
      <w:pPr>
        <w:rPr>
          <w:b/>
          <w:kern w:val="2"/>
          <w:szCs w:val="28"/>
        </w:rPr>
      </w:pPr>
      <w:r>
        <w:rPr>
          <w:b/>
          <w:kern w:val="2"/>
          <w:szCs w:val="28"/>
        </w:rPr>
        <w:t>基于账龄确认信用风险特征组合的账龄计算方法</w:t>
      </w:r>
    </w:p>
    <w:sdt>
      <w:sdtPr>
        <w:rPr>
          <w:szCs w:val="21"/>
        </w:rPr>
        <w:alias w:val="是否适用：应收款项融资基于账龄确认信用风险特征组合的账龄计算方法[双击切换]"/>
        <w:tag w:val="_GBC_6088373057ea4aacb1a49ee381004fee"/>
        <w:id w:val="6585"/>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b/>
          <w:bCs/>
          <w:kern w:val="2"/>
          <w:szCs w:val="28"/>
        </w:rPr>
      </w:pPr>
    </w:p>
    <w:p>
      <w:pPr>
        <w:rPr>
          <w:b/>
          <w:kern w:val="2"/>
          <w:szCs w:val="28"/>
        </w:rPr>
      </w:pPr>
      <w:r>
        <w:rPr>
          <w:b/>
          <w:kern w:val="2"/>
          <w:szCs w:val="28"/>
        </w:rPr>
        <w:t>按照单项计提坏账准备的单项计提判断标准</w:t>
      </w:r>
    </w:p>
    <w:sdt>
      <w:sdtPr>
        <w:rPr>
          <w:szCs w:val="21"/>
        </w:rPr>
        <w:alias w:val="是否适用：应收款项融资按照单项计提坏账准备的单项计提判断标准[双击切换]"/>
        <w:tag w:val="_GBC_ee8c0fdee21e477387bf47d167b126ff"/>
        <w:id w:val="6586"/>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szCs w:val="21"/>
        </w:rPr>
        <w:alias w:val="应收款项融资按照单项计提坏账准备的单项计提判断标准"/>
        <w:tag w:val="_GBC_b3b8295d655949dc97afd6a5c34f9a9a"/>
        <w:id w:val="6587"/>
        <w:placeholder>
          <w:docPart w:val="GBC22222222222222222222222222222"/>
        </w:placeholder>
      </w:sdtPr>
      <w:sdtEndPr>
        <w:rPr>
          <w:rFonts w:hint="eastAsia" w:ascii="宋体" w:hAnsi="宋体" w:eastAsia="宋体" w:cs="宋体"/>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宋体" w:hAnsi="宋体" w:eastAsia="宋体" w:cs="宋体"/>
              <w:sz w:val="21"/>
              <w:szCs w:val="21"/>
            </w:rPr>
          </w:pPr>
          <w:r>
            <w:rPr>
              <w:rFonts w:hint="eastAsia" w:ascii="宋体" w:hAnsi="宋体" w:eastAsia="宋体" w:cs="宋体"/>
              <w:sz w:val="21"/>
              <w:szCs w:val="21"/>
            </w:rPr>
            <w:t>本公司将债务人信用状况明显恶化、未来回款可能性较低、已经发生信用减值等信用风险特征明显不同的应收票据单独进行减值测试。</w:t>
          </w:r>
        </w:p>
      </w:sdtContent>
    </w:sdt>
    <w:p/>
    <w:p>
      <w:pPr>
        <w:pStyle w:val="4"/>
        <w:numPr>
          <w:ilvl w:val="0"/>
          <w:numId w:val="55"/>
        </w:numPr>
        <w:rPr>
          <w:szCs w:val="21"/>
        </w:rPr>
      </w:pPr>
      <w:bookmarkStart w:id="200" w:name="_Hlk533667836"/>
      <w:r>
        <w:rPr>
          <w:rFonts w:hint="eastAsia"/>
          <w:szCs w:val="21"/>
        </w:rPr>
        <w:t>其他应收款</w:t>
      </w:r>
    </w:p>
    <w:sdt>
      <w:sdtPr>
        <w:rPr>
          <w:rFonts w:hint="eastAsia"/>
        </w:rPr>
        <w:alias w:val="是否适用：其他应收款_重要会计政策和估计[双击切换]"/>
        <w:tag w:val="_GBC_bd9572d7068940d78105aa21662a4f54"/>
        <w:id w:val="6588"/>
        <w:placeholder>
          <w:docPart w:val="GBC22222222222222222222222222222"/>
        </w:placeholder>
      </w:sdtPr>
      <w:sdtEndPr>
        <w:rPr>
          <w:rFonts w:hint="eastAsia"/>
        </w:rPr>
      </w:sdtEndPr>
      <w:sdtContent>
        <w:p>
          <w:pPr>
            <w:rPr>
              <w:b/>
              <w:kern w:val="2"/>
              <w:szCs w:val="28"/>
            </w:rPr>
          </w:pPr>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bookmarkEnd w:id="200"/>
        </w:p>
      </w:sdtContent>
    </w:sd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宋体" w:hAnsi="宋体" w:eastAsia="宋体" w:cs="宋体"/>
          <w:sz w:val="21"/>
          <w:szCs w:val="21"/>
        </w:rPr>
      </w:pPr>
      <w:r>
        <w:rPr>
          <w:rFonts w:hint="eastAsia" w:ascii="宋体" w:hAnsi="宋体" w:eastAsia="宋体" w:cs="宋体"/>
          <w:sz w:val="21"/>
          <w:szCs w:val="21"/>
        </w:rPr>
        <w:t>本公司对有客观证据表明其发生损失的其他应收款单独确定其信用损失。</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宋体" w:hAnsi="宋体" w:eastAsia="宋体" w:cs="宋体"/>
          <w:sz w:val="21"/>
          <w:szCs w:val="21"/>
        </w:rPr>
      </w:pPr>
      <w:r>
        <w:rPr>
          <w:rFonts w:hint="eastAsia" w:ascii="宋体" w:hAnsi="宋体" w:eastAsia="宋体" w:cs="宋体"/>
          <w:sz w:val="21"/>
          <w:szCs w:val="21"/>
        </w:rPr>
        <w:t>当在单项工具层面无法以合理成本评估预期信用损失的充分证据时，本公司参考历史信用损失经验，结合当前状况以及对未来经济状况的判断，依据信用风险特征将其他应收款划分为若干组合，在组合基础上计算预期信用损失。</w:t>
      </w:r>
    </w:p>
    <w:p>
      <w:pPr>
        <w:rPr>
          <w:b/>
          <w:kern w:val="2"/>
          <w:szCs w:val="28"/>
        </w:rPr>
      </w:pPr>
    </w:p>
    <w:p>
      <w:pPr>
        <w:rPr>
          <w:b/>
          <w:kern w:val="2"/>
          <w:szCs w:val="28"/>
        </w:rPr>
      </w:pPr>
      <w:r>
        <w:rPr>
          <w:b/>
          <w:kern w:val="2"/>
          <w:szCs w:val="28"/>
        </w:rPr>
        <w:t>按照信用风险特征组合计提坏账准备的组合类别及确定依据</w:t>
      </w:r>
    </w:p>
    <w:sdt>
      <w:sdtPr>
        <w:rPr>
          <w:szCs w:val="21"/>
        </w:rPr>
        <w:alias w:val="是否适用：其他应收款按照信用风险特征组合计提坏账准备的组合类别及确定依据[双击切换]"/>
        <w:tag w:val="_GBC_f39444fc293a46c5ae832091674d34c9"/>
        <w:id w:val="6589"/>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ascii="宋体" w:hAnsi="宋体" w:eastAsia="宋体" w:cs="宋体"/>
          <w:sz w:val="21"/>
          <w:szCs w:val="21"/>
        </w:rPr>
        <w:alias w:val="其他应收款按照信用风险特征组合计提坏账准备的组合类别及确定依据"/>
        <w:tag w:val="_GBC_6ff0352272b24125ac1ff7ce3ba2aa3b"/>
        <w:id w:val="6590"/>
        <w:placeholder>
          <w:docPart w:val="GBC22222222222222222222222222222"/>
        </w:placeholder>
      </w:sdtPr>
      <w:sdtEndPr>
        <w:rPr>
          <w:rFonts w:hint="eastAsia" w:ascii="宋体" w:hAnsi="宋体" w:eastAsia="宋体" w:cs="宋体"/>
          <w:sz w:val="21"/>
          <w:szCs w:val="21"/>
        </w:rPr>
      </w:sdtEndPr>
      <w:sdtContent>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3"/>
            <w:gridCol w:w="3070"/>
            <w:gridCol w:w="4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组合名称</w:t>
                </w:r>
              </w:p>
            </w:tc>
            <w:tc>
              <w:tcPr>
                <w:tcW w:w="169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确定组合的依据</w:t>
                </w:r>
              </w:p>
            </w:tc>
            <w:tc>
              <w:tcPr>
                <w:tcW w:w="251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firstLine="480"/>
                  <w:jc w:val="center"/>
                  <w:textAlignment w:val="auto"/>
                  <w:rPr>
                    <w:rFonts w:hint="eastAsia" w:ascii="宋体" w:hAnsi="宋体" w:eastAsia="宋体" w:cs="宋体"/>
                    <w:sz w:val="21"/>
                    <w:szCs w:val="21"/>
                  </w:rPr>
                </w:pPr>
                <w:r>
                  <w:rPr>
                    <w:rFonts w:hint="eastAsia" w:ascii="宋体" w:hAnsi="宋体" w:eastAsia="宋体" w:cs="宋体"/>
                    <w:sz w:val="21"/>
                    <w:szCs w:val="21"/>
                  </w:rPr>
                  <w:t>计提方法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账龄组合</w:t>
                </w:r>
              </w:p>
            </w:tc>
            <w:tc>
              <w:tcPr>
                <w:tcW w:w="169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按账龄划分的具有类似信用风险特征的其他应收款</w:t>
                </w:r>
              </w:p>
            </w:tc>
            <w:tc>
              <w:tcPr>
                <w:tcW w:w="251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参考历史信用损失经验，结合当前状况以及对未来经济状况的预测，按账龄与未来12个月内或整个存续期预期信用损失率对照表计提。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关联方组合</w:t>
                </w:r>
              </w:p>
            </w:tc>
            <w:tc>
              <w:tcPr>
                <w:tcW w:w="169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应收本公司合并范围内子公司款项</w:t>
                </w:r>
              </w:p>
            </w:tc>
            <w:tc>
              <w:tcPr>
                <w:tcW w:w="251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不计提。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保证金组合</w:t>
                </w:r>
              </w:p>
            </w:tc>
            <w:tc>
              <w:tcPr>
                <w:tcW w:w="169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款项性质</w:t>
                </w:r>
              </w:p>
            </w:tc>
            <w:tc>
              <w:tcPr>
                <w:tcW w:w="251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不计提。</w:t>
                </w:r>
              </w:p>
            </w:tc>
          </w:tr>
        </w:tbl>
      </w:sdtContent>
    </w:sdt>
    <w:p>
      <w:pPr>
        <w:rPr>
          <w:b/>
          <w:bCs/>
          <w:kern w:val="2"/>
          <w:szCs w:val="28"/>
        </w:rPr>
      </w:pPr>
    </w:p>
    <w:p>
      <w:pPr>
        <w:rPr>
          <w:b/>
          <w:kern w:val="2"/>
          <w:szCs w:val="28"/>
        </w:rPr>
      </w:pPr>
      <w:r>
        <w:rPr>
          <w:b/>
          <w:kern w:val="2"/>
          <w:szCs w:val="28"/>
        </w:rPr>
        <w:t>基于账龄确认信用风险特征组合的账龄计算方法</w:t>
      </w:r>
    </w:p>
    <w:sdt>
      <w:sdtPr>
        <w:rPr>
          <w:szCs w:val="21"/>
        </w:rPr>
        <w:alias w:val="是否适用：其他应收款基于账龄确认信用风险特征组合的账龄计算方法[双击切换]"/>
        <w:tag w:val="_GBC_212b4fcf685f4b098f47723f38f926d2"/>
        <w:id w:val="6591"/>
        <w:placeholder>
          <w:docPart w:val="GBC22222222222222222222222222222"/>
        </w:placeholder>
      </w:sdtPr>
      <w:sdtEndPr>
        <w:rPr>
          <w:szCs w:val="21"/>
        </w:rPr>
      </w:sdtEndPr>
      <w:sdtContent>
        <w:p>
          <w:pPr>
            <w:rPr>
              <w:rFonts w:ascii="宋体" w:hAnsi="宋体"/>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p>
          <w:pPr>
            <w:rPr>
              <w:szCs w:val="21"/>
            </w:rPr>
          </w:pPr>
        </w:p>
      </w:sdtContent>
    </w:sdt>
    <w:sdt>
      <w:sdtPr>
        <w:rPr>
          <w:szCs w:val="21"/>
        </w:rPr>
        <w:alias w:val="其他应收款基于账龄确认信用风险特征组合的账龄计算方法"/>
        <w:tag w:val="_GBC_80958ddf46f043c29fa2147d0266ca2b"/>
        <w:id w:val="6592"/>
        <w:placeholder>
          <w:docPart w:val="GBC22222222222222222222222222222"/>
        </w:placeholder>
      </w:sdtPr>
      <w:sdtEndPr>
        <w:rPr>
          <w:szCs w:val="21"/>
        </w:rPr>
      </w:sdtEndPr>
      <w:sdtContent>
        <w:p>
          <w:pPr>
            <w:rPr>
              <w:szCs w:val="21"/>
            </w:rPr>
          </w:pPr>
          <w:r>
            <w:rPr>
              <w:rFonts w:hint="eastAsia" w:ascii="宋体" w:hAnsi="宋体" w:eastAsia="宋体" w:cs="宋体"/>
              <w:szCs w:val="21"/>
            </w:rPr>
            <w:t>公司按照先发生先收回的原则统计并计算其他应收款账龄。</w:t>
          </w:r>
        </w:p>
      </w:sdtContent>
    </w:sdt>
    <w:p>
      <w:pPr>
        <w:rPr>
          <w:b/>
          <w:bCs/>
          <w:kern w:val="2"/>
          <w:szCs w:val="28"/>
        </w:rPr>
      </w:pPr>
    </w:p>
    <w:p>
      <w:pPr>
        <w:rPr>
          <w:b/>
          <w:kern w:val="2"/>
          <w:szCs w:val="28"/>
        </w:rPr>
      </w:pPr>
      <w:r>
        <w:rPr>
          <w:b/>
          <w:kern w:val="2"/>
          <w:szCs w:val="28"/>
        </w:rPr>
        <w:t>按照单项计提坏账准备的单项计提判断标准</w:t>
      </w:r>
    </w:p>
    <w:sdt>
      <w:sdtPr>
        <w:rPr>
          <w:szCs w:val="21"/>
        </w:rPr>
        <w:alias w:val="是否适用：其他应收款按照单项计提坏账准备的单项计提判断标准[双击切换]"/>
        <w:tag w:val="_GBC_ba17d337469a42e78d387da6c2afd4e3"/>
        <w:id w:val="6593"/>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szCs w:val="21"/>
        </w:rPr>
        <w:alias w:val="其他应收款按照单项计提坏账准备的单项计提判断标准"/>
        <w:tag w:val="_GBC_ab193709afff47ac84ee1dbf87f804f7"/>
        <w:id w:val="6594"/>
        <w:placeholder>
          <w:docPart w:val="GBC22222222222222222222222222222"/>
        </w:placeholder>
      </w:sdtPr>
      <w:sdtEndPr>
        <w:rPr>
          <w:szCs w:val="21"/>
        </w:rPr>
      </w:sdtEndPr>
      <w:sdtContent>
        <w:p>
          <w:pPr>
            <w:ind w:firstLine="365"/>
            <w:rPr>
              <w:szCs w:val="21"/>
            </w:rPr>
          </w:pPr>
          <w:r>
            <w:rPr>
              <w:rFonts w:hint="eastAsia" w:ascii="宋体" w:hAnsi="宋体" w:eastAsia="宋体" w:cs="宋体"/>
              <w:szCs w:val="21"/>
              <w:lang w:val="en-US" w:eastAsia="zh-CN"/>
            </w:rPr>
            <w:t>本公司将债务人信用状况明显恶化、未来回款可能性较低、已经发生信用减值等信用风险特征明显不同的其他应收款单独进行减值测试。</w:t>
          </w:r>
        </w:p>
      </w:sdtContent>
    </w:sdt>
    <w:p>
      <w:pPr>
        <w:rPr>
          <w:szCs w:val="21"/>
        </w:rPr>
      </w:pPr>
    </w:p>
    <w:p>
      <w:pPr>
        <w:pStyle w:val="4"/>
        <w:numPr>
          <w:ilvl w:val="0"/>
          <w:numId w:val="55"/>
        </w:numPr>
      </w:pPr>
      <w:r>
        <w:t>存货</w:t>
      </w:r>
    </w:p>
    <w:sdt>
      <w:sdtPr>
        <w:rPr>
          <w:rFonts w:hint="eastAsia"/>
          <w:szCs w:val="21"/>
        </w:rPr>
        <w:alias w:val="是否适用：存货_重要会计政策和估计[双击切换]"/>
        <w:tag w:val="_GBC_dcacbe0db27e4ea5b80fa4aefb3bdbac"/>
        <w:id w:val="6595"/>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b/>
          <w:kern w:val="2"/>
          <w:szCs w:val="28"/>
        </w:rPr>
      </w:pPr>
      <w:bookmarkStart w:id="201" w:name="_Hlk152678121"/>
      <w:r>
        <w:rPr>
          <w:b/>
          <w:kern w:val="2"/>
          <w:szCs w:val="28"/>
        </w:rPr>
        <w:t>存货</w:t>
      </w:r>
      <w:r>
        <w:rPr>
          <w:rFonts w:hint="eastAsia"/>
          <w:b/>
          <w:kern w:val="2"/>
          <w:szCs w:val="28"/>
        </w:rPr>
        <w:t>类别、发出计价方法、盘存制度、低值易耗品和包装物的摊销方法</w:t>
      </w:r>
    </w:p>
    <w:bookmarkEnd w:id="201"/>
    <w:sdt>
      <w:sdtPr>
        <w:rPr>
          <w:szCs w:val="21"/>
        </w:rPr>
        <w:alias w:val="是否适用：存货类别、发出计价方法、盘存制度、低值易耗品和包装物的摊销方法[双击切换]"/>
        <w:tag w:val="_GBC_7a24117441bd45edbee63ef5c75fa013"/>
        <w:id w:val="6596"/>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szCs w:val="21"/>
        </w:rPr>
        <w:alias w:val="存货类别、发出计价方法、盘存制度、低值易耗品和包装物的摊销方法"/>
        <w:tag w:val="_GBC_3fcd1bdad070400f9c9e3e5d4c064f2b"/>
        <w:id w:val="6597"/>
        <w:placeholder>
          <w:docPart w:val="GBC22222222222222222222222222222"/>
        </w:placeholder>
      </w:sdtPr>
      <w:sdtEndPr>
        <w:rPr>
          <w:rFonts w:hint="eastAsia" w:ascii="Times New Roman" w:hAnsi="Times New Roman" w:eastAsia="宋体" w:cs="宋体"/>
          <w:sz w:val="21"/>
          <w:szCs w:val="21"/>
          <w:lang w:val="en-US" w:eastAsia="zh-CN"/>
        </w:rPr>
      </w:sdtEndPr>
      <w:sdtConten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（1）存货的分类</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存货是指本公司在日常活动中持有以备出售的产成品或商品、处在生产过程中的在产品、在生产过程或提供劳务过程中耗用的材料和物料等。主要包括原材料、周转材料、委托加工材料、在产品、自制半成品、产成品（库存商品）、开发成本等。</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（2）存货的计价方法</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存货在取得时，按成本进行初始计量，包括采购成本、加工成本和其他成本。存货发出时按先进先出法月末一次加权平均法计价。</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（3）存货的盘存制度</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存货的盘存采用永续盘存制。</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（4）低值易耗品和包装物的摊销方法</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低值易耗品和包装物采用一次转销法摊销。</w:t>
          </w:r>
        </w:p>
      </w:sdtContent>
    </w:sdt>
    <w:p>
      <w:pPr>
        <w:rPr>
          <w:szCs w:val="21"/>
        </w:rPr>
      </w:pPr>
    </w:p>
    <w:p>
      <w:pPr>
        <w:rPr>
          <w:b/>
          <w:kern w:val="2"/>
          <w:szCs w:val="28"/>
        </w:rPr>
      </w:pPr>
      <w:r>
        <w:rPr>
          <w:b/>
          <w:kern w:val="2"/>
          <w:szCs w:val="28"/>
        </w:rPr>
        <w:t>存货跌价准备的确认标准和计提方法</w:t>
      </w:r>
    </w:p>
    <w:sdt>
      <w:sdtPr>
        <w:rPr>
          <w:szCs w:val="21"/>
        </w:rPr>
        <w:alias w:val="是否适用：存货跌价准备的确认标准和计提方法[双击切换]"/>
        <w:tag w:val="_GBC_6e8ebb9994fe404dba2a12ec5c785d83"/>
        <w:id w:val="6598"/>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szCs w:val="21"/>
        </w:rPr>
        <w:alias w:val="存货跌价准备的确认标准和计提方法"/>
        <w:tag w:val="_GBC_94e79c0b2c2f4552b5ec962b8df1c2f0"/>
        <w:id w:val="6599"/>
        <w:placeholder>
          <w:docPart w:val="GBC22222222222222222222222222222"/>
        </w:placeholder>
      </w:sdtPr>
      <w:sdtEndPr>
        <w:rPr>
          <w:rFonts w:hint="eastAsia" w:ascii="宋体" w:hAnsi="宋体" w:eastAsia="宋体" w:cs="宋体"/>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17"/>
            <w:textAlignment w:val="auto"/>
            <w:rPr>
              <w:rFonts w:hint="eastAsia" w:ascii="宋体" w:hAnsi="宋体" w:eastAsia="宋体" w:cs="宋体"/>
              <w:szCs w:val="21"/>
            </w:rPr>
          </w:pPr>
          <w:r>
            <w:rPr>
              <w:rFonts w:hint="eastAsia"/>
              <w:szCs w:val="21"/>
              <w:lang w:val="en-US" w:eastAsia="zh-CN"/>
            </w:rPr>
            <w:t xml:space="preserve"> </w:t>
          </w:r>
          <w:r>
            <w:rPr>
              <w:rFonts w:hint="eastAsia" w:ascii="宋体" w:hAnsi="宋体" w:eastAsia="宋体" w:cs="宋体"/>
              <w:sz w:val="21"/>
              <w:szCs w:val="21"/>
            </w:rPr>
            <w:t>期末对存货进行全面清查后，按存货的成本与可变现净值孰低提取或调整存货跌价准备。产成品、库存商品和用于出售的材料等直接用于出售的商品存货，在正常生产经营过程中，以该存货的估计售价减去估计的销售费用和相关税费后的金额，确定其可变现净值；需要经过加工的材料存货，在正常生产经营过程中，以所生产的产成品的估计售价减去至完工时估计将要发生的成本、估计的销售费用和相关税费后的金额，确定其可变现净值；为执行销售合同或者劳务合同而持有的存货，其可变现净值以合同价格为基础计算，若持有存货的数量多于销售合同订购数量的，超出部分的存货的可变现净值以一般销售价格为基础计算。</w:t>
          </w:r>
        </w:p>
        <w:p>
          <w:pPr>
            <w:keepNext w:val="0"/>
            <w:keepLines w:val="0"/>
            <w:pageBreakBefore w:val="0"/>
            <w:widowControl/>
            <w:kinsoku/>
            <w:wordWrap/>
            <w:overflowPunct/>
            <w:topLinePunct w:val="0"/>
            <w:autoSpaceDE/>
            <w:autoSpaceDN/>
            <w:bidi w:val="0"/>
            <w:adjustRightInd/>
            <w:snapToGrid/>
            <w:spacing w:line="400" w:lineRule="exact"/>
            <w:ind w:firstLine="317"/>
            <w:textAlignment w:val="auto"/>
            <w:rPr>
              <w:rFonts w:hint="eastAsia" w:ascii="宋体" w:hAnsi="宋体" w:eastAsia="宋体" w:cs="宋体"/>
              <w:szCs w:val="21"/>
            </w:rPr>
          </w:pPr>
          <w:r>
            <w:rPr>
              <w:rFonts w:hint="eastAsia" w:ascii="宋体" w:hAnsi="宋体" w:eastAsia="宋体" w:cs="宋体"/>
              <w:sz w:val="21"/>
              <w:szCs w:val="21"/>
            </w:rPr>
            <w:t>期末按照单个存货项目计提存货跌价准备；但对于数量繁多、单价较低的存货，按照存货类别计提存货跌价准备；与在同一地区生产和销售的产品系列相关、具有相同或类似最终用途或目的，且难以与其他项目分开计量的存货，则合并计提存货跌价准备。</w:t>
          </w:r>
        </w:p>
        <w:p>
          <w:pPr>
            <w:keepNext w:val="0"/>
            <w:keepLines w:val="0"/>
            <w:pageBreakBefore w:val="0"/>
            <w:widowControl/>
            <w:kinsoku/>
            <w:wordWrap/>
            <w:overflowPunct/>
            <w:topLinePunct w:val="0"/>
            <w:autoSpaceDE/>
            <w:autoSpaceDN/>
            <w:bidi w:val="0"/>
            <w:adjustRightInd/>
            <w:snapToGrid/>
            <w:spacing w:line="400" w:lineRule="exact"/>
            <w:ind w:firstLine="317"/>
            <w:textAlignment w:val="auto"/>
            <w:rPr>
              <w:rFonts w:hint="eastAsia" w:ascii="宋体" w:hAnsi="宋体" w:eastAsia="宋体" w:cs="宋体"/>
              <w:szCs w:val="21"/>
            </w:rPr>
          </w:pPr>
          <w:r>
            <w:rPr>
              <w:rFonts w:hint="eastAsia" w:ascii="宋体" w:hAnsi="宋体" w:eastAsia="宋体" w:cs="宋体"/>
              <w:sz w:val="21"/>
              <w:szCs w:val="21"/>
            </w:rPr>
            <w:t>以前减记存货价值的影响因素已经消失的，减记的金额予以恢复，并在原已计提的存货跌价准备金额内转回，转回的金额计入当期损益。</w:t>
          </w:r>
        </w:p>
      </w:sdtContent>
    </w:sdt>
    <w:p>
      <w:pPr>
        <w:rPr>
          <w:b/>
          <w:kern w:val="2"/>
          <w:szCs w:val="28"/>
        </w:rPr>
      </w:pPr>
    </w:p>
    <w:p>
      <w:pPr>
        <w:rPr>
          <w:b/>
          <w:kern w:val="2"/>
          <w:szCs w:val="28"/>
        </w:rPr>
      </w:pPr>
      <w:r>
        <w:rPr>
          <w:b/>
          <w:kern w:val="2"/>
          <w:szCs w:val="28"/>
        </w:rPr>
        <w:t>按照组合计提存货跌价准备的组合类别及确定依据</w:t>
      </w:r>
      <w:r>
        <w:rPr>
          <w:rFonts w:hint="eastAsia"/>
          <w:b/>
          <w:bCs/>
          <w:kern w:val="2"/>
          <w:szCs w:val="28"/>
        </w:rPr>
        <w:t>、</w:t>
      </w:r>
      <w:r>
        <w:rPr>
          <w:rFonts w:hint="eastAsia"/>
          <w:b/>
          <w:bCs/>
        </w:rPr>
        <w:t>不同类别存货可变现净值的确定依据</w:t>
      </w:r>
    </w:p>
    <w:sdt>
      <w:sdtPr>
        <w:rPr>
          <w:szCs w:val="21"/>
        </w:rPr>
        <w:alias w:val="是否适用：按照组合计提存货跌价准备的组合类别及确定依据、不同类别存货可变现净值的确定依据[双击切换]"/>
        <w:tag w:val="_GBC_497390f68e764f2baa3b06eda7d6c944"/>
        <w:id w:val="6600"/>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b/>
          <w:kern w:val="2"/>
          <w:szCs w:val="28"/>
        </w:rPr>
      </w:pPr>
    </w:p>
    <w:p>
      <w:pPr>
        <w:rPr>
          <w:b/>
          <w:kern w:val="2"/>
          <w:szCs w:val="28"/>
        </w:rPr>
      </w:pPr>
      <w:r>
        <w:rPr>
          <w:b/>
          <w:kern w:val="2"/>
          <w:szCs w:val="28"/>
        </w:rPr>
        <w:t>基于库龄确认存货可变现净值的各库龄组合可变现净值的计算方法和确定依据</w:t>
      </w:r>
    </w:p>
    <w:sdt>
      <w:sdtPr>
        <w:rPr>
          <w:szCs w:val="21"/>
        </w:rPr>
        <w:alias w:val="是否适用：基于库龄确认存货可变现净值的各库龄组合可变现净值的计算方法和确定依据[双击切换]"/>
        <w:tag w:val="_GBC_9d365dfe8a544c55a4c1edb1470b656d"/>
        <w:id w:val="6601"/>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sdt>
      <w:sdtPr>
        <w:tag w:val="_PLD_625aaf2695d24199a5f8a7099f8a76b8"/>
        <w:id w:val="6602"/>
      </w:sdtPr>
      <w:sdtContent>
        <w:p>
          <w:pPr>
            <w:pStyle w:val="4"/>
            <w:numPr>
              <w:ilvl w:val="0"/>
              <w:numId w:val="55"/>
            </w:numPr>
            <w:rPr>
              <w:szCs w:val="21"/>
            </w:rPr>
          </w:pPr>
          <w:bookmarkStart w:id="202" w:name="_Hlk533667851"/>
          <w:r>
            <w:rPr>
              <w:rFonts w:hint="eastAsia"/>
              <w:szCs w:val="21"/>
            </w:rPr>
            <w:t>合同资产</w:t>
          </w:r>
        </w:p>
      </w:sdtContent>
    </w:sdt>
    <w:sdt>
      <w:sdtPr>
        <w:rPr>
          <w:rFonts w:hint="eastAsia"/>
        </w:rPr>
        <w:alias w:val="是否适用：合同资产_重要会计政策和估计[双击切换]"/>
        <w:tag w:val="_GBC_5a88c6aff74e4eb184d0541279c7f45e"/>
        <w:id w:val="6603"/>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b/>
          <w:kern w:val="2"/>
          <w:szCs w:val="28"/>
        </w:rPr>
      </w:pPr>
      <w:r>
        <w:rPr>
          <w:rFonts w:hint="eastAsia"/>
          <w:b/>
          <w:kern w:val="2"/>
          <w:szCs w:val="28"/>
        </w:rPr>
        <w:t>合同资产的确认方法及标准</w:t>
      </w:r>
    </w:p>
    <w:sdt>
      <w:sdtPr>
        <w:rPr>
          <w:szCs w:val="21"/>
        </w:rPr>
        <w:alias w:val="是否适用：合同资产的确定方法、摊销方法和减值测试方法[双击切换]"/>
        <w:tag w:val="_GBC_1b5df72f15664694ad46f712f5c33e91"/>
        <w:id w:val="6604"/>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szCs w:val="21"/>
        </w:rPr>
        <w:alias w:val="合同资产的确定方法、摊销方法和减值测试方法"/>
        <w:tag w:val="_GBC_82d4491d0bbc4d81ab154bd0c0c35176"/>
        <w:id w:val="6605"/>
        <w:placeholder>
          <w:docPart w:val="GBC22222222222222222222222222222"/>
        </w:placeholder>
      </w:sdtPr>
      <w:sdtEndPr>
        <w:rPr>
          <w:rFonts w:hint="eastAsia" w:ascii="宋体" w:hAnsi="宋体" w:eastAsia="宋体" w:cs="宋体"/>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宋体" w:hAnsi="宋体" w:eastAsia="宋体" w:cs="宋体"/>
              <w:sz w:val="21"/>
              <w:szCs w:val="21"/>
            </w:rPr>
          </w:pPr>
          <w:r>
            <w:rPr>
              <w:rFonts w:hint="eastAsia" w:ascii="宋体" w:hAnsi="宋体" w:eastAsia="宋体" w:cs="宋体"/>
              <w:sz w:val="21"/>
              <w:szCs w:val="21"/>
            </w:rPr>
            <w:t>在本公司与客户的合同中，本公司有权就已向客户转让商品、提供的相关服务而收取合同价款，与此同时承担将商品或服务转移给客户的履约义务。当客户实际支付合同对价或在该对价到期应付之前，企业已经向客户转移了商品或服务，则应当将因已转让商品或服务而有权收取对价的权利列示为合同资产，在取得无条件收款权时确认为应收账款或长期应收款。</w:t>
          </w:r>
        </w:p>
      </w:sdtContent>
    </w:sdt>
    <w:p>
      <w:pPr>
        <w:rPr>
          <w:szCs w:val="21"/>
        </w:rPr>
      </w:pPr>
    </w:p>
    <w:bookmarkEnd w:id="202"/>
    <w:p>
      <w:pPr>
        <w:rPr>
          <w:b/>
          <w:kern w:val="2"/>
          <w:szCs w:val="28"/>
        </w:rPr>
      </w:pPr>
      <w:r>
        <w:rPr>
          <w:b/>
          <w:kern w:val="2"/>
          <w:szCs w:val="28"/>
        </w:rPr>
        <w:t>按照信用风险特征组合计提坏账准备的组合类别及确定依据</w:t>
      </w:r>
    </w:p>
    <w:sdt>
      <w:sdtPr>
        <w:rPr>
          <w:szCs w:val="21"/>
        </w:rPr>
        <w:alias w:val="是否适用：合同资产按照信用风险特征组合计提坏账准备的组合类别及确定依据[双击切换]"/>
        <w:tag w:val="_GBC_ebbe09c3657c4b539cc844981adf91e4"/>
        <w:id w:val="6606"/>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b/>
          <w:bCs/>
          <w:kern w:val="2"/>
          <w:szCs w:val="28"/>
        </w:rPr>
      </w:pPr>
    </w:p>
    <w:p>
      <w:pPr>
        <w:rPr>
          <w:b/>
          <w:kern w:val="2"/>
          <w:szCs w:val="28"/>
        </w:rPr>
      </w:pPr>
      <w:r>
        <w:rPr>
          <w:b/>
          <w:kern w:val="2"/>
          <w:szCs w:val="28"/>
        </w:rPr>
        <w:t>基于账龄确认信用风险特征组合的账龄计算方法</w:t>
      </w:r>
    </w:p>
    <w:sdt>
      <w:sdtPr>
        <w:rPr>
          <w:szCs w:val="21"/>
        </w:rPr>
        <w:alias w:val="是否适用：合同资产基于账龄确认信用风险特征组合的账龄计算方法[双击切换]"/>
        <w:tag w:val="_GBC_3400ff02bc46467bac74fee97f4388c5"/>
        <w:id w:val="6607"/>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b/>
          <w:bCs/>
          <w:kern w:val="2"/>
          <w:szCs w:val="28"/>
        </w:rPr>
      </w:pPr>
    </w:p>
    <w:p>
      <w:pPr>
        <w:rPr>
          <w:b/>
          <w:kern w:val="2"/>
          <w:szCs w:val="28"/>
        </w:rPr>
      </w:pPr>
      <w:r>
        <w:rPr>
          <w:b/>
          <w:kern w:val="2"/>
          <w:szCs w:val="28"/>
        </w:rPr>
        <w:t>按照单项计提坏账准备的认定单项计提判断标准</w:t>
      </w:r>
    </w:p>
    <w:sdt>
      <w:sdtPr>
        <w:rPr>
          <w:szCs w:val="21"/>
        </w:rPr>
        <w:alias w:val="是否适用：合同资产按照单项计提坏账准备的单项计提判断标准[双击切换]"/>
        <w:tag w:val="_GBC_aec9a536d61144fa91c2f954c8ff8473"/>
        <w:id w:val="6608"/>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4"/>
        <w:numPr>
          <w:ilvl w:val="0"/>
          <w:numId w:val="55"/>
        </w:numPr>
        <w:ind w:left="450" w:hanging="450"/>
        <w:rPr>
          <w:szCs w:val="21"/>
        </w:rPr>
      </w:pPr>
      <w:r>
        <w:rPr>
          <w:rFonts w:hint="eastAsia"/>
        </w:rPr>
        <w:t>持有</w:t>
      </w:r>
      <w:r>
        <w:rPr>
          <w:rFonts w:hint="eastAsia" w:ascii="宋体" w:hAnsi="宋体"/>
          <w:szCs w:val="21"/>
        </w:rPr>
        <w:t>待</w:t>
      </w:r>
      <w:r>
        <w:rPr>
          <w:rFonts w:ascii="宋体" w:hAnsi="宋体"/>
          <w:szCs w:val="21"/>
        </w:rPr>
        <w:t>售的非流动资产或处置组</w:t>
      </w:r>
    </w:p>
    <w:sdt>
      <w:sdtPr>
        <w:rPr>
          <w:szCs w:val="21"/>
        </w:rPr>
        <w:alias w:val="是否适用：持有待售的非流动资产或处置组[双击切换]"/>
        <w:tag w:val="_GBC_e7f5369a15ba4034bd2498c40687a411"/>
        <w:id w:val="6609"/>
        <w:placeholder>
          <w:docPart w:val="GBC22222222222222222222222222222"/>
        </w:placeholder>
      </w:sdtPr>
      <w:sdtEndPr>
        <w:rPr>
          <w:szCs w:val="21"/>
        </w:rPr>
      </w:sdtEndPr>
      <w:sdtContent>
        <w:p>
          <w:pPr>
            <w:rPr>
              <w:szCs w:val="21"/>
            </w:rPr>
          </w:pPr>
          <w:bookmarkStart w:id="203" w:name="_Hlk533151067"/>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bookmarkEnd w:id="203"/>
    <w:p>
      <w:pPr>
        <w:rPr>
          <w:b/>
          <w:kern w:val="2"/>
          <w:szCs w:val="21"/>
        </w:rPr>
      </w:pPr>
      <w:r>
        <w:rPr>
          <w:rFonts w:hint="eastAsia"/>
          <w:b/>
          <w:kern w:val="2"/>
          <w:szCs w:val="21"/>
        </w:rPr>
        <w:t>划分为持有待售的非流动资产或处置组的确认标准和会计处理方法</w:t>
      </w:r>
    </w:p>
    <w:sdt>
      <w:sdtPr>
        <w:rPr>
          <w:szCs w:val="21"/>
        </w:rPr>
        <w:alias w:val="是否适用：划分为持有待售的非流动资产或处置组的确认标准和会计处理方法[双击切换]"/>
        <w:tag w:val="_GBC_cf8b05c4ada54b2aac5743b74b5fdb45"/>
        <w:id w:val="6610"/>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rPr>
          <w:b/>
          <w:kern w:val="2"/>
          <w:szCs w:val="21"/>
        </w:rPr>
      </w:pPr>
      <w:r>
        <w:rPr>
          <w:b/>
          <w:kern w:val="2"/>
          <w:szCs w:val="21"/>
        </w:rPr>
        <w:t>终止经营的认定标准和列报方法</w:t>
      </w:r>
    </w:p>
    <w:sdt>
      <w:sdtPr>
        <w:rPr>
          <w:szCs w:val="21"/>
        </w:rPr>
        <w:alias w:val="是否适用：终止经营的认定标准和列报方法[双击切换]"/>
        <w:tag w:val="_GBC_a323dd7cc84c4bd1bc42320036ce854b"/>
        <w:id w:val="6611"/>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4"/>
        <w:numPr>
          <w:ilvl w:val="0"/>
          <w:numId w:val="55"/>
        </w:numPr>
      </w:pPr>
      <w:r>
        <w:t>长期股权投资</w:t>
      </w:r>
    </w:p>
    <w:sdt>
      <w:sdtPr>
        <w:rPr>
          <w:rFonts w:hint="eastAsia"/>
          <w:szCs w:val="21"/>
        </w:rPr>
        <w:alias w:val="是否适用：长期股权投资_重要会计政策和估计[双击切换]"/>
        <w:tag w:val="_GBC_990faa4da4e64a5389a573293ba4981b"/>
        <w:id w:val="6612"/>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szCs w:val="21"/>
        </w:rPr>
        <w:alias w:val="长期股权投资的核算方法"/>
        <w:tag w:val="_GBC_3e77074cd50946b1bccdff9bc1c9556f"/>
        <w:id w:val="6613"/>
        <w:placeholder>
          <w:docPart w:val="GBC22222222222222222222222222222"/>
        </w:placeholder>
      </w:sdtPr>
      <w:sdtEndPr>
        <w:rPr>
          <w:rFonts w:ascii="Times New Roman" w:hAnsi="Times New Roman"/>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60"/>
            <w:textAlignment w:val="auto"/>
            <w:rPr>
              <w:rFonts w:ascii="Times New Roman" w:hAnsi="Times New Roman"/>
              <w:sz w:val="21"/>
              <w:szCs w:val="21"/>
            </w:rPr>
          </w:pPr>
          <w:r>
            <w:rPr>
              <w:rFonts w:hint="eastAsia" w:ascii="Times New Roman" w:hAnsi="Times New Roman" w:eastAsia="宋体"/>
              <w:b/>
              <w:bCs/>
              <w:sz w:val="21"/>
              <w:szCs w:val="21"/>
            </w:rPr>
            <w:t>（1）初始投资成本的确定</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①企业合并形成的长期股权投资，具体会计政策详见本附注四、6“同一控制下和非同一控制下企业合并的会计处理方法”。</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②其他方式取得的长期股权投资</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以支付现金方式取得的长期股权投资，按照实际支付的购买价款作为初始投资成本。初始投资成本包括与取得长期股权投资直接相关的费用、税金及其他必要支出。</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以发行权益性证券取得的长期股权投资，按照发行权益性证券的公允价值作为初始投资成本；发行或取得自身权益工具时发生的交易费用，可直接归属于权益性交易的从权益中扣减。</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在非货币性资产交换具备商业实质和换入资产或换出资产的公允价值能够可靠计量的前提下，非货币性资产交换换入的长期股权投资以换出资产的公允价值为基础确定其初始投资成本，除非有确凿证据表明换入资产的公允价值更加可靠；不满足上述前提的非货币性资产交换，以换出资产的账面价值和应支付的相关税费作为换入长期股权投资的初始投资成本。</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通过债务重组取得的长期股权投资，其初始投资成本按照公允价值为基础确定。</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Times New Roman" w:hAnsi="Times New Roman"/>
              <w:b/>
              <w:bCs/>
              <w:sz w:val="21"/>
              <w:szCs w:val="21"/>
            </w:rPr>
          </w:pPr>
          <w:r>
            <w:rPr>
              <w:rFonts w:hint="eastAsia" w:ascii="Times New Roman" w:hAnsi="Times New Roman" w:eastAsia="宋体"/>
              <w:b/>
              <w:bCs/>
              <w:sz w:val="21"/>
              <w:szCs w:val="21"/>
            </w:rPr>
            <w:t>（2）后续计量及损益确认</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①成本法</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本公司能够对被投资单位实施控制的长期股权投资采用成本法核算，并按照初始投资成本计价，追加或收回投资调整长期股权投资的成本。</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除取得投资时实际支付的价款或对价中包含的已宣告但尚未发放的现金股利或利润外，本公司按照享有被投资单位宣告分派的现金股利或利润确认为当期投资收益。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②权益法</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对联营企业和合营企业的长期股权投资采用权益法核算；对于其中一部分通过风险投资机构、共同基金、信托公司或包括投连险基金在内的类似主体间接持有的联营企业的权益性投资，采用公允价值计量且其变动计入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长期股权投资的初始投资成本大于投资时应享有被投资单位可辨认净资产公允价值份额的差额，不调整长期股权投资的初始投资成本；初始投资成本小于投资时应享有被投资单位可辨认净资产公允价值份额的差额，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取得长期股权投资后，按照应享有或应分担的被投资单位实现的净损益和其他综合收益的份额，分别确认投资收益和其他综合收益，同时调整长期股权投资的账面价值；并按照被投资单位宣告分派的利润或现金股利计算应享有的部分，相应减少长期股权投资的账面价值；对于被投资单位除净损益、其他综合收益和利润分配以外所有者权益的其他变动，调整长期股权投资的账面价值并计入所有者权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在确认应享有被投资单位净损益的份额时，以取得投资时被投资单位各项可辨认资产等的公允价值为基础，对被投资单位的净利润进行调整后确认。本公司与联营企业、合营企业之间发生的未实现内部交易损益按照应享有的比例计算归属于本公司的部分予以抵销，在此基础上确认投资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确认应分担被投资单位发生的亏损时，按照以下顺序进行处理：首先，冲减长期股权投资的账面价值。其次，长期股权投资的账面价值不足以冲减的，以其他实质上构成对被投资单位净投资的长期权益账面价值为限继续确认投资损失，冲减长期应收项目等的账面价值。最后，经过上述处理，按照投资合同或协议约定企业仍承担额外义务的，按预计承担的义务确认预计负债，计入当期投资损失。</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被投资单位以后期间实现盈利的，公司在扣除未确认的亏损分担额后，按与上述相反的顺序处理，减记已确认预计负债的账面余额、恢复其他实质上构成对被投资单位净投资的长期权益及长期股权投资的账面价值后，恢复确认投资收益。</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Times New Roman" w:hAnsi="Times New Roman"/>
              <w:b/>
              <w:bCs/>
              <w:sz w:val="21"/>
              <w:szCs w:val="21"/>
            </w:rPr>
          </w:pPr>
          <w:r>
            <w:rPr>
              <w:rFonts w:hint="eastAsia" w:ascii="Times New Roman" w:hAnsi="Times New Roman" w:eastAsia="宋体"/>
              <w:b/>
              <w:bCs/>
              <w:sz w:val="21"/>
              <w:szCs w:val="21"/>
            </w:rPr>
            <w:t>（3）长期股权投资核算方法的转换</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①公允价值计量转权益法核算</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原持有的对被投资单位不具有控制、共同控制或重大影响的按金融工具确认和计量准则进行会计处理的权益性投资，因追加投资等原因能够对被投资单位施加重大影响或实施共同控制但不构成控制的，按照《企业会计准则第22号——金融工具确认和计量》确定的原持有的股权投资的公允价值加上新增投资成本之和，作为改按权益法核算的初始投资成本。</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原持有的股权投资分类为可供出售金融资产的，其公允价值与账面价值之间的差额，以及原计入其他综合收益的累计公允价值变动转入改按权益法核算的当期损益。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按权益法核算的初始投资成本小于按照追加投资后全新的持股比例计算确定的应享有被投资单位在追加投资日可辨认净资产公允价值份额之间的差额，调整长期股权投资的账面价值，并计入当期营业外收入。</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②公允价值计量或权益法核算转成本法核算</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原持有的对被投资单位不具有控制、共同控制或重大影响的按金融工具确认和计量准则进行会计处理的权益性投资，或原持有对联营企业、合营企业的长期股权投资，因追加投资等原因能够对非同一控制下的被投资单位实施控制的，在编制个别财务报表时，按照原持有的股权投资账面价值加上新增投资成本之和，作为改按成本法核算的初始投资成本。</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购买日之前持有的股权投资因采用权益法核算而确认的其他综合收益，在处置该项投资时采用与被投资单位直接处置相关资产或负债相同的基础进行会计处理。</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购买日之前持有的股权投资按照《企业会计准则第22号——金融工具确认和计量》的有关规定进行会计处理的，原计入其他综合收益的累计公允价值变动在改按成本法核算时转入当期损益。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③权益法核算转公允价值计量</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因处置部分股权投资等原因丧失了对被投资单位的共同控制或重大影响的，处置后的剩余股权改按《企业会计准则第22号——金融工具确认和计量》核算，其在丧失共同控制或重大影响之日的公允价值与账面价值之间的差额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原股权投资因采用权益法核算而确认的其他综合收益，在终止采用权益法核算时采用与被投资单位直接处置相关资产或负债相同的基础进行会计处理。</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④成本法转权益法</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因处置部分权益性投资等原因丧失了对被投资单位的控制的，在编制个别财务报表时，处置后的剩余股权能够对被投资单位实施共同控制或施加重大影响的，改按权益法核算，并对该剩余股权视同自取得时即采用权益法核算进行调整。</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⑤成本法转公允价值计量</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因处置部分权益性投资等原因丧失了对被投资单位的控制的，在编制个别财务报表时，处置后的剩余股权不能对被投资单位实施共同控制或施加重大影响的，改按《企业会计准则第22号——金融工具确认和计量》的有关规定进行会计处理，其在丧失控制之日的公允价值与账面价值间的差额计入当期损益。</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Times New Roman" w:hAnsi="Times New Roman"/>
              <w:b/>
              <w:bCs/>
              <w:sz w:val="21"/>
              <w:szCs w:val="21"/>
            </w:rPr>
          </w:pPr>
          <w:r>
            <w:rPr>
              <w:rFonts w:hint="eastAsia" w:ascii="Times New Roman" w:hAnsi="Times New Roman" w:eastAsia="宋体"/>
              <w:b/>
              <w:bCs/>
              <w:sz w:val="21"/>
              <w:szCs w:val="21"/>
            </w:rPr>
            <w:t>（4）长期股权投资的处置</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处置长期股权投资，其账面价值与实际取得价款之间的差额，应当计入当期损益。采用权益法核算的长期股权投资，在处置该项投资时，采用与被投资单位直接处置相关资产或负债相同的基础，按相应比例对原计入其他综合收益的部分进行会计处理。</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处置对子公司股权投资的各项交易的条款、条件以及经济影响符合以下一种或多种情况，将多次交易事项作为一揽子交易进行会计处理：</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①这些交易是同时或者在考虑了彼此影响的情况下订立的；</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②这些交易整体才能达成一项完整的商业结果；</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③一项交易的发生取决于其他至少一项交易的发生；</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④一项交易单独看是不经济的，但是和其他交易一并考虑时是经济的。</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因处置部分股权投资或其他原因丧失了对原有子公司控制权的，不属于一揽子交易的，区分个别财务报表和合并财务报表进行相关会计处理：</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①在个别财务报表中，对于处置的股权，其账面价值与实际取得价款之间的差额计入当期损益。处置后的剩余股权能够对被投资单位实施共同控制或施加重大影响的，改按权益法核算，并对该剩余股权视同自取得时即采用权益法核算进行调整；处置后的剩余股权不能对被投资单位实施共同控制或施加重大影响的，改按《企业会计准则第22号——金融工具确认和计量》的有关规定进行会计处理，其在丧失控制之日的公允价值与账面价值间的差额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②在合并财务报表中，对于在丧失对子公司控制权以前的各项交易，处置价款与处置长期股权投资相应对享有子公司自购买日或合并日开始持续计算的净资产份额之间的差额，调整资本公积（股本溢价），资本公积不足冲减的，调整留存收益；在丧失对子公司控制权时，对于剩余股权，按照其在丧失控制权日的公允价值进行重新计量。处置股权取得的对价与剩余股权公允价值之和，减去按原持股比例计算应享有原有子公司自购买日开始持续计算的净资产的份额之间的差额，计入丧失控制权当期的投资收益，同时冲减商誉。与原有子公司股权投资相关的其他综合收益等，在丧失控制权时转为当期投资收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处置对子公司股权投资直至丧失控制权的各项交易属于一揽子交易的，将各项交易作为一项处置子公司股权投资并丧失控制权的交易进行会计处理，区分个别财务报表和合并财务报表进行相关会计处理：</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①在个别财务报表中，在丧失控制权之前每一次处置价款与处置的股权对应的长期股权投资账面价值之间的差额，确认为其他综合收益，在丧失控制权时一并转入丧失控制权当期的损益。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②在合并财务报表中，在丧失控制权之前每一次处置价款与处置投资对应的享有该子公司净资产份额的差额，确认为其他综合收益，在丧失控制权时一并转入丧失控制权当期的损益。</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Times New Roman" w:hAnsi="Times New Roman"/>
              <w:b/>
              <w:bCs/>
              <w:sz w:val="21"/>
              <w:szCs w:val="21"/>
            </w:rPr>
          </w:pPr>
          <w:r>
            <w:rPr>
              <w:rFonts w:hint="eastAsia" w:ascii="Times New Roman" w:hAnsi="Times New Roman" w:eastAsia="宋体"/>
              <w:b/>
              <w:bCs/>
              <w:sz w:val="21"/>
              <w:szCs w:val="21"/>
            </w:rPr>
            <w:t>（5）共同控制、重大影响的判断标准</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如果本公司按照相关约定与其他参与方集体控制某项安排，并且对该安排回报具有重大影响的活动决策，需要经过分享控制权的参与方一致同意时才存在，则视为本公司与其他参与方共同控制某项安排，该安排即属于合营安排。</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合营安排通过单独主体达成的，根据相关约定判断本公司对该单独主体的净资产享有权利时，将该单独主体作为合营企业，采用权益法核算。若根据相关约定判断本公司并非对该单独主体的净资产享有权利时，该单独主体作为共同经营，本公司确认与共同经营利益份额相关的项目，并按照相关企业会计准则的规定进行会计处理。</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重大影响，是指投资方对被投资单位的财务和经营政策有参与决策的权力，但并不能够控制或者与其他方一起共同控制这些政策的制定。本公司通过以下一种或多种情形，并综合考虑所有事实和情况后，判断对被投资单位具有重大影响：①在被投资单位的董事会或类似权力机构中派有代表；②参与被投资单位财务和经营政策制定过程；③与被投资单位之间发生重要交易；④向被投资单位派出管理人员；⑤向被投资单位提供关键技术资料。</w:t>
          </w:r>
        </w:p>
      </w:sdtContent>
    </w:sdt>
    <w:p>
      <w:pPr>
        <w:rPr>
          <w:szCs w:val="21"/>
        </w:rPr>
      </w:pPr>
    </w:p>
    <w:p>
      <w:pPr>
        <w:pStyle w:val="4"/>
        <w:numPr>
          <w:ilvl w:val="0"/>
          <w:numId w:val="55"/>
        </w:numPr>
      </w:pPr>
      <w:r>
        <w:t>投资性房地产</w:t>
      </w:r>
    </w:p>
    <w:sdt>
      <w:sdtPr>
        <w:rPr>
          <w:rFonts w:hint="eastAsia" w:ascii="宋体" w:hAnsi="宋体" w:eastAsia="宋体" w:cs="宋体"/>
          <w:b w:val="0"/>
          <w:bCs w:val="0"/>
          <w:kern w:val="0"/>
          <w:szCs w:val="24"/>
        </w:rPr>
        <w:alias w:val="选项模块:成本计量模式"/>
        <w:tag w:val="_GBC_20b1c487c1e348188269523d7d980194"/>
        <w:id w:val="6614"/>
        <w:placeholder>
          <w:docPart w:val="GBC22222222222222222222222222222"/>
        </w:placeholder>
      </w:sdtPr>
      <w:sdtEndPr>
        <w:rPr>
          <w:rFonts w:hint="eastAsia" w:ascii="Times New Roman" w:hAnsi="Times New Roman" w:eastAsia="宋体" w:cs="Times New Roman"/>
          <w:b w:val="0"/>
          <w:bCs w:val="0"/>
          <w:kern w:val="0"/>
          <w:szCs w:val="21"/>
        </w:rPr>
      </w:sdtEndPr>
      <w:sdtContent>
        <w:p>
          <w:pPr>
            <w:pStyle w:val="5"/>
            <w:numPr>
              <w:ilvl w:val="0"/>
              <w:numId w:val="56"/>
            </w:numPr>
            <w:rPr>
              <w:rFonts w:hint="eastAsia"/>
            </w:rPr>
          </w:pPr>
          <w:r>
            <w:rPr>
              <w:rFonts w:hint="eastAsia" w:ascii="宋体" w:hAnsi="宋体" w:cs="宋体"/>
              <w:kern w:val="0"/>
              <w:szCs w:val="24"/>
            </w:rPr>
            <w:t>如果</w:t>
          </w:r>
          <w:r>
            <w:rPr>
              <w:rFonts w:hint="eastAsia"/>
            </w:rPr>
            <w:t>采用成本计量模式的：</w:t>
          </w:r>
        </w:p>
        <w:p>
          <w:pPr>
            <w:pStyle w:val="37"/>
            <w:keepNext w:val="0"/>
            <w:keepLines w:val="0"/>
            <w:pageBreakBefore w:val="0"/>
            <w:kinsoku/>
            <w:wordWrap/>
            <w:overflowPunct/>
            <w:topLinePunct w:val="0"/>
            <w:autoSpaceDE/>
            <w:autoSpaceDN/>
            <w:bidi w:val="0"/>
            <w:adjustRightInd/>
            <w:snapToGrid/>
            <w:spacing w:line="400" w:lineRule="exact"/>
            <w:textAlignment w:val="auto"/>
            <w:rPr>
              <w:rFonts w:hint="eastAsia" w:ascii="Times New Roman" w:hAnsi="Times New Roman"/>
              <w:b w:val="0"/>
              <w:sz w:val="21"/>
              <w:szCs w:val="21"/>
            </w:rPr>
          </w:pPr>
          <w:r>
            <w:rPr>
              <w:rFonts w:hint="eastAsia" w:ascii="Times New Roman" w:hAnsi="Times New Roman"/>
              <w:b w:val="0"/>
              <w:sz w:val="21"/>
              <w:szCs w:val="21"/>
            </w:rPr>
            <w:t>折旧或摊销方法</w:t>
          </w:r>
        </w:p>
        <w:sdt>
          <w:sdtPr>
            <w:rPr>
              <w:rFonts w:ascii="Times New Roman" w:hAnsi="Times New Roman"/>
              <w:sz w:val="21"/>
              <w:szCs w:val="21"/>
            </w:rPr>
            <w:alias w:val="采用成本计量模式的折旧或摊销方法"/>
            <w:tag w:val="_GBC_5b2898357289426780691d99ea19aa67"/>
            <w:id w:val="6615"/>
            <w:placeholder>
              <w:docPart w:val="GBC22222222222222222222222222222"/>
            </w:placeholder>
          </w:sdtPr>
          <w:sdtEndPr>
            <w:rPr>
              <w:rFonts w:ascii="Times New Roman" w:hAnsi="Times New Roman"/>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投资性房地产是指为赚取租金或资本增值，或两者兼有而持有的房地产，包括已出租的土地使用权、持有并准备增值后转让的土地使用权、已出租的建筑物。此外，对于本公司持有以备经营出租的空置建筑物，若董事会作出书面决议，明确表示将其用于经营出租且持有意图短期内不再发生变化的，也作为投资性房地产列报。</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的投资性房地产按其成本作为入账价值，外购投资性房地产的成本包括购买价款、相关税费和可直接归属于该资产的其他支出；自行建造投资性房地产的成本，由建造该项资产达到预定可使用状态前所发生的必要支出构成。</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本公司投资性房地产中出租的建筑物采用年限平均法计提折旧，具体核算政策与固定资产部分相同。投资性房地产中出租的土地使用权、持有并准备增值后转让的土地使用权采用直线法摊销，具体核算政策与无形资产部分相同。</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投资性房地产的用途改变为自用时，自改变之日起，本公司将该投资性房地产转换为固定资产或无形资产。自用房地产的用途改变为赚取租金或资本增值时，自改变之日起，本公司将固定资产或无形资产转换为投资性房地产。发生转换时，以转换前的账面价值作为转换后的入账价值。</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当投资性房地产被处置，或者永久退出使用且预计不能从其处置中取得经济利益时，终止确认该项投资性房地产。投资性房地产出售、转让、报废或毁损的处置收入扣除其账面价值和相关税费后的金额计入当期损益。</w:t>
              </w:r>
            </w:p>
          </w:sdtContent>
        </w:sdt>
        <w:p>
          <w:pPr>
            <w:rPr>
              <w:szCs w:val="21"/>
            </w:rPr>
          </w:pPr>
        </w:p>
      </w:sdtContent>
    </w:sdt>
    <w:sdt>
      <w:sdtPr>
        <w:tag w:val="_PLD_78a019ebcedb4c10b7190c5de8268ea2"/>
        <w:id w:val="6616"/>
      </w:sdtPr>
      <w:sdtContent>
        <w:p>
          <w:pPr>
            <w:pStyle w:val="4"/>
            <w:numPr>
              <w:ilvl w:val="0"/>
              <w:numId w:val="55"/>
            </w:numPr>
          </w:pPr>
          <w:r>
            <w:t>固定资产</w:t>
          </w:r>
        </w:p>
      </w:sdtContent>
    </w:sdt>
    <w:p>
      <w:pPr>
        <w:pStyle w:val="5"/>
        <w:numPr>
          <w:ilvl w:val="0"/>
          <w:numId w:val="57"/>
        </w:numPr>
        <w:rPr>
          <w:rFonts w:hint="eastAsia"/>
        </w:rPr>
      </w:pPr>
      <w:r>
        <w:rPr>
          <w:rFonts w:hint="eastAsia"/>
        </w:rPr>
        <w:t>确认条件</w:t>
      </w:r>
    </w:p>
    <w:sdt>
      <w:sdtPr>
        <w:alias w:val="是否适用：固定资产确认条件[双击切换]"/>
        <w:tag w:val="_GBC_4c768c6eca804bab9e4fc027185bcda6"/>
        <w:id w:val="6617"/>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b/>
          <w:bCs w:val="0"/>
          <w:szCs w:val="21"/>
        </w:rPr>
        <w:alias w:val="固定资产确认条件"/>
        <w:tag w:val="_GBC_3044d53470b143fa9477fa34b85d4ec5"/>
        <w:id w:val="6618"/>
        <w:placeholder>
          <w:docPart w:val="GBC22222222222222222222222222222"/>
        </w:placeholder>
      </w:sdtPr>
      <w:sdtEndPr>
        <w:rPr>
          <w:rFonts w:ascii="Times New Roman" w:hAnsi="Times New Roman" w:eastAsia="宋体"/>
          <w:b/>
          <w:bCs/>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eastAsia="宋体"/>
              <w:b/>
              <w:bCs w:val="0"/>
              <w:sz w:val="21"/>
              <w:szCs w:val="21"/>
            </w:rPr>
          </w:pPr>
          <w:r>
            <w:rPr>
              <w:rFonts w:hint="eastAsia" w:ascii="Times New Roman" w:hAnsi="Times New Roman" w:eastAsia="宋体"/>
              <w:b/>
              <w:bCs w:val="0"/>
              <w:sz w:val="21"/>
              <w:szCs w:val="21"/>
            </w:rPr>
            <w:t>（1）固定资产确认条件</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sz w:val="21"/>
              <w:szCs w:val="21"/>
            </w:rPr>
          </w:pPr>
          <w:r>
            <w:rPr>
              <w:rFonts w:hint="eastAsia" w:ascii="Times New Roman" w:hAnsi="Times New Roman" w:eastAsia="宋体"/>
              <w:sz w:val="21"/>
              <w:szCs w:val="21"/>
            </w:rPr>
            <w:t>固定资产指为生产商品、提供劳务、出租或经营管理而持有，并且使用寿命超过一个会计年度的有形资产。固定资产在同时满足下列条件时予以确认：</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sz w:val="21"/>
              <w:szCs w:val="21"/>
            </w:rPr>
          </w:pPr>
          <w:r>
            <w:rPr>
              <w:rFonts w:hint="eastAsia" w:ascii="Times New Roman" w:hAnsi="Times New Roman" w:eastAsia="宋体"/>
              <w:sz w:val="21"/>
              <w:szCs w:val="21"/>
            </w:rPr>
            <w:t>①与该固定资产有关的经济利益很可能流入企业；</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sz w:val="21"/>
              <w:szCs w:val="21"/>
            </w:rPr>
          </w:pPr>
          <w:r>
            <w:rPr>
              <w:rFonts w:hint="eastAsia" w:ascii="Times New Roman" w:hAnsi="Times New Roman" w:eastAsia="宋体"/>
              <w:sz w:val="21"/>
              <w:szCs w:val="21"/>
            </w:rPr>
            <w:t>②该固定资产的成本能够可靠地计量。</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eastAsia="宋体"/>
              <w:b/>
              <w:bCs/>
              <w:sz w:val="21"/>
              <w:szCs w:val="21"/>
            </w:rPr>
          </w:pPr>
          <w:r>
            <w:rPr>
              <w:rFonts w:hint="eastAsia" w:ascii="Times New Roman" w:hAnsi="Times New Roman" w:eastAsia="宋体"/>
              <w:b/>
              <w:bCs/>
              <w:sz w:val="21"/>
              <w:szCs w:val="21"/>
            </w:rPr>
            <w:t>（2）固定资产初始计量</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sz w:val="21"/>
              <w:szCs w:val="21"/>
            </w:rPr>
          </w:pPr>
          <w:r>
            <w:rPr>
              <w:rFonts w:hint="eastAsia" w:ascii="Times New Roman" w:hAnsi="Times New Roman" w:eastAsia="宋体"/>
              <w:sz w:val="21"/>
              <w:szCs w:val="21"/>
            </w:rPr>
            <w:t>本公司固定资产按成本进行初始计量。</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sz w:val="21"/>
              <w:szCs w:val="21"/>
            </w:rPr>
          </w:pPr>
          <w:r>
            <w:rPr>
              <w:rFonts w:hint="eastAsia" w:ascii="Times New Roman" w:hAnsi="Times New Roman" w:eastAsia="宋体"/>
              <w:sz w:val="21"/>
              <w:szCs w:val="21"/>
            </w:rPr>
            <w:t>①外购的固定资产的成本包括买价、进口关税等相关税费，以及为使固定资产达到预定可使用状态前所发生的可直接归属于该资产的其他支出。</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sz w:val="21"/>
              <w:szCs w:val="21"/>
            </w:rPr>
          </w:pPr>
          <w:r>
            <w:rPr>
              <w:rFonts w:hint="eastAsia" w:ascii="Times New Roman" w:hAnsi="Times New Roman" w:eastAsia="宋体"/>
              <w:sz w:val="21"/>
              <w:szCs w:val="21"/>
            </w:rPr>
            <w:t>②自行建造固定资产的成本，由建造该项资产达到预定可使用状态前所发生的必要支出构成。</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sz w:val="21"/>
              <w:szCs w:val="21"/>
            </w:rPr>
          </w:pPr>
          <w:r>
            <w:rPr>
              <w:rFonts w:hint="eastAsia" w:ascii="Times New Roman" w:hAnsi="Times New Roman" w:eastAsia="宋体"/>
              <w:sz w:val="21"/>
              <w:szCs w:val="21"/>
            </w:rPr>
            <w:t>③投资者投入的固定资产，按投资合同或协议约定的价值作为入账价值，但合同或协议约定价值不公允的按公允价值入账。</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sz w:val="21"/>
              <w:szCs w:val="21"/>
            </w:rPr>
          </w:pPr>
          <w:r>
            <w:rPr>
              <w:rFonts w:hint="eastAsia" w:ascii="Times New Roman" w:hAnsi="Times New Roman" w:eastAsia="宋体"/>
              <w:sz w:val="21"/>
              <w:szCs w:val="21"/>
            </w:rPr>
            <w:t>④购买固定资产的价款超过正常信用条件延期支付，实质上具有融资性质的，固定资产的成本以购买价款的现值为基础确定。实际支付的价款与购买价款的现值之间的差额，除应予资本化的以外，在信用期间内计入当期损益。</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eastAsia="宋体"/>
              <w:b/>
              <w:bCs/>
              <w:sz w:val="21"/>
              <w:szCs w:val="21"/>
            </w:rPr>
          </w:pPr>
          <w:r>
            <w:rPr>
              <w:rFonts w:hint="eastAsia" w:ascii="Times New Roman" w:hAnsi="Times New Roman" w:eastAsia="宋体"/>
              <w:b/>
              <w:bCs/>
              <w:sz w:val="21"/>
              <w:szCs w:val="21"/>
            </w:rPr>
            <w:t>（3）固定资产后续计量及处置</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sz w:val="21"/>
              <w:szCs w:val="21"/>
            </w:rPr>
          </w:pPr>
          <w:r>
            <w:rPr>
              <w:rFonts w:hint="eastAsia" w:ascii="Times New Roman" w:hAnsi="Times New Roman" w:eastAsia="宋体"/>
              <w:sz w:val="21"/>
              <w:szCs w:val="21"/>
            </w:rPr>
            <w:t>①固定资产折旧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sz w:val="21"/>
              <w:szCs w:val="21"/>
            </w:rPr>
          </w:pPr>
          <w:r>
            <w:rPr>
              <w:rFonts w:hint="eastAsia" w:ascii="Times New Roman" w:hAnsi="Times New Roman" w:eastAsia="宋体"/>
              <w:sz w:val="21"/>
              <w:szCs w:val="21"/>
            </w:rPr>
            <w:t>固定资产折旧按其入账价值减去预计净残值后在预计使用寿命内计提。对计提了减值准备的固定资产，则在未来期间按扣除减值准备后的账面价值及依据尚可使用年限确定折旧额；已提足折旧仍继续使用的固定资产不计提折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sz w:val="21"/>
              <w:szCs w:val="21"/>
            </w:rPr>
          </w:pPr>
          <w:r>
            <w:rPr>
              <w:rFonts w:hint="eastAsia" w:ascii="Times New Roman" w:hAnsi="Times New Roman" w:eastAsia="宋体"/>
              <w:sz w:val="21"/>
              <w:szCs w:val="21"/>
            </w:rPr>
            <w:t>本公司根据固定资产的性质和使用情况，确定固定资产的使用寿命和预计净残值。并在年度终了，对固定资产的使用寿命、预计净残值和折旧方法进行复核，如与原先估计数存在差异的，进行相应的调整。</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sz w:val="21"/>
              <w:szCs w:val="21"/>
            </w:rPr>
          </w:pPr>
          <w:r>
            <w:rPr>
              <w:rFonts w:hint="eastAsia" w:ascii="Times New Roman" w:hAnsi="Times New Roman" w:eastAsia="宋体"/>
              <w:sz w:val="21"/>
              <w:szCs w:val="21"/>
            </w:rPr>
            <w:t>②固定资产的后续支出</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sz w:val="21"/>
              <w:szCs w:val="21"/>
            </w:rPr>
          </w:pPr>
          <w:r>
            <w:rPr>
              <w:rFonts w:hint="eastAsia" w:ascii="Times New Roman" w:hAnsi="Times New Roman" w:eastAsia="宋体"/>
              <w:sz w:val="21"/>
              <w:szCs w:val="21"/>
            </w:rPr>
            <w:t>与固定资产有关的后续支出，符合固定资产确认条件的，计入固定资产成本；不符合固定资产确认条件的，在发生时计入当期损益。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sz w:val="21"/>
              <w:szCs w:val="21"/>
            </w:rPr>
          </w:pPr>
          <w:r>
            <w:rPr>
              <w:rFonts w:hint="eastAsia" w:ascii="Times New Roman" w:hAnsi="Times New Roman" w:eastAsia="宋体"/>
              <w:sz w:val="21"/>
              <w:szCs w:val="21"/>
            </w:rPr>
            <w:t>③固定资产处置</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eastAsia="宋体"/>
              <w:b/>
              <w:bCs/>
              <w:sz w:val="21"/>
              <w:szCs w:val="21"/>
            </w:rPr>
          </w:pPr>
          <w:r>
            <w:rPr>
              <w:rFonts w:hint="eastAsia" w:ascii="Times New Roman" w:hAnsi="Times New Roman" w:eastAsia="宋体"/>
              <w:sz w:val="21"/>
              <w:szCs w:val="21"/>
            </w:rPr>
            <w:t>当固定资产被处置、或者预期通过使用或处置不能产生经济利益时，终止确认该固定资产。固定资产出售、转让、报废或毁损的处置收入扣除其账面价值和相关税费后的金额计入当期损益。</w:t>
          </w:r>
        </w:p>
      </w:sdtContent>
    </w:sdt>
    <w:p>
      <w:pPr>
        <w:rPr>
          <w:szCs w:val="21"/>
        </w:rPr>
      </w:pPr>
    </w:p>
    <w:p>
      <w:pPr>
        <w:pStyle w:val="5"/>
        <w:numPr>
          <w:ilvl w:val="0"/>
          <w:numId w:val="57"/>
        </w:numPr>
        <w:rPr>
          <w:rFonts w:hint="eastAsia"/>
        </w:rPr>
      </w:pPr>
      <w:r>
        <w:t>折旧方法</w:t>
      </w:r>
    </w:p>
    <w:sdt>
      <w:sdtPr>
        <w:alias w:val="是否适用：固定资产折旧方法[双击切换]"/>
        <w:tag w:val="_GBC_f89f129fe73045168ebdc30031da9fdd"/>
        <w:id w:val="6619"/>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1831"/>
        <w:gridCol w:w="1833"/>
        <w:gridCol w:w="1833"/>
        <w:gridCol w:w="1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dxa"/>
            <w:vAlign w:val="center"/>
          </w:tcPr>
          <w:sdt>
            <w:sdtPr>
              <w:tag w:val="_PLD_b93b748ee97a4a8bae6f8263364d91d5"/>
              <w:id w:val="6620"/>
            </w:sdtPr>
            <w:sdtContent>
              <w:p>
                <w:pPr>
                  <w:jc w:val="center"/>
                  <w:rPr>
                    <w:szCs w:val="21"/>
                  </w:rPr>
                </w:pPr>
                <w:r>
                  <w:rPr>
                    <w:szCs w:val="21"/>
                  </w:rPr>
                  <w:t>类别</w:t>
                </w:r>
              </w:p>
            </w:sdtContent>
          </w:sdt>
        </w:tc>
        <w:tc>
          <w:tcPr>
            <w:tcW w:w="1831" w:type="dxa"/>
            <w:vAlign w:val="center"/>
          </w:tcPr>
          <w:sdt>
            <w:sdtPr>
              <w:tag w:val="_PLD_8eb75a8ba4fb45a3be1c35e2609526fb"/>
              <w:id w:val="6621"/>
            </w:sdtPr>
            <w:sdtContent>
              <w:p>
                <w:pPr>
                  <w:jc w:val="center"/>
                  <w:rPr>
                    <w:szCs w:val="21"/>
                  </w:rPr>
                </w:pPr>
                <w:r>
                  <w:rPr>
                    <w:rFonts w:hint="eastAsia"/>
                    <w:szCs w:val="21"/>
                  </w:rPr>
                  <w:t>折旧方法</w:t>
                </w:r>
              </w:p>
            </w:sdtContent>
          </w:sdt>
        </w:tc>
        <w:tc>
          <w:tcPr>
            <w:tcW w:w="1833" w:type="dxa"/>
            <w:vAlign w:val="center"/>
          </w:tcPr>
          <w:sdt>
            <w:sdtPr>
              <w:tag w:val="_PLD_288e4cb255e44ed98e0c53f336ac01e0"/>
              <w:id w:val="6622"/>
            </w:sdtPr>
            <w:sdtContent>
              <w:p>
                <w:pPr>
                  <w:jc w:val="center"/>
                  <w:rPr>
                    <w:szCs w:val="21"/>
                  </w:rPr>
                </w:pPr>
                <w:r>
                  <w:rPr>
                    <w:szCs w:val="21"/>
                  </w:rPr>
                  <w:t>折旧年限（年）</w:t>
                </w:r>
              </w:p>
            </w:sdtContent>
          </w:sdt>
        </w:tc>
        <w:tc>
          <w:tcPr>
            <w:tcW w:w="1833" w:type="dxa"/>
            <w:vAlign w:val="center"/>
          </w:tcPr>
          <w:sdt>
            <w:sdtPr>
              <w:tag w:val="_PLD_b978331f5a784568b426597e450ebc7a"/>
              <w:id w:val="6623"/>
            </w:sdtPr>
            <w:sdtContent>
              <w:p>
                <w:pPr>
                  <w:jc w:val="center"/>
                  <w:rPr>
                    <w:szCs w:val="21"/>
                  </w:rPr>
                </w:pPr>
                <w:r>
                  <w:rPr>
                    <w:szCs w:val="21"/>
                  </w:rPr>
                  <w:t>残值率</w:t>
                </w:r>
              </w:p>
            </w:sdtContent>
          </w:sdt>
        </w:tc>
        <w:tc>
          <w:tcPr>
            <w:tcW w:w="1833" w:type="dxa"/>
            <w:vAlign w:val="center"/>
          </w:tcPr>
          <w:sdt>
            <w:sdtPr>
              <w:tag w:val="_PLD_02921e2cbb3b427bb4fe2aba2949e56a"/>
              <w:id w:val="6624"/>
            </w:sdtPr>
            <w:sdtContent>
              <w:p>
                <w:pPr>
                  <w:jc w:val="center"/>
                  <w:rPr>
                    <w:szCs w:val="21"/>
                  </w:rPr>
                </w:pPr>
                <w:r>
                  <w:rPr>
                    <w:szCs w:val="21"/>
                  </w:rPr>
                  <w:t>年折旧率</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dxa"/>
            <w:vAlign w:val="center"/>
          </w:tcPr>
          <w:p>
            <w:pPr>
              <w:jc w:val="center"/>
              <w:rPr>
                <w:szCs w:val="21"/>
              </w:rPr>
            </w:pPr>
            <w:r>
              <w:rPr>
                <w:rFonts w:hint="eastAsia"/>
                <w:color w:val="auto"/>
                <w:szCs w:val="21"/>
              </w:rPr>
              <w:t>房屋及建筑物</w:t>
            </w:r>
          </w:p>
        </w:tc>
        <w:tc>
          <w:tcPr>
            <w:tcW w:w="1831" w:type="dxa"/>
            <w:vAlign w:val="center"/>
          </w:tcPr>
          <w:p>
            <w:pPr>
              <w:jc w:val="center"/>
              <w:rPr>
                <w:szCs w:val="21"/>
              </w:rPr>
            </w:pPr>
            <w:r>
              <w:rPr>
                <w:rFonts w:hint="eastAsia"/>
                <w:color w:val="auto"/>
                <w:szCs w:val="21"/>
              </w:rPr>
              <w:t>直线法</w:t>
            </w:r>
          </w:p>
        </w:tc>
        <w:tc>
          <w:tcPr>
            <w:tcW w:w="1833" w:type="dxa"/>
            <w:vAlign w:val="center"/>
          </w:tcPr>
          <w:p>
            <w:pPr>
              <w:jc w:val="right"/>
              <w:rPr>
                <w:szCs w:val="21"/>
              </w:rPr>
            </w:pPr>
            <w:r>
              <w:rPr>
                <w:rFonts w:hint="eastAsia"/>
                <w:color w:val="auto"/>
                <w:szCs w:val="21"/>
              </w:rPr>
              <w:t>30-45</w:t>
            </w:r>
          </w:p>
        </w:tc>
        <w:tc>
          <w:tcPr>
            <w:tcW w:w="1833" w:type="dxa"/>
            <w:vAlign w:val="center"/>
          </w:tcPr>
          <w:p>
            <w:pPr>
              <w:jc w:val="right"/>
              <w:rPr>
                <w:szCs w:val="21"/>
              </w:rPr>
            </w:pPr>
            <w:r>
              <w:rPr>
                <w:rFonts w:hint="eastAsia"/>
                <w:color w:val="auto"/>
                <w:szCs w:val="21"/>
              </w:rPr>
              <w:t>3-5</w:t>
            </w:r>
          </w:p>
        </w:tc>
        <w:tc>
          <w:tcPr>
            <w:tcW w:w="1833" w:type="dxa"/>
            <w:vAlign w:val="center"/>
          </w:tcPr>
          <w:p>
            <w:pPr>
              <w:jc w:val="right"/>
              <w:rPr>
                <w:szCs w:val="21"/>
              </w:rPr>
            </w:pPr>
            <w:r>
              <w:rPr>
                <w:rFonts w:hint="eastAsia"/>
                <w:color w:val="auto"/>
                <w:szCs w:val="21"/>
              </w:rPr>
              <w:t>2.11-3.23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dxa"/>
            <w:vAlign w:val="center"/>
          </w:tcPr>
          <w:p>
            <w:pPr>
              <w:jc w:val="center"/>
              <w:rPr>
                <w:szCs w:val="21"/>
              </w:rPr>
            </w:pPr>
            <w:r>
              <w:rPr>
                <w:rFonts w:hint="eastAsia"/>
                <w:color w:val="auto"/>
                <w:szCs w:val="21"/>
              </w:rPr>
              <w:t>机器设备</w:t>
            </w:r>
          </w:p>
        </w:tc>
        <w:tc>
          <w:tcPr>
            <w:tcW w:w="1831" w:type="dxa"/>
            <w:vAlign w:val="center"/>
          </w:tcPr>
          <w:p>
            <w:pPr>
              <w:jc w:val="center"/>
              <w:rPr>
                <w:szCs w:val="21"/>
              </w:rPr>
            </w:pPr>
            <w:r>
              <w:rPr>
                <w:rFonts w:hint="eastAsia"/>
                <w:color w:val="auto"/>
                <w:szCs w:val="21"/>
              </w:rPr>
              <w:t>直线法</w:t>
            </w:r>
          </w:p>
        </w:tc>
        <w:tc>
          <w:tcPr>
            <w:tcW w:w="1833" w:type="dxa"/>
            <w:vAlign w:val="center"/>
          </w:tcPr>
          <w:p>
            <w:pPr>
              <w:jc w:val="right"/>
              <w:rPr>
                <w:szCs w:val="21"/>
              </w:rPr>
            </w:pPr>
            <w:r>
              <w:rPr>
                <w:rFonts w:hint="eastAsia"/>
                <w:color w:val="auto"/>
                <w:szCs w:val="21"/>
              </w:rPr>
              <w:t>4-14</w:t>
            </w:r>
          </w:p>
        </w:tc>
        <w:tc>
          <w:tcPr>
            <w:tcW w:w="1833" w:type="dxa"/>
            <w:vAlign w:val="center"/>
          </w:tcPr>
          <w:p>
            <w:pPr>
              <w:jc w:val="right"/>
              <w:rPr>
                <w:szCs w:val="21"/>
              </w:rPr>
            </w:pPr>
            <w:r>
              <w:rPr>
                <w:rFonts w:hint="eastAsia"/>
                <w:color w:val="auto"/>
                <w:szCs w:val="21"/>
              </w:rPr>
              <w:t>3-5</w:t>
            </w:r>
          </w:p>
        </w:tc>
        <w:tc>
          <w:tcPr>
            <w:tcW w:w="1833" w:type="dxa"/>
            <w:vAlign w:val="center"/>
          </w:tcPr>
          <w:p>
            <w:pPr>
              <w:jc w:val="right"/>
              <w:rPr>
                <w:szCs w:val="21"/>
              </w:rPr>
            </w:pPr>
            <w:r>
              <w:rPr>
                <w:rFonts w:hint="eastAsia"/>
                <w:color w:val="auto"/>
                <w:szCs w:val="21"/>
              </w:rPr>
              <w:t>6.79-24.25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dxa"/>
            <w:vAlign w:val="center"/>
          </w:tcPr>
          <w:p>
            <w:pPr>
              <w:jc w:val="center"/>
              <w:rPr>
                <w:szCs w:val="21"/>
              </w:rPr>
            </w:pPr>
            <w:r>
              <w:rPr>
                <w:rFonts w:hint="eastAsia"/>
                <w:color w:val="auto"/>
                <w:szCs w:val="21"/>
              </w:rPr>
              <w:t>运输设备</w:t>
            </w:r>
          </w:p>
        </w:tc>
        <w:tc>
          <w:tcPr>
            <w:tcW w:w="1831" w:type="dxa"/>
            <w:vAlign w:val="center"/>
          </w:tcPr>
          <w:p>
            <w:pPr>
              <w:jc w:val="center"/>
              <w:rPr>
                <w:szCs w:val="21"/>
              </w:rPr>
            </w:pPr>
            <w:r>
              <w:rPr>
                <w:rFonts w:hint="eastAsia"/>
                <w:color w:val="auto"/>
                <w:szCs w:val="21"/>
              </w:rPr>
              <w:t>直线法</w:t>
            </w:r>
          </w:p>
        </w:tc>
        <w:tc>
          <w:tcPr>
            <w:tcW w:w="1833" w:type="dxa"/>
            <w:vAlign w:val="center"/>
          </w:tcPr>
          <w:p>
            <w:pPr>
              <w:jc w:val="right"/>
              <w:rPr>
                <w:szCs w:val="21"/>
              </w:rPr>
            </w:pPr>
            <w:r>
              <w:rPr>
                <w:rFonts w:hint="eastAsia"/>
                <w:color w:val="auto"/>
                <w:szCs w:val="21"/>
              </w:rPr>
              <w:t>5-12</w:t>
            </w:r>
          </w:p>
        </w:tc>
        <w:tc>
          <w:tcPr>
            <w:tcW w:w="1833" w:type="dxa"/>
            <w:vAlign w:val="center"/>
          </w:tcPr>
          <w:p>
            <w:pPr>
              <w:jc w:val="right"/>
              <w:rPr>
                <w:szCs w:val="21"/>
              </w:rPr>
            </w:pPr>
            <w:r>
              <w:rPr>
                <w:rFonts w:hint="eastAsia"/>
                <w:color w:val="auto"/>
                <w:szCs w:val="21"/>
              </w:rPr>
              <w:t>3-5</w:t>
            </w:r>
          </w:p>
        </w:tc>
        <w:tc>
          <w:tcPr>
            <w:tcW w:w="1833" w:type="dxa"/>
            <w:vAlign w:val="center"/>
          </w:tcPr>
          <w:p>
            <w:pPr>
              <w:jc w:val="right"/>
              <w:rPr>
                <w:szCs w:val="21"/>
              </w:rPr>
            </w:pPr>
            <w:r>
              <w:rPr>
                <w:rFonts w:hint="eastAsia"/>
                <w:color w:val="auto"/>
                <w:szCs w:val="21"/>
              </w:rPr>
              <w:t>7.92-19.40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dxa"/>
            <w:vAlign w:val="center"/>
          </w:tcPr>
          <w:p>
            <w:pPr>
              <w:jc w:val="center"/>
              <w:rPr>
                <w:szCs w:val="21"/>
              </w:rPr>
            </w:pPr>
            <w:r>
              <w:rPr>
                <w:rFonts w:hint="eastAsia"/>
                <w:color w:val="auto"/>
                <w:szCs w:val="21"/>
              </w:rPr>
              <w:t>其他设备</w:t>
            </w:r>
          </w:p>
        </w:tc>
        <w:tc>
          <w:tcPr>
            <w:tcW w:w="1831" w:type="dxa"/>
            <w:vAlign w:val="center"/>
          </w:tcPr>
          <w:p>
            <w:pPr>
              <w:jc w:val="center"/>
              <w:rPr>
                <w:szCs w:val="21"/>
              </w:rPr>
            </w:pPr>
            <w:r>
              <w:rPr>
                <w:rFonts w:hint="eastAsia"/>
                <w:color w:val="auto"/>
                <w:szCs w:val="21"/>
              </w:rPr>
              <w:t>直线法</w:t>
            </w:r>
          </w:p>
        </w:tc>
        <w:tc>
          <w:tcPr>
            <w:tcW w:w="1833" w:type="dxa"/>
            <w:vAlign w:val="center"/>
          </w:tcPr>
          <w:p>
            <w:pPr>
              <w:jc w:val="right"/>
              <w:rPr>
                <w:szCs w:val="21"/>
              </w:rPr>
            </w:pPr>
            <w:r>
              <w:rPr>
                <w:rFonts w:hint="eastAsia"/>
                <w:color w:val="auto"/>
                <w:szCs w:val="21"/>
              </w:rPr>
              <w:t>5-10</w:t>
            </w:r>
          </w:p>
        </w:tc>
        <w:tc>
          <w:tcPr>
            <w:tcW w:w="1833" w:type="dxa"/>
            <w:vAlign w:val="center"/>
          </w:tcPr>
          <w:p>
            <w:pPr>
              <w:jc w:val="right"/>
              <w:rPr>
                <w:szCs w:val="21"/>
              </w:rPr>
            </w:pPr>
            <w:r>
              <w:rPr>
                <w:rFonts w:hint="eastAsia"/>
                <w:color w:val="auto"/>
                <w:szCs w:val="21"/>
              </w:rPr>
              <w:t>3-5</w:t>
            </w:r>
          </w:p>
        </w:tc>
        <w:tc>
          <w:tcPr>
            <w:tcW w:w="1833" w:type="dxa"/>
            <w:vAlign w:val="center"/>
          </w:tcPr>
          <w:p>
            <w:pPr>
              <w:jc w:val="right"/>
              <w:rPr>
                <w:szCs w:val="21"/>
              </w:rPr>
            </w:pPr>
            <w:r>
              <w:rPr>
                <w:rFonts w:hint="eastAsia"/>
                <w:color w:val="auto"/>
                <w:szCs w:val="21"/>
              </w:rPr>
              <w:t>9.50-19.40</w:t>
            </w:r>
          </w:p>
        </w:tc>
      </w:tr>
    </w:tbl>
    <w:p/>
    <w:p>
      <w:pPr>
        <w:pStyle w:val="4"/>
        <w:numPr>
          <w:ilvl w:val="0"/>
          <w:numId w:val="55"/>
        </w:numPr>
      </w:pPr>
      <w:r>
        <w:t>在建工程</w:t>
      </w:r>
    </w:p>
    <w:sdt>
      <w:sdtPr>
        <w:rPr>
          <w:rFonts w:hint="eastAsia"/>
          <w:szCs w:val="21"/>
        </w:rPr>
        <w:alias w:val="是否适用：在建工程_重要会计政策和估计[双击切换]"/>
        <w:tag w:val="_GBC_00730441e5ea4f57b3cd3ff1ecc5c1bd"/>
        <w:id w:val="6625"/>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ascii="Times New Roman" w:hAnsi="Times New Roman"/>
          <w:b/>
          <w:bCs/>
          <w:sz w:val="21"/>
          <w:szCs w:val="21"/>
        </w:rPr>
        <w:alias w:val="在建工程核算方法"/>
        <w:tag w:val="_GBC_ed79f983df814c58add61776fe84c76e"/>
        <w:id w:val="6626"/>
        <w:placeholder>
          <w:docPart w:val="GBC22222222222222222222222222222"/>
        </w:placeholder>
      </w:sdtPr>
      <w:sdtEndPr>
        <w:rPr>
          <w:rFonts w:hint="eastAsia" w:ascii="Times New Roman" w:hAnsi="Times New Roman"/>
          <w:b/>
          <w:bCs/>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b/>
              <w:bCs/>
              <w:sz w:val="21"/>
              <w:szCs w:val="21"/>
            </w:rPr>
          </w:pPr>
          <w:r>
            <w:rPr>
              <w:rFonts w:hint="eastAsia" w:ascii="Times New Roman" w:hAnsi="Times New Roman" w:eastAsia="宋体"/>
              <w:b/>
              <w:bCs/>
              <w:sz w:val="21"/>
              <w:szCs w:val="21"/>
            </w:rPr>
            <w:t>（1）在建工程初始计量</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sz w:val="21"/>
              <w:szCs w:val="21"/>
            </w:rPr>
          </w:pPr>
          <w:r>
            <w:rPr>
              <w:rFonts w:hint="eastAsia" w:ascii="Times New Roman" w:hAnsi="Times New Roman" w:eastAsia="宋体"/>
              <w:sz w:val="21"/>
              <w:szCs w:val="21"/>
            </w:rPr>
            <w:t>本公司自行建造的在建工程按实际成本计价，实际成本由建造该项资产达到预定可使用状态前所发生的必要支出构成，包括工程用物资成本、人工成本、交纳的相关税费、应予资本化的借款费用以及应分摊的间接费用等。</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ascii="Times New Roman" w:hAnsi="Times New Roman"/>
              <w:b/>
              <w:bCs/>
              <w:sz w:val="21"/>
              <w:szCs w:val="21"/>
            </w:rPr>
          </w:pPr>
          <w:r>
            <w:rPr>
              <w:rFonts w:hint="eastAsia" w:ascii="Times New Roman" w:hAnsi="Times New Roman" w:eastAsia="宋体"/>
              <w:b/>
              <w:bCs/>
              <w:sz w:val="21"/>
              <w:szCs w:val="21"/>
            </w:rPr>
            <w:t>（2）在建工程结转为固定资产的标准和时点</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szCs w:val="21"/>
            </w:rPr>
          </w:pPr>
          <w:r>
            <w:rPr>
              <w:rFonts w:hint="eastAsia" w:ascii="Times New Roman" w:hAnsi="Times New Roman" w:eastAsia="宋体"/>
              <w:sz w:val="21"/>
              <w:szCs w:val="21"/>
            </w:rPr>
            <w:t>在建工程项目按建造该项资产达到预定可使用状态前所发生的全部支出，作为固定资产的入账价值。所建造的在建工程已达到预定可使用状态，但尚未办理竣工决算的，自达到预定可使用状态之日起，根据工程预算、造价或者工程实际成本等，按估计的价值转入固定资产，并按本公司固定资产折旧政策计提固定资产的折旧，待办理竣工决算后，再按实际成本调整原来的暂估价值，但不调整原已计提的折旧额。</w:t>
          </w:r>
        </w:p>
      </w:sdtContent>
    </w:sdt>
    <w:p>
      <w:pPr>
        <w:rPr>
          <w:szCs w:val="21"/>
        </w:rPr>
      </w:pPr>
    </w:p>
    <w:p>
      <w:pPr>
        <w:pStyle w:val="4"/>
        <w:numPr>
          <w:ilvl w:val="0"/>
          <w:numId w:val="55"/>
        </w:numPr>
      </w:pPr>
      <w:r>
        <w:t>借款费用</w:t>
      </w:r>
    </w:p>
    <w:sdt>
      <w:sdtPr>
        <w:rPr>
          <w:rFonts w:hint="eastAsia"/>
          <w:szCs w:val="21"/>
        </w:rPr>
        <w:alias w:val="是否适用：借款费用_重要会计政策和估计[双击切换]"/>
        <w:tag w:val="_GBC_84ea3b60fd54474487b81f25f176d989"/>
        <w:id w:val="6627"/>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b/>
          <w:bCs/>
          <w:szCs w:val="21"/>
        </w:rPr>
        <w:alias w:val="借款费用的会计处理方法"/>
        <w:tag w:val="_GBC_2101c32d32c64f39a8b8fcd2b72dbb0a"/>
        <w:id w:val="6628"/>
        <w:placeholder>
          <w:docPart w:val="GBC22222222222222222222222222222"/>
        </w:placeholder>
      </w:sdtPr>
      <w:sdtEndPr>
        <w:rPr>
          <w:rFonts w:hint="eastAsia" w:ascii="Times New Roman" w:hAnsi="Times New Roman" w:eastAsia="宋体" w:cs="Times New Roman"/>
          <w:b/>
          <w:bCs/>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（1）借款费用资本化的确认原则</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本公司发生的借款费用，可直接归属于符合资本化条件的资产的购建或者生产的，予以资本化，计入相关资产成本；其他借款费用，在发生时根据其发生额确认为费用，计入当期损益。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符合资本化条件的资产，是指需要经过相当长时间的购建或者生产活动才能达到预定可使用或者可销售状态的固定资产、投资性房地产和存货等资产。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借款费用同时满足下列条件时开始资本化：</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①资产支出已经发生，资产支出包括为购建或者生产符合资本化条件的资产而以支付现金、转移非现金资产或者承担带息债务形式发生的支出；</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②借款费用已经发生；</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③为使资产达到预定可使用或者可销售状态所必要的购建或者生产活动已经开始。</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（2）借款费用资本化期间</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资本化期间，指从借款费用开始资本化时点到停止资本化时点的期间，借款费用暂停资本化的期间不包括在内。</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当购建或者生产符合资本化条件的资产达到预定可使用或者可销售状态时，借款费用停止资本化。</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当购建或者生产符合资本化条件的资产中部分项目分别完工且可单独使用时，该部分资产借款费用停止资本化。</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购建或者生产的资产的各部分分别完工，但必须等到整体完工后才可使用或可对外销售的，在该资产整体完工时停止借款费用资本化。</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（3）暂停资本化期间</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符合资本化条件的资产在购建或生产过程中发生的非正常中断、且中断时间连续超过3个月的，则借款费用暂停资本化；该项中断如是所购建或生产的符合资本化条件的资产达到预定可使用状态或者可销售状态必要的程序，则借款费用继续资本化。在中断期间发生的借款费用确认为当期损益，直至资产的购建或者生产活动重新开始后借款费用继续资本化。</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（4）借款费用资本化金额的计算方法</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专门借款的利息费用（扣除尚未动用的借款资金存入银行取得的利息收入或者进行暂时性投资取得的投资收益）及其辅助费用在所购建或者生产的符合资本化条件的资产达到预定可使用或者可销售状态前，予以资本化。</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根据累计资产支出超过专门借款部分的资产支出加权平均数乘以所占用一般借款的资本化率，计算确定一般借款应予资本化的利息金额。资本化率根据一般借款加权平均利率计算确定。</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借款存在折价或者溢价的，按照实际利率法确定每一会计期间应摊销的折价或者溢价金额，调整每期利息金额。</w:t>
          </w:r>
        </w:p>
      </w:sdtContent>
    </w:sd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cs="Times New Roman"/>
          <w:sz w:val="21"/>
          <w:szCs w:val="21"/>
        </w:rPr>
      </w:pPr>
    </w:p>
    <w:p>
      <w:pPr>
        <w:pStyle w:val="4"/>
        <w:numPr>
          <w:ilvl w:val="0"/>
          <w:numId w:val="55"/>
        </w:numPr>
      </w:pPr>
      <w:r>
        <w:t>生物资产</w:t>
      </w:r>
    </w:p>
    <w:sdt>
      <w:sdtPr>
        <w:rPr>
          <w:rFonts w:hint="eastAsia"/>
          <w:szCs w:val="21"/>
        </w:rPr>
        <w:alias w:val="是否适用：生物资产_重要会计政策和估计[双击切换]"/>
        <w:tag w:val="_GBC_f511e8d0a6dc417eb1d10eeecb5b05a5"/>
        <w:id w:val="6629"/>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4"/>
        <w:numPr>
          <w:ilvl w:val="0"/>
          <w:numId w:val="55"/>
        </w:numPr>
      </w:pPr>
      <w:r>
        <w:t>油气资产</w:t>
      </w:r>
    </w:p>
    <w:sdt>
      <w:sdtPr>
        <w:rPr>
          <w:rFonts w:hint="eastAsia"/>
          <w:szCs w:val="21"/>
        </w:rPr>
        <w:alias w:val="是否适用：油气资产_重要会计政策和估计[双击切换]"/>
        <w:tag w:val="_GBC_fb60dd1d8d2346fb9b2e461875c070c9"/>
        <w:id w:val="6630"/>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sdt>
      <w:sdtPr>
        <w:rPr>
          <w:rFonts w:cs="宋体" w:asciiTheme="minorHAnsi" w:hAnsiTheme="minorHAnsi"/>
          <w:b w:val="0"/>
          <w:bCs w:val="0"/>
          <w:kern w:val="0"/>
          <w:szCs w:val="22"/>
        </w:rPr>
        <w:tag w:val="_PLD_82846e62d3d44532bf6728857de75df6"/>
        <w:id w:val="6631"/>
      </w:sdtPr>
      <w:sdtEndPr>
        <w:rPr>
          <w:rFonts w:ascii="Calibri" w:hAnsi="Calibri" w:cs="Times New Roman"/>
          <w:b/>
          <w:bCs/>
          <w:kern w:val="2"/>
          <w:szCs w:val="32"/>
        </w:rPr>
      </w:sdtEndPr>
      <w:sdtContent>
        <w:p>
          <w:pPr>
            <w:pStyle w:val="4"/>
            <w:numPr>
              <w:ilvl w:val="0"/>
              <w:numId w:val="55"/>
            </w:numPr>
          </w:pPr>
          <w:r>
            <w:t>无形资产</w:t>
          </w:r>
        </w:p>
      </w:sdtContent>
    </w:sdt>
    <w:p>
      <w:pPr>
        <w:pStyle w:val="5"/>
        <w:numPr>
          <w:ilvl w:val="3"/>
          <w:numId w:val="58"/>
        </w:numPr>
        <w:ind w:left="426" w:hanging="426"/>
        <w:rPr>
          <w:rStyle w:val="43"/>
          <w:rFonts w:hint="eastAsia"/>
          <w:szCs w:val="28"/>
        </w:rPr>
      </w:pPr>
      <w:r>
        <w:rPr>
          <w:rFonts w:hint="eastAsia"/>
        </w:rPr>
        <w:t>使用寿命及其确定依据、估计情况、摊销方法</w:t>
      </w:r>
      <w:r>
        <w:rPr>
          <w:rStyle w:val="43"/>
          <w:rFonts w:hint="eastAsia"/>
        </w:rPr>
        <w:t>或复核程序</w:t>
      </w:r>
    </w:p>
    <w:sdt>
      <w:sdtPr>
        <w:alias w:val="是否适用：无形资产计价方法、使用寿命、减值测试[双击切换]"/>
        <w:tag w:val="_GBC_40df8c87b47d48bbbf73a71cc533a892"/>
        <w:id w:val="6632"/>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szCs w:val="21"/>
        </w:rPr>
        <w:alias w:val="无形资产计价方法、使用寿命、减值测试"/>
        <w:tag w:val="_GBC_a9e64b18f452482eb6674ec605618dcc"/>
        <w:id w:val="6633"/>
        <w:placeholder>
          <w:docPart w:val="GBC22222222222222222222222222222"/>
        </w:placeholder>
      </w:sdtPr>
      <w:sdtEndPr>
        <w:rPr>
          <w:rFonts w:hint="eastAsia" w:ascii="Times New Roman" w:hAnsi="Times New Roman" w:eastAsia="宋体" w:cs="Times New Roman"/>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无形资产是指本公司拥有或者控制的没有实物形态的可辨认非货币性资产，包括土地使用权、专利权、非专利技术等。</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（1）无形资产的初始计量</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外购无形资产的成本，包括购买价款、相关税费以及直接归属于使该项资产达到预定用途所发生的其他支出。购买无形资产的价款超过正常信用条件延期支付，实质上具有融资性质的，无形资产的成本以购买价款的现值为基础确定。</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债务重组取得债务人用以抵债的无形资产，以该无形资产的公允价值为基础确定其入账价值，并将重组债务的账面价值与该用以抵债的无形资产公允价值之间的差额，计入当期损益。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在非货币性资产交换具备商业实质且换入资产或换出资产的公允价值能够可靠计量的前提下，非货币性资产交换换入的无形资产以换出资产的公允价值为基础确定其入账价值，除非有确凿证据表明换入资产的公允价值更加可靠；不满足上述前提的非货币性资产交换，以换出资产的账面价值和应支付的相关税费作为换入无形资产的成本，不确认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以同一控制下的企业吸收合并方式取得的无形资产按被合并方的账面价值确定其入账价值；以非同一控制下的企业吸收合并方式取得的无形资产按公允价值确定其入账价值。</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内部自行开发的无形资产，其成本包括：开发该无形资产时耗用的材料、劳务成本、注册费、在开发过程中使用的其他专利权和特许权的摊销以及满足资本化条件的利息费用，以及为使该无形资产达到预定用途前所发生的其他直接费用。</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（2）无形资产的后续计量</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本公司在取得无形资产时分析判断其使用寿命，划分为使用寿命有限和使用寿命不确定的无形资产。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①使用寿命有限的无形资产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对于使用寿命有限的无形资产，在为企业带来经济利益的期限内按直线法摊销。使用寿命有限的无形资产预计寿命如下：</w:t>
          </w: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6"/>
            <w:gridCol w:w="4053"/>
            <w:gridCol w:w="3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宋体" w:hAnsi="宋体" w:eastAsia="宋体" w:cs="宋体"/>
                    <w:sz w:val="21"/>
                    <w:szCs w:val="21"/>
                  </w:rPr>
                </w:pPr>
                <w:r>
                  <w:rPr>
                    <w:rFonts w:hint="eastAsia" w:ascii="宋体" w:hAnsi="宋体" w:eastAsia="宋体" w:cs="宋体"/>
                    <w:sz w:val="21"/>
                    <w:szCs w:val="21"/>
                  </w:rPr>
                  <w:t>项目</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宋体" w:hAnsi="宋体" w:eastAsia="宋体" w:cs="宋体"/>
                    <w:sz w:val="21"/>
                    <w:szCs w:val="21"/>
                  </w:rPr>
                </w:pPr>
                <w:r>
                  <w:rPr>
                    <w:rFonts w:hint="eastAsia" w:ascii="宋体" w:hAnsi="宋体" w:eastAsia="宋体" w:cs="宋体"/>
                    <w:sz w:val="21"/>
                    <w:szCs w:val="21"/>
                  </w:rPr>
                  <w:t>使用寿命确定的依据</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宋体" w:hAnsi="宋体" w:eastAsia="宋体" w:cs="宋体"/>
                    <w:sz w:val="21"/>
                    <w:szCs w:val="21"/>
                  </w:rPr>
                </w:pPr>
                <w:r>
                  <w:rPr>
                    <w:rFonts w:hint="eastAsia" w:ascii="宋体" w:hAnsi="宋体" w:eastAsia="宋体" w:cs="宋体"/>
                    <w:sz w:val="21"/>
                    <w:szCs w:val="21"/>
                  </w:rPr>
                  <w:t>预计使用寿命（年）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宋体" w:hAnsi="宋体" w:eastAsia="宋体" w:cs="宋体"/>
                    <w:sz w:val="21"/>
                    <w:szCs w:val="21"/>
                  </w:rPr>
                </w:pPr>
                <w:r>
                  <w:rPr>
                    <w:rFonts w:hint="eastAsia" w:ascii="宋体" w:hAnsi="宋体" w:eastAsia="宋体" w:cs="宋体"/>
                    <w:sz w:val="21"/>
                    <w:szCs w:val="21"/>
                  </w:rPr>
                  <w:t>土地使用权</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宋体" w:hAnsi="宋体" w:eastAsia="宋体" w:cs="宋体"/>
                    <w:sz w:val="21"/>
                    <w:szCs w:val="21"/>
                  </w:rPr>
                </w:pPr>
                <w:r>
                  <w:rPr>
                    <w:rFonts w:hint="eastAsia" w:ascii="宋体" w:hAnsi="宋体" w:eastAsia="宋体" w:cs="宋体"/>
                    <w:sz w:val="21"/>
                    <w:szCs w:val="21"/>
                  </w:rPr>
                  <w:t>土地使用权证载明使用期限</w:t>
                </w:r>
              </w:p>
            </w:tc>
            <w:tc>
              <w:tcPr>
                <w:tcBorders>
                  <w:top w:val="single" w:color="auto" w:sz="4" w:space="0"/>
                  <w:left w:val="single" w:color="auto" w:sz="4" w:space="0"/>
                  <w:bottom w:val="single" w:color="auto" w:sz="4" w:space="0"/>
                  <w:right w:val="single" w:color="auto" w:sz="4" w:space="0"/>
                </w:tcBorders>
                <w:vAlign w:val="center"/>
              </w:tcPr>
              <w:p>
                <w:pPr>
                  <w:widowControl w:val="0"/>
                  <w:jc w:val="righ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宋体" w:hAnsi="宋体" w:eastAsia="宋体" w:cs="宋体"/>
                    <w:sz w:val="21"/>
                    <w:szCs w:val="21"/>
                  </w:rPr>
                </w:pPr>
                <w:r>
                  <w:rPr>
                    <w:rFonts w:hint="eastAsia" w:ascii="宋体" w:hAnsi="宋体" w:eastAsia="宋体" w:cs="宋体"/>
                    <w:sz w:val="21"/>
                    <w:szCs w:val="21"/>
                  </w:rPr>
                  <w:t>专利权</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宋体" w:hAnsi="宋体" w:eastAsia="宋体" w:cs="宋体"/>
                    <w:sz w:val="21"/>
                    <w:szCs w:val="21"/>
                  </w:rPr>
                </w:pPr>
                <w:r>
                  <w:rPr>
                    <w:rFonts w:hint="eastAsia" w:ascii="宋体" w:hAnsi="宋体" w:eastAsia="宋体" w:cs="宋体"/>
                    <w:sz w:val="21"/>
                    <w:szCs w:val="21"/>
                  </w:rPr>
                  <w:t>预计使用年限</w:t>
                </w:r>
              </w:p>
            </w:tc>
            <w:tc>
              <w:tcPr>
                <w:tcBorders>
                  <w:top w:val="single" w:color="auto" w:sz="4" w:space="0"/>
                  <w:left w:val="single" w:color="auto" w:sz="4" w:space="0"/>
                  <w:bottom w:val="single" w:color="auto" w:sz="4" w:space="0"/>
                  <w:right w:val="single" w:color="auto" w:sz="4" w:space="0"/>
                </w:tcBorders>
                <w:vAlign w:val="center"/>
              </w:tcPr>
              <w:p>
                <w:pPr>
                  <w:widowControl w:val="0"/>
                  <w:jc w:val="righ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宋体" w:hAnsi="宋体" w:eastAsia="宋体" w:cs="宋体"/>
                    <w:sz w:val="21"/>
                    <w:szCs w:val="21"/>
                  </w:rPr>
                </w:pPr>
                <w:r>
                  <w:rPr>
                    <w:rFonts w:hint="eastAsia" w:ascii="宋体" w:hAnsi="宋体" w:eastAsia="宋体" w:cs="宋体"/>
                    <w:sz w:val="21"/>
                    <w:szCs w:val="21"/>
                  </w:rPr>
                  <w:t>非专有技术</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宋体" w:hAnsi="宋体" w:eastAsia="宋体" w:cs="宋体"/>
                    <w:sz w:val="21"/>
                    <w:szCs w:val="21"/>
                  </w:rPr>
                </w:pPr>
                <w:r>
                  <w:rPr>
                    <w:rFonts w:hint="eastAsia" w:ascii="宋体" w:hAnsi="宋体" w:eastAsia="宋体" w:cs="宋体"/>
                    <w:sz w:val="21"/>
                    <w:szCs w:val="21"/>
                  </w:rPr>
                  <w:t>预计使用年限</w:t>
                </w:r>
              </w:p>
            </w:tc>
            <w:tc>
              <w:tcPr>
                <w:tcBorders>
                  <w:top w:val="single" w:color="auto" w:sz="4" w:space="0"/>
                  <w:left w:val="single" w:color="auto" w:sz="4" w:space="0"/>
                  <w:bottom w:val="single" w:color="auto" w:sz="4" w:space="0"/>
                  <w:right w:val="single" w:color="auto" w:sz="4" w:space="0"/>
                </w:tcBorders>
                <w:vAlign w:val="center"/>
              </w:tcPr>
              <w:p>
                <w:pPr>
                  <w:widowControl w:val="0"/>
                  <w:jc w:val="righ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宋体" w:hAnsi="宋体" w:eastAsia="宋体" w:cs="宋体"/>
                    <w:sz w:val="21"/>
                    <w:szCs w:val="21"/>
                  </w:rPr>
                </w:pPr>
                <w:r>
                  <w:rPr>
                    <w:rFonts w:hint="eastAsia" w:ascii="宋体" w:hAnsi="宋体" w:eastAsia="宋体" w:cs="宋体"/>
                    <w:sz w:val="21"/>
                    <w:szCs w:val="21"/>
                  </w:rPr>
                  <w:t>软件</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宋体" w:hAnsi="宋体" w:eastAsia="宋体" w:cs="宋体"/>
                    <w:sz w:val="21"/>
                    <w:szCs w:val="21"/>
                  </w:rPr>
                </w:pPr>
                <w:r>
                  <w:rPr>
                    <w:rFonts w:hint="eastAsia" w:ascii="宋体" w:hAnsi="宋体" w:eastAsia="宋体" w:cs="宋体"/>
                    <w:sz w:val="21"/>
                    <w:szCs w:val="21"/>
                  </w:rPr>
                  <w:t>预计使用年限</w:t>
                </w:r>
              </w:p>
            </w:tc>
            <w:tc>
              <w:tcPr>
                <w:tcBorders>
                  <w:top w:val="single" w:color="auto" w:sz="4" w:space="0"/>
                  <w:left w:val="single" w:color="auto" w:sz="4" w:space="0"/>
                  <w:bottom w:val="single" w:color="auto" w:sz="4" w:space="0"/>
                  <w:right w:val="single" w:color="auto" w:sz="4" w:space="0"/>
                </w:tcBorders>
                <w:vAlign w:val="center"/>
              </w:tcPr>
              <w:p>
                <w:pPr>
                  <w:widowControl w:val="0"/>
                  <w:jc w:val="righ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3-10</w:t>
                </w:r>
              </w:p>
            </w:tc>
          </w:tr>
        </w:tbl>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每期末，对使用寿命有限的无形资产的使用寿命及摊销方法进行复核，如与原先估计数存在差异的，进行相应的调整。</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经复核，本期期末无形资产的使用寿命及摊销方法与以前估计未有不同。</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②使用寿命不确定的无形资产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szCs w:val="21"/>
            </w:rPr>
          </w:pPr>
          <w:r>
            <w:rPr>
              <w:rFonts w:hint="eastAsia" w:ascii="Times New Roman" w:hAnsi="Times New Roman" w:eastAsia="宋体" w:cs="Times New Roman"/>
              <w:sz w:val="21"/>
              <w:szCs w:val="21"/>
            </w:rPr>
            <w:t>无法预见无形资产为企业带来经济利益期限的，视为使用寿命不确定的无形资产。使用寿命不确定的无形资产如下：</w:t>
          </w: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8"/>
            <w:gridCol w:w="6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424" w:type="pct"/>
                <w:tcBorders>
                  <w:top w:val="single" w:color="auto" w:sz="4" w:space="0"/>
                  <w:left w:val="single" w:color="auto" w:sz="4" w:space="0"/>
                  <w:bottom w:val="single" w:color="auto" w:sz="4" w:space="0"/>
                  <w:right w:val="single" w:color="auto" w:sz="4" w:space="0"/>
                </w:tcBorders>
                <w:vAlign w:val="center"/>
              </w:tcPr>
              <w:p>
                <w:pPr>
                  <w:widowControl w:val="0"/>
                  <w:ind w:firstLine="480"/>
                  <w:jc w:val="center"/>
                  <w:rPr>
                    <w:rFonts w:hint="eastAsia" w:ascii="Times New Roman" w:hAnsi="Times New Roman" w:eastAsia="宋体" w:cs="宋体"/>
                    <w:sz w:val="21"/>
                    <w:szCs w:val="21"/>
                  </w:rPr>
                </w:pPr>
                <w:r>
                  <w:rPr>
                    <w:rFonts w:hint="eastAsia" w:ascii="Times New Roman" w:hAnsi="Times New Roman" w:eastAsia="宋体" w:cs="宋体"/>
                    <w:sz w:val="21"/>
                    <w:szCs w:val="21"/>
                  </w:rPr>
                  <w:t>项目</w:t>
                </w:r>
              </w:p>
            </w:tc>
            <w:tc>
              <w:tcPr>
                <w:tcW w:w="3575" w:type="pct"/>
                <w:tcBorders>
                  <w:top w:val="single" w:color="auto" w:sz="4" w:space="0"/>
                  <w:left w:val="single" w:color="auto" w:sz="4" w:space="0"/>
                  <w:bottom w:val="single" w:color="auto" w:sz="4" w:space="0"/>
                  <w:right w:val="single" w:color="auto" w:sz="4" w:space="0"/>
                </w:tcBorders>
                <w:vAlign w:val="center"/>
              </w:tcPr>
              <w:p>
                <w:pPr>
                  <w:widowControl w:val="0"/>
                  <w:ind w:firstLine="480"/>
                  <w:jc w:val="center"/>
                  <w:rPr>
                    <w:rFonts w:hint="eastAsia" w:ascii="Times New Roman" w:hAnsi="Times New Roman" w:eastAsia="宋体" w:cs="宋体"/>
                    <w:sz w:val="21"/>
                    <w:szCs w:val="21"/>
                  </w:rPr>
                </w:pPr>
                <w:r>
                  <w:rPr>
                    <w:rFonts w:hint="eastAsia" w:ascii="Times New Roman" w:hAnsi="Times New Roman" w:eastAsia="宋体" w:cs="宋体"/>
                    <w:sz w:val="21"/>
                    <w:szCs w:val="21"/>
                  </w:rPr>
                  <w:t>使用寿命不确定的依据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4" w:type="pct"/>
                <w:tcBorders>
                  <w:top w:val="single" w:color="auto" w:sz="4" w:space="0"/>
                  <w:left w:val="single" w:color="auto" w:sz="4" w:space="0"/>
                  <w:bottom w:val="single" w:color="auto" w:sz="4" w:space="0"/>
                  <w:right w:val="single" w:color="auto" w:sz="4" w:space="0"/>
                </w:tcBorders>
                <w:vAlign w:val="center"/>
              </w:tcPr>
              <w:p>
                <w:pPr>
                  <w:widowControl w:val="0"/>
                  <w:jc w:val="both"/>
                  <w:rPr>
                    <w:rFonts w:hint="eastAsia" w:ascii="Times New Roman" w:hAnsi="Times New Roman" w:eastAsia="宋体" w:cs="宋体"/>
                    <w:sz w:val="21"/>
                    <w:szCs w:val="21"/>
                  </w:rPr>
                </w:pPr>
                <w:r>
                  <w:rPr>
                    <w:rFonts w:hint="eastAsia" w:ascii="Times New Roman" w:hAnsi="Times New Roman" w:eastAsia="宋体" w:cs="宋体"/>
                    <w:sz w:val="21"/>
                    <w:szCs w:val="21"/>
                  </w:rPr>
                  <w:t>药品生产技术及相应权利</w:t>
                </w:r>
              </w:p>
            </w:tc>
            <w:tc>
              <w:tcPr>
                <w:tcW w:w="3575" w:type="pct"/>
                <w:tcBorders>
                  <w:top w:val="single" w:color="auto" w:sz="4" w:space="0"/>
                  <w:left w:val="single" w:color="auto" w:sz="4" w:space="0"/>
                  <w:bottom w:val="single" w:color="auto" w:sz="4" w:space="0"/>
                  <w:right w:val="single" w:color="auto" w:sz="4" w:space="0"/>
                </w:tcBorders>
                <w:vAlign w:val="center"/>
              </w:tcPr>
              <w:p>
                <w:pPr>
                  <w:widowControl w:val="0"/>
                  <w:ind w:left="120"/>
                  <w:jc w:val="both"/>
                  <w:rPr>
                    <w:rFonts w:hint="eastAsia" w:ascii="Times New Roman" w:hAnsi="Times New Roman" w:eastAsia="宋体" w:cs="宋体"/>
                    <w:sz w:val="21"/>
                    <w:szCs w:val="21"/>
                  </w:rPr>
                </w:pPr>
                <w:r>
                  <w:rPr>
                    <w:rFonts w:hint="eastAsia" w:ascii="Times New Roman" w:hAnsi="Times New Roman" w:eastAsia="宋体" w:cs="宋体"/>
                    <w:sz w:val="21"/>
                    <w:szCs w:val="21"/>
                  </w:rPr>
                  <w:t>子公司广西两面针亿康药业股份有限公司成立时，前股东以药品生产技术及相应权利出资。根据药品管理法实施条例、药品注册管理办法等法规规定，药品批准文号的有效期为5年，有效期届满，需要继续使用的应当在期满前6个月，申请换发有关证件。因此相关的药品生产技术（药品生产批号）为本公司带来</w:t>
                </w:r>
                <w:r>
                  <w:rPr>
                    <w:rFonts w:hint="eastAsia" w:cs="宋体"/>
                    <w:sz w:val="21"/>
                    <w:szCs w:val="21"/>
                    <w:lang w:val="en-US" w:eastAsia="zh-CN"/>
                  </w:rPr>
                  <w:t>未来</w:t>
                </w:r>
                <w:r>
                  <w:rPr>
                    <w:rFonts w:hint="eastAsia" w:ascii="Times New Roman" w:hAnsi="Times New Roman" w:eastAsia="宋体" w:cs="宋体"/>
                    <w:sz w:val="21"/>
                    <w:szCs w:val="21"/>
                  </w:rPr>
                  <w:t>经济利益的期限从目前情况看无法可靠估计。</w:t>
                </w:r>
              </w:p>
            </w:tc>
          </w:tr>
        </w:tbl>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对于使用寿命不确定的无形资产，在持有期间内不摊销，每期末对无形资产的寿命进行复核。如果期末重新复核后仍为不确定的，在每个会计期间继续进行减值测试。经复核，该类无形资产的使用寿命仍为不确定。</w:t>
          </w:r>
        </w:p>
      </w:sdtContent>
    </w:sdt>
    <w:p>
      <w:pPr>
        <w:rPr>
          <w:szCs w:val="21"/>
        </w:rPr>
      </w:pPr>
    </w:p>
    <w:p>
      <w:pPr>
        <w:pStyle w:val="5"/>
        <w:numPr>
          <w:ilvl w:val="3"/>
          <w:numId w:val="58"/>
        </w:numPr>
        <w:ind w:left="426" w:hanging="426"/>
        <w:rPr>
          <w:rFonts w:hint="eastAsia"/>
        </w:rPr>
      </w:pPr>
      <w:r>
        <w:rPr>
          <w:rFonts w:hint="eastAsia"/>
        </w:rPr>
        <w:t>研发支出的归集范围及相关会计处理方法</w:t>
      </w:r>
    </w:p>
    <w:sdt>
      <w:sdtPr>
        <w:alias w:val="是否适用：无形资产内部研究开发支出会计政策[双击切换]"/>
        <w:tag w:val="_GBC_8f6b939ea36a42808f60b7c024994f2b"/>
        <w:id w:val="663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b/>
          <w:bCs/>
          <w:szCs w:val="21"/>
        </w:rPr>
        <w:alias w:val="无形资产内部研究、开发支出会计政策"/>
        <w:tag w:val="_GBC_af7b1338d88344dfb8cd34ed66bfe672"/>
        <w:id w:val="6635"/>
        <w:placeholder>
          <w:docPart w:val="GBC22222222222222222222222222222"/>
        </w:placeholder>
      </w:sdtPr>
      <w:sdtEndPr>
        <w:rPr>
          <w:rFonts w:hint="eastAsia" w:ascii="Times New Roman" w:hAnsi="Times New Roman" w:eastAsia="宋体" w:cs="Times New Roman"/>
          <w:b/>
          <w:bCs/>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① 划分公司内部研究开发项目的研究阶段和开发阶段具体标准</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研究阶段：为获取并理解新的科学或技术知识等而进行的独创性的有计划调查、研究活动的阶段。</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开发阶段：在进行商业性生产或使用前，将研究成果或其他知识应用于某项计划或设计，以生产出新的或具有实质性改进的材料、装置、产品等活动的阶段。</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内部研究开发项目研究阶段的支出，在发生时计入当期损益。</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② 开发阶段支出符合资本化的具体标准</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内部研究开发项目开发阶段的支出，同时满足下列条件时确认为无形资产：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A.完成该无形资产以使其能够使用或出售在技术上具有可行性；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B.具有完成该无形资产并使用或出售的意图；</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C.无形资产产生经济利益的方式，包括能够证明运用该无形资产生产的产品存在市场或无形资产自身存在市场，无形资产将在内部使用的，能够证明其有用性；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D.有足够的技术、财务资源和其他资源支持，以完成该无形资产的开发，并有能力使用或出售该无形资产；</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E.归属于该无形资产开发阶段的支出能够可靠地计量。</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不满足上述条件的开发阶段的支出，于发生时计入当期损益。以前期间已计入损益的开发支出不在以后期间重新确认为资产。已资本化的开发阶段的支出在资产负债表上列示为开发支出，自该项目达到预定用途之日起转为无形资产。</w:t>
          </w:r>
        </w:p>
      </w:sdtContent>
    </w:sdt>
    <w:p/>
    <w:p>
      <w:pPr>
        <w:pStyle w:val="4"/>
        <w:numPr>
          <w:ilvl w:val="0"/>
          <w:numId w:val="55"/>
        </w:numPr>
        <w:rPr>
          <w:szCs w:val="21"/>
        </w:rPr>
      </w:pPr>
      <w:r>
        <w:rPr>
          <w:rFonts w:hint="eastAsia"/>
          <w:szCs w:val="21"/>
        </w:rPr>
        <w:t>长期资产减值</w:t>
      </w:r>
    </w:p>
    <w:sdt>
      <w:sdtPr>
        <w:rPr>
          <w:rFonts w:hint="eastAsia"/>
          <w:szCs w:val="21"/>
        </w:rPr>
        <w:alias w:val="是否适用：长期资产减值_重要会计政策和估计[双击切换]"/>
        <w:tag w:val="_GBC_e9110d6af45c4c0d808e2f284fadf642"/>
        <w:id w:val="6636"/>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szCs w:val="21"/>
        </w:rPr>
        <w:alias w:val="非金融长期资产减值测试方法及会计处理方法"/>
        <w:tag w:val="_GBC_0a065c1269a846f6923598a2c1fc4269"/>
        <w:id w:val="6637"/>
        <w:placeholder>
          <w:docPart w:val="GBC22222222222222222222222222222"/>
        </w:placeholder>
      </w:sdtPr>
      <w:sdtEndPr>
        <w:rPr>
          <w:rFonts w:hint="eastAsia" w:ascii="Times New Roman" w:hAnsi="Times New Roman" w:eastAsia="宋体" w:cs="Times New Roman"/>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本公司在资产负债表日判断长期资产是否存在可能发生减值的迹象。如果长期资产存在减值迹象的，以单项资产为基础估计其可收回金额；难以对单项资产的可收回金额进行估计的，以该资产所属的资产组为基础确定资产组的可收回金额。</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资产可收回金额的估计，根据其公允价值减去处置费用后的净额与资产预计未来现金流量的现值两者之间较高者确定。</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可收回金额的计量结果表明，长期资产的可收回金额低于其账面价值的，将长期资产的账面价值减记至可收回金额，减记的金额确认为资产减值损失，计入当期损益，同时计提相应的资产减值准备。资产减值损失一经确认，在以后会计期间不得转回。</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资产减值损失确认后，减值资产的折旧或者摊销费用在未来期间作相应调整，以使该资产在剩余使用寿命内，系统地分摊调整后的资产账面价值（扣除预计净残值）。</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因企业合并所形成的商誉和使用寿命不确定的无形资产，无论是否存在减值迹象，每年都进行减值测试。</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在对商誉进行减值测试时，将商誉的账面价值分摊至预期从企业合并的协同效应中受益的资产组或资产组组合。在对包含商誉的相关资产组或者资产组组合进行减值测试时，如与商誉相关的资产组或者资产组组合存在减值迹象的，先对不包含商誉的资产组或者资产组组合进行减值测试，计算可收回金额，并与相关账面价值相比较，确认相应的减值损失。再对包含商誉的资产组或者资产组组合进行减值测试，比较这些相关资产组或者资产组组合的账面价值（包括所分摊的商誉的账面价值部分）与其可收回金额，如相关资产组或者资产组组合的可收回金额低于其账面价值的，确认商誉的减值损失。</w:t>
          </w:r>
        </w:p>
      </w:sdtContent>
    </w:sdt>
    <w:p>
      <w:pPr>
        <w:rPr>
          <w:szCs w:val="21"/>
        </w:rPr>
      </w:pPr>
    </w:p>
    <w:p>
      <w:pPr>
        <w:pStyle w:val="4"/>
        <w:numPr>
          <w:ilvl w:val="0"/>
          <w:numId w:val="55"/>
        </w:numPr>
      </w:pPr>
      <w:r>
        <w:t>长期待摊费用</w:t>
      </w:r>
    </w:p>
    <w:sdt>
      <w:sdtPr>
        <w:rPr>
          <w:rFonts w:hint="eastAsia"/>
          <w:szCs w:val="21"/>
        </w:rPr>
        <w:alias w:val="是否适用：长期待摊费用_重要会计政策和估计[双击切换]"/>
        <w:tag w:val="_GBC_5f2bbee5e66644d489f8d74ae8f96539"/>
        <w:id w:val="6638"/>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szCs w:val="21"/>
        </w:rPr>
        <w:alias w:val="开办费、长期待摊费用摊销方法"/>
        <w:tag w:val="_GBC_a0e2b7a5a9454eaea97ca201421d7dde"/>
        <w:id w:val="6639"/>
        <w:placeholder>
          <w:docPart w:val="GBC22222222222222222222222222222"/>
        </w:placeholder>
      </w:sdtPr>
      <w:sdtEndPr>
        <w:rPr>
          <w:rFonts w:hint="eastAsia" w:ascii="Times New Roman" w:hAnsi="Times New Roman" w:eastAsia="宋体" w:cs="Times New Roman"/>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长期待摊费用，是指本公司已经发生但应由本期和以后各期负担的分摊期限在1年以上的各项费用。长期待摊费用在受益期内按直线法分期摊销。若长期待摊的费用项目不能使以后会计期间受益，则将尚未摊销的该项目的摊余价值全部转入当期损益。</w:t>
          </w:r>
        </w:p>
      </w:sdtContent>
    </w:sdt>
    <w:p>
      <w:pPr>
        <w:rPr>
          <w:szCs w:val="21"/>
        </w:rPr>
      </w:pPr>
    </w:p>
    <w:p>
      <w:pPr>
        <w:pStyle w:val="4"/>
        <w:numPr>
          <w:ilvl w:val="0"/>
          <w:numId w:val="55"/>
        </w:numPr>
        <w:rPr>
          <w:szCs w:val="21"/>
        </w:rPr>
      </w:pPr>
      <w:bookmarkStart w:id="204" w:name="_Hlk533668008"/>
      <w:r>
        <w:rPr>
          <w:rFonts w:hint="eastAsia"/>
          <w:szCs w:val="21"/>
        </w:rPr>
        <w:t>合同负债</w:t>
      </w:r>
    </w:p>
    <w:sdt>
      <w:sdtPr>
        <w:rPr>
          <w:szCs w:val="21"/>
        </w:rPr>
        <w:alias w:val="是否适用：合同负债的确定方法、摊销方法和减值测试方法[双击切换]"/>
        <w:tag w:val="_GBC_1d0f6a0a7f304d3f94158c9d73a7239a"/>
        <w:id w:val="6640"/>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bookmarkEnd w:id="204"/>
    <w:sdt>
      <w:sdtPr>
        <w:tag w:val="_PLD_aa167e3365d24606a124a22dea6677f3"/>
        <w:id w:val="6641"/>
      </w:sdtPr>
      <w:sdtEndPr>
        <w:rPr>
          <w:rFonts w:ascii="Calibri" w:hAnsi="Calibri" w:cs="Times New Roman"/>
          <w:b/>
          <w:bCs/>
          <w:kern w:val="2"/>
          <w:szCs w:val="32"/>
        </w:rPr>
      </w:sdtEndPr>
      <w:sdtContent>
        <w:p>
          <w:pPr>
            <w:pStyle w:val="4"/>
            <w:numPr>
              <w:ilvl w:val="0"/>
              <w:numId w:val="55"/>
            </w:numPr>
          </w:pPr>
          <w:r>
            <w:rPr>
              <w:rFonts w:hint="eastAsia"/>
            </w:rPr>
            <w:t>职工薪酬</w:t>
          </w:r>
        </w:p>
      </w:sdtContent>
    </w:sdt>
    <w:p>
      <w:pPr>
        <w:pStyle w:val="5"/>
        <w:numPr>
          <w:ilvl w:val="3"/>
          <w:numId w:val="59"/>
        </w:numPr>
        <w:ind w:left="426" w:hanging="426"/>
        <w:rPr>
          <w:rFonts w:hint="eastAsia"/>
        </w:rPr>
      </w:pPr>
      <w:r>
        <w:rPr>
          <w:rFonts w:hint="eastAsia"/>
        </w:rPr>
        <w:t>短期薪酬的会计处理方法</w:t>
      </w:r>
    </w:p>
    <w:sdt>
      <w:sdtPr>
        <w:rPr>
          <w:rFonts w:hint="eastAsia"/>
          <w:szCs w:val="21"/>
        </w:rPr>
        <w:alias w:val="是否适用：短期薪酬的会计处理方法[双击切换]"/>
        <w:tag w:val="_GBC_efadddc5ff4a48fb9432574c3528c6b3"/>
        <w:id w:val="6642"/>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szCs w:val="21"/>
        </w:rPr>
        <w:alias w:val="短期薪酬的会计处理方法"/>
        <w:tag w:val="_GBC_8fdf44b194ac45fb945d36b9896df796"/>
        <w:id w:val="6643"/>
        <w:placeholder>
          <w:docPart w:val="GBC22222222222222222222222222222"/>
        </w:placeholder>
      </w:sdtPr>
      <w:sdtEndPr>
        <w:rPr>
          <w:rFonts w:hint="eastAsia" w:ascii="Times New Roman" w:hAnsi="Times New Roman" w:eastAsia="宋体" w:cs="Times New Roman"/>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szCs w:val="21"/>
            </w:rPr>
            <w:t>短期薪酬是指本公司在职工提供相关服务的年度报告期间结束后十二个月内需要全部予以支付的职工薪酬，离职后福利和辞退福利除外。本公司在职工提供服务的会计期间，将应付的短期薪酬确认为负债，并根据职工提供服务的受益对象计入相关资产成本和费用。</w:t>
          </w:r>
        </w:p>
      </w:sdtContent>
    </w:sdt>
    <w:p>
      <w:pPr>
        <w:rPr>
          <w:szCs w:val="21"/>
        </w:rPr>
      </w:pPr>
    </w:p>
    <w:p>
      <w:pPr>
        <w:pStyle w:val="5"/>
        <w:numPr>
          <w:ilvl w:val="3"/>
          <w:numId w:val="59"/>
        </w:numPr>
        <w:ind w:left="426" w:hanging="426"/>
        <w:rPr>
          <w:rFonts w:hint="eastAsia"/>
        </w:rPr>
      </w:pPr>
      <w:r>
        <w:rPr>
          <w:rFonts w:hint="eastAsia"/>
        </w:rPr>
        <w:t>离职后福利的会计处理方法</w:t>
      </w:r>
    </w:p>
    <w:sdt>
      <w:sdtPr>
        <w:rPr>
          <w:rFonts w:hint="eastAsia"/>
          <w:szCs w:val="21"/>
        </w:rPr>
        <w:alias w:val="是否适用：离职后福利的会计处理方法[双击切换]"/>
        <w:tag w:val="_GBC_64248844b1544474ae8d85d08e7479af"/>
        <w:id w:val="6644"/>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szCs w:val="21"/>
        </w:rPr>
        <w:alias w:val="离职后福利的会计处理方法"/>
        <w:tag w:val="_GBC_3b0bafa6ef784ba99c829e2f60cf828e"/>
        <w:id w:val="6645"/>
        <w:placeholder>
          <w:docPart w:val="GBC22222222222222222222222222222"/>
        </w:placeholder>
      </w:sdtPr>
      <w:sdtEndPr>
        <w:rPr>
          <w:rFonts w:hint="eastAsia" w:ascii="Times New Roman" w:hAnsi="Times New Roman" w:eastAsia="宋体" w:cs="Times New Roman"/>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离职后福利是指本公司为获得职工提供的服务而在职工退休或与企业解除劳动关系后，提供的各种形式的报酬和福利，短期薪酬和辞退福利除外。</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本公司的离职后福利计划分类为设定提存计划和设定受益计划。</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离职后福利设定提存计划主要为参加由各地劳动及社会保障机构组织实施的社会基本养老保险、失业保险等。在职工为本公司提供服务的会计期间，将根据设定提存计划计算的应缴存金额确认为负债，并计入当期损益或相关资产成本。</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离职后福利设定受益计划主要为内退人员支付的工资、社保、过节费等。对于设定受益计划中承担的义务，在资产负债表日由独立精算师使用预期累计福利单位法进行精算，将设定受益计划产生的福利义务归属于职工提供服务的期间，并计入当期损益或相关资产成本，其中：除非其他会计准则要求或允许职工福利成本计入资产成本，设定受益计划服务成本和设定受益计划净负债或净资产的利息净额在发生当期计入当期损益；重新计量设定受益计划净负债或净资产所产生的变动在发生当期计入其他综合收益，且在后续会计期间不允许转回至损益。</w:t>
          </w:r>
        </w:p>
      </w:sdtContent>
    </w:sd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cs="Times New Roman"/>
          <w:sz w:val="21"/>
          <w:szCs w:val="21"/>
        </w:rPr>
      </w:pPr>
    </w:p>
    <w:p>
      <w:pPr>
        <w:pStyle w:val="5"/>
        <w:numPr>
          <w:ilvl w:val="3"/>
          <w:numId w:val="59"/>
        </w:numPr>
        <w:ind w:left="426" w:hanging="426"/>
        <w:rPr>
          <w:rFonts w:hint="eastAsia"/>
        </w:rPr>
      </w:pPr>
      <w:r>
        <w:rPr>
          <w:rFonts w:hint="eastAsia"/>
        </w:rPr>
        <w:t>辞退福利的会计处理方法</w:t>
      </w:r>
    </w:p>
    <w:sdt>
      <w:sdtPr>
        <w:rPr>
          <w:rFonts w:hint="eastAsia"/>
          <w:szCs w:val="21"/>
        </w:rPr>
        <w:alias w:val="是否适用：辞退福利的会计处理方法[双击切换]"/>
        <w:tag w:val="_GBC_7a3bf6905df64c658fb0148a81f2964d"/>
        <w:id w:val="6646"/>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szCs w:val="21"/>
        </w:rPr>
        <w:alias w:val="辞退福利的会计处理方法"/>
        <w:tag w:val="_GBC_a93705fb60b24bceb25c88a68ed87432"/>
        <w:id w:val="6647"/>
        <w:placeholder>
          <w:docPart w:val="GBC22222222222222222222222222222"/>
        </w:placeholder>
      </w:sdtPr>
      <w:sdtEndPr>
        <w:rPr>
          <w:rFonts w:hint="eastAsia" w:ascii="Times New Roman" w:hAnsi="Times New Roman" w:eastAsia="宋体" w:cs="Times New Roman"/>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辞退福利是指本公司在职工劳动合同到期之前解除与职工的劳动关系，或者为鼓励职工自愿接受裁减而给予职工的补偿，在本公司不能单方面撤回解除劳动关系计划或裁减建议时和确认与涉及支付辞退福利的重组相关的成本费用时两者孰早日，确认因解除与职工的劳动关系给予补偿而产生的负债，同时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本公司向接受内部退休安排的职工提供内退福利。内退福利是指，向未达到国家规定的退休年龄、经本公司管理层批准自愿退出工作岗位的职工支付的工资及为其缴纳的社会保险费等。本公司自内部退休安排开始之日起至职工达到正常退休年龄止，向内退职工支付内部退养福利。对于内退福利，本公司比照辞退福利进行会计处理，在符合辞退福利相关确认条件时，将自职工停止提供服务日至正常退休日期间拟支付的内退职工工资和缴纳的社会保险费等，确认为负债，一次性计入当期损益。内退福利的精算假设变化及福利标准调整引起的差异于发生时计入当期损益。</w:t>
          </w:r>
        </w:p>
      </w:sdtContent>
    </w:sdt>
    <w:p>
      <w:pPr>
        <w:rPr>
          <w:szCs w:val="21"/>
        </w:rPr>
      </w:pPr>
    </w:p>
    <w:p>
      <w:pPr>
        <w:pStyle w:val="5"/>
        <w:numPr>
          <w:ilvl w:val="3"/>
          <w:numId w:val="59"/>
        </w:numPr>
        <w:ind w:left="426" w:hanging="426"/>
        <w:rPr>
          <w:rFonts w:hint="eastAsia"/>
        </w:rPr>
      </w:pPr>
      <w:r>
        <w:rPr>
          <w:rFonts w:hint="eastAsia"/>
        </w:rPr>
        <w:t>其他长期职工福利的会计处理方法</w:t>
      </w:r>
    </w:p>
    <w:sdt>
      <w:sdtPr>
        <w:rPr>
          <w:rFonts w:hint="eastAsia"/>
          <w:szCs w:val="21"/>
        </w:rPr>
        <w:alias w:val="是否适用：其他长期职工福利的会计处理方法[双击切换]"/>
        <w:tag w:val="_GBC_94d434167e154a30ad2071a069525a71"/>
        <w:id w:val="6648"/>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szCs w:val="21"/>
        </w:rPr>
        <w:alias w:val="其他长期职工福利的会计处理方法"/>
        <w:tag w:val="_GBC_0e549e9400284de7b64ddf6ecc255dea"/>
        <w:id w:val="6649"/>
        <w:placeholder>
          <w:docPart w:val="GBC22222222222222222222222222222"/>
        </w:placeholder>
      </w:sdtPr>
      <w:sdtEndPr>
        <w:rPr>
          <w:rFonts w:hint="eastAsia" w:ascii="Times New Roman" w:hAnsi="Times New Roman" w:eastAsia="宋体" w:cs="Times New Roman"/>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其他长期职工福利是指除短期薪酬、离职后福利、辞退福利之外的其他所有职工福利。</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szCs w:val="21"/>
            </w:rPr>
            <w:t>对符合设定提存计划条件的其他长期职工福利，在职工为本公司提供服务的会计期间，将应缴存金额确认为负债，并计入当期损益或相关资产成本；除上述情形外的其他长期职工福利，在资产负债表日使用预期累计福利单位法进行精算，将设定受益计划产生的福利义务归属于职工提供服务的期间，并计入当期损益或相关资产成本。</w:t>
          </w:r>
        </w:p>
      </w:sdtContent>
    </w:sd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cs="Times New Roman"/>
          <w:sz w:val="21"/>
          <w:szCs w:val="21"/>
        </w:rPr>
      </w:pPr>
    </w:p>
    <w:p>
      <w:pPr>
        <w:pStyle w:val="4"/>
        <w:numPr>
          <w:ilvl w:val="0"/>
          <w:numId w:val="55"/>
        </w:numPr>
      </w:pPr>
      <w:r>
        <w:t>预计负债</w:t>
      </w:r>
    </w:p>
    <w:sdt>
      <w:sdtPr>
        <w:rPr>
          <w:rFonts w:hint="eastAsia"/>
          <w:szCs w:val="21"/>
        </w:rPr>
        <w:alias w:val="是否适用：预计负债_重要会计政策和估计[双击切换]"/>
        <w:tag w:val="_GBC_546a7423773c46d2b57f08fc5fdbc638"/>
        <w:id w:val="6650"/>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4"/>
        <w:numPr>
          <w:ilvl w:val="0"/>
          <w:numId w:val="55"/>
        </w:numPr>
      </w:pPr>
      <w:r>
        <w:rPr>
          <w:rFonts w:hint="eastAsia"/>
        </w:rPr>
        <w:t>股份支付</w:t>
      </w:r>
    </w:p>
    <w:sdt>
      <w:sdtPr>
        <w:rPr>
          <w:rFonts w:hint="eastAsia"/>
          <w:szCs w:val="21"/>
        </w:rPr>
        <w:alias w:val="是否适用：股份支付_重要会计政策和估计[双击切换]"/>
        <w:tag w:val="_GBC_7741eb89da65434190830ba1cd87e4dc"/>
        <w:id w:val="6651"/>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4"/>
        <w:numPr>
          <w:ilvl w:val="0"/>
          <w:numId w:val="55"/>
        </w:numPr>
      </w:pPr>
      <w:r>
        <w:rPr>
          <w:rFonts w:hint="eastAsia"/>
        </w:rPr>
        <w:t>优先股、永续债等其他金融工具</w:t>
      </w:r>
    </w:p>
    <w:sdt>
      <w:sdtPr>
        <w:rPr>
          <w:rFonts w:hint="eastAsia"/>
          <w:szCs w:val="21"/>
        </w:rPr>
        <w:alias w:val="是否适用：优先股、永续债等其他金融工具[双击切换]"/>
        <w:tag w:val="_GBC_00e1aed4ff2c40d6bda73971e87d6eb8"/>
        <w:id w:val="6652"/>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sdt>
      <w:sdtPr>
        <w:tag w:val="_PLD_4c9e6e90c95f4ff88eea0452e3e45736"/>
        <w:id w:val="6653"/>
      </w:sdtPr>
      <w:sdtEndPr>
        <w:rPr>
          <w:rFonts w:ascii="Calibri" w:hAnsi="Calibri" w:cs="Times New Roman"/>
          <w:b/>
          <w:bCs/>
          <w:kern w:val="2"/>
        </w:rPr>
      </w:sdtEndPr>
      <w:sdtContent>
        <w:p>
          <w:pPr>
            <w:pStyle w:val="4"/>
            <w:numPr>
              <w:ilvl w:val="0"/>
              <w:numId w:val="55"/>
            </w:numPr>
            <w:rPr>
              <w:szCs w:val="21"/>
            </w:rPr>
          </w:pPr>
          <w:bookmarkStart w:id="205" w:name="_Hlk533668053"/>
          <w:r>
            <w:rPr>
              <w:rFonts w:hint="eastAsia"/>
              <w:szCs w:val="21"/>
            </w:rPr>
            <w:t>收入</w:t>
          </w:r>
        </w:p>
      </w:sdtContent>
    </w:sdt>
    <w:p>
      <w:pPr>
        <w:pStyle w:val="5"/>
        <w:numPr>
          <w:ilvl w:val="3"/>
          <w:numId w:val="60"/>
        </w:numPr>
        <w:rPr>
          <w:rFonts w:hint="eastAsia"/>
          <w:szCs w:val="21"/>
        </w:rPr>
      </w:pPr>
      <w:r>
        <w:rPr>
          <w:rFonts w:hint="eastAsia"/>
          <w:szCs w:val="21"/>
        </w:rPr>
        <w:t>按照业务类型披露收入确认和计量所采用的会计政策</w:t>
      </w:r>
    </w:p>
    <w:sdt>
      <w:sdtPr>
        <w:rPr>
          <w:szCs w:val="21"/>
        </w:rPr>
        <w:alias w:val="是否适用：收入确认和计量所采用的会计政策[双击切换]"/>
        <w:tag w:val="_GBC_58b9f76eca7b4d9d8e5c5dfd0fba5c09"/>
        <w:id w:val="6654"/>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szCs w:val="21"/>
        </w:rPr>
        <w:alias w:val="收入确认和计量所采用的会计政策"/>
        <w:tag w:val="_GBC_9ba2713a8f0a44ef9a4ee890aa13e0fb"/>
        <w:id w:val="6655"/>
        <w:placeholder>
          <w:docPart w:val="GBC22222222222222222222222222222"/>
        </w:placeholder>
      </w:sdtPr>
      <w:sdtEndPr>
        <w:rPr>
          <w:rFonts w:hint="eastAsia"/>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本公司在履行了合同中的履约义务，即在客户取得相关商品或服务控制权时确认收入。取得相关商品或服务控制权，是指能够主导该商品或服务的使用并从中获得几乎全部的经济利益。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合同中包含两项或多项履约义务的，本公司在合同开始日，按照各单项履约义务所承诺商品或服务的单独售价的相对比例，将交易价格分摊至各单项履约义务。本公司按照分摊至各单项履约义务的交易价格计量收入。</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交易价格是指本公司因向客户转让商品或服务而预期有权收取的对价金额，不包括代第三方收取的款项以及预期将退还给客户的款项。本公司根据合同条款，结合其以往的习惯做法确定交易价格，并在确定交易价格时，考虑可变对价、合同中存在的重大融资成分、非现金对价、应付客户对价等因素的影响。本公司以不超过在相关不确定性消除时累计已确认收入极可能不会发生重大转回的金额确定包含可变对价的交易价格。合同中存在重大融资成分的，本公司按照假定客户在取得商品或服务控制权时即以现金支付的应付金额确定交易价格，并在合同期间内采用实际利率法摊销该交易价格与合同对价之间的差额。</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满足下列条件之一的，属于在某一时段内履行履约义务，否则，属于在某一时点履行履约义务：</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•客户在本公司履约的同时即取得并消耗本公司履约所带来的经济利益。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•客户能够控制本公司履约过程中在建的商品。</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•本公司履约过程中所产出的商品具有不可替代用途，且本公司在整个合同期内有权就累计至今已完成的履约部分收取款项。</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对于在某一时段内履行的履约义务，本公司在该段时间内按照履约进度确认收入，但是，履约进度不能合理确定的除外。本公司考虑商品或服务的性质，采用产出法或投入法确定履约进度。当履约进度不能合理确定时，已经发生的成本预计能够得到补偿的，本公司按照已经发生的成本金额确认收入，直到履约进度能够合理确定为止。</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对于在某一时点履行的履约义务，本公司在客户取得相关商品或服务控制权时点确认收入。在判断客户是否已取得商品或服务控制权时，本公司考虑下列迹象：</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•本公司就该商品或服务享有现时收款权利，即客户就该商品或服务负有现时付款义务。</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•本公司已将该商品的法定所有权转移给客户，即客户已拥有该商品的法定所有权。</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•本公司已将该商品实物转移给客户，即客户已实物占有该商品。</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ascii="Times New Roman" w:hAnsi="Times New Roman" w:eastAsia="宋体" w:cs="Times New Roman"/>
              <w:sz w:val="21"/>
              <w:szCs w:val="21"/>
            </w:rPr>
            <w:t>•</w:t>
          </w:r>
          <w:r>
            <w:rPr>
              <w:rFonts w:hint="eastAsia"/>
              <w:szCs w:val="21"/>
            </w:rPr>
            <w:t>本公司已将该商品所有权上的主要风险和报酬转移给客户，即客户已取得该商品所有权上的主要风险和报酬。</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（2）本公司取得收入的主要活动相关的具体会计政策描述如下：</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内销：公司以客户收到货物并验收合格后，本公司认定客户取得相关商品控制权，确认收入的实现。</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外销：公司出口产品在销售定价交易模式为FOB方式下，公司以货物装船，报关出口时，本公司认定客户取得相关商品控制权，确认收入的实现；在销售定价交易模式为CIF或C&amp;F方式下，公司以货物报关出口并交付提单后，本公司认定客户取得相关商品控制权，确认收入的实现。</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商品贸易：公司在向客户转让商品前能够控制该商品，公司为主要责任人，按照已收或应收对价总额确认收入。</w:t>
          </w:r>
        </w:p>
      </w:sdtContent>
    </w:sdt>
    <w:p>
      <w:pPr>
        <w:rPr>
          <w:szCs w:val="21"/>
        </w:rPr>
      </w:pPr>
    </w:p>
    <w:bookmarkEnd w:id="205"/>
    <w:p>
      <w:pPr>
        <w:pStyle w:val="5"/>
        <w:numPr>
          <w:ilvl w:val="3"/>
          <w:numId w:val="60"/>
        </w:numPr>
        <w:ind w:left="426" w:hanging="426"/>
        <w:rPr>
          <w:rFonts w:hint="eastAsia"/>
          <w:szCs w:val="21"/>
        </w:rPr>
      </w:pPr>
      <w:bookmarkStart w:id="206" w:name="_Hlk533668087"/>
      <w:r>
        <w:rPr>
          <w:rFonts w:hint="eastAsia" w:ascii="宋体" w:hAnsi="宋体" w:eastAsia="宋体" w:cs="宋体"/>
          <w:bCs w:val="0"/>
          <w:kern w:val="0"/>
          <w:szCs w:val="21"/>
        </w:rPr>
        <w:t>同类业务采用不同经营模式涉及</w:t>
      </w:r>
      <w:r>
        <w:rPr>
          <w:rFonts w:cs="宋体"/>
          <w:kern w:val="0"/>
          <w:szCs w:val="21"/>
        </w:rPr>
        <w:t>不同收入确认方式及计量方法</w:t>
      </w:r>
    </w:p>
    <w:sdt>
      <w:sdtPr>
        <w:rPr>
          <w:szCs w:val="21"/>
        </w:rPr>
        <w:alias w:val="是否适用：同类业务采用不同经营模式导致收入确认会计政策存在差异的情况[双击切换]"/>
        <w:tag w:val="_GBC_778cfed951bb4cf4997e2d67e4b1e3a9"/>
        <w:id w:val="6656"/>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bookmarkEnd w:id="206"/>
    <w:p>
      <w:pPr>
        <w:pStyle w:val="4"/>
        <w:numPr>
          <w:ilvl w:val="0"/>
          <w:numId w:val="55"/>
        </w:numPr>
        <w:rPr>
          <w:szCs w:val="21"/>
        </w:rPr>
      </w:pPr>
      <w:bookmarkStart w:id="207" w:name="_Hlk533668133"/>
      <w:r>
        <w:rPr>
          <w:rFonts w:hint="eastAsia"/>
          <w:szCs w:val="21"/>
        </w:rPr>
        <w:t>合同成本</w:t>
      </w:r>
    </w:p>
    <w:sdt>
      <w:sdtPr>
        <w:alias w:val="是否适用：合同成本_重要会计政策和估计[双击切换]"/>
        <w:tag w:val="_GBC_c5b4accd569d48e8a81ed05eb0bf64fb"/>
        <w:id w:val="6657"/>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 xml:space="preserve">合同履约成本，是指本公司为履行合同发生的成本，该成本不属于收入准则以外的其他准则规范范围且同时满足下列条件： </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（1）该成本与一份当前或预期取得的合同直接相关，包括直接人工、直接材料、制造费用（或类似费用）、明确由客户承担的成本以及仅因该合同而发生的其他成本；</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 xml:space="preserve">（2）该成本增加了本公司未来用于履行履约义务的资源； </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 xml:space="preserve">（3）该成本预期能够收回。 </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 xml:space="preserve">本公司的下列支出于发生时，计入当期损益： </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（1）管理费用。</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 xml:space="preserve">（2）非正常消耗的直接材料、直接人工和制造费用（或类似费用），这些支出为履行合同发生，但未反映在合同价格中。 </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 xml:space="preserve">（3）与履约义务中已履行部分相关的支出。 </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 xml:space="preserve">（4）无法在尚未履行的与已履行的履约义务之间区分的相关支出。 </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本公司为取得合同发生的增量成本预期能够收回的，作为合同取得成本确认为一项资产；如该资产摊销期限不超过一年的，在发生时计入当期损益。增量成本，是指本公司不取得合同就不会发生的成本（如销售佣金等）。本公司为取得合同发生的、除预期能够收回的增量成本之外的其他支出（如无论是否取得合同均会发生的差旅费等），在发生时计入当期损益，但是，明确由客户承担的除外。</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本公司与合同成本有关的资产，应当采用与该资产相关的商品收入确认相同的基础进行摊销，计入当期损益。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本公司与合同成本有关的资产，其账面价值高于下列两项的差额的，超出部分计提减值准备，并确认为资产减值损失：</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（1）本公司因转让与该资产相关的商品预期能够取得的剩余对价；</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（2）为转让该相关商品估计将要发生的成本。</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以前期间减值的因素之后发生变化，使得上述（1）减（2）的差额高于该资产账面价值的，本公司转回原已计提的资产减值准备，并计入当期损益，但转回后的资产账面价值不超过假定不计提减值准备情况下该资产在转回日的账面价值。</w:t>
      </w:r>
    </w:p>
    <w:bookmarkEnd w:id="207"/>
    <w:p>
      <w:pPr>
        <w:pStyle w:val="4"/>
        <w:numPr>
          <w:ilvl w:val="0"/>
          <w:numId w:val="55"/>
        </w:numPr>
      </w:pPr>
      <w:bookmarkStart w:id="208" w:name="_Hlk533668149"/>
      <w:r>
        <w:t>政府补助</w:t>
      </w:r>
    </w:p>
    <w:sdt>
      <w:sdtPr>
        <w:alias w:val="是否适用：政府补助_重要会计政策和估计[双击切换]"/>
        <w:tag w:val="_GBC_d8ac76c6a68c49fb952fadc0e46c9ef4"/>
        <w:id w:val="6659"/>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b/>
          <w:bCs/>
        </w:rPr>
        <w:alias w:val="政府补助_重要会计政策和估计"/>
        <w:tag w:val="_GBC_cbcbe4da2edd4cf1b6108f1c89e035f7"/>
        <w:id w:val="6660"/>
        <w:placeholder>
          <w:docPart w:val="GBC22222222222222222222222222222"/>
        </w:placeholder>
      </w:sdtPr>
      <w:sdtEndPr>
        <w:rPr>
          <w:rFonts w:hint="eastAsia"/>
          <w:b/>
          <w:bCs/>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（1）类型</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政府补助，是本公司从政府无偿取得的货币性资产与非货币性资产。根据相关政府文件规定的补助对象，将政府补助划分为与资产相关的政府补助和与收益相关的政府补助。</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与资产相关的政府补助，是指本公司取得的、用于购建或以其他方式形成长期资产的政府补助。与收益相关的政府补助，是指除与资产相关的政府补助之外的政府补助。</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若政府文件未明确规定补助对象，将该政府补助划分为与资产相关或与收益相关的判断依据：①政府文件明确了补助所针对的特定项目的，根据该特定项目的预算中将形成资产的支出金额和计入费用的支出金额的相对比例进行划分，对该划分比例需在每个资产负债表日进行复核，必要时进行变更；②政府文件中对用途仅作一般性表述，没有指明特定项目的，作为与收益相关的政府补助。</w:t>
          </w:r>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（2）政府补助的确认</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对期末有证据表明公司能够符合财政扶持政策规定的相关条件且预计能够收到财政扶持资金的，按应收金额确认政府补助。除此之外，政府补助均在实际收到时确认。</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政府补助为货币性资产的，按照收到或应收的金额计量。政府补助为非货币性资产的，按照公允价值计量；公允价值不能够可靠取得的，按照名义金额（人民币1元）计量。按照名义金额计量的政府补助，直接计入当期损益。</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b/>
              <w:bCs/>
              <w:szCs w:val="21"/>
            </w:rPr>
          </w:pPr>
          <w:r>
            <w:rPr>
              <w:rFonts w:hint="eastAsia"/>
              <w:b/>
              <w:bCs/>
              <w:szCs w:val="21"/>
            </w:rPr>
            <w:t>（3）会计处理方法</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本公司根据经济业务的实质，确定某一类政府补助业务应当采用总额法还是净额法进行会计处理。通常情况下，本公司对于同类或类似政府补助业务只选用一种方法，且对该业务一贯地运用该方法。</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与资产相关的政府补助，应当冲减相关资产的账面价值或确认为递延收益。与资产相关的政府补助确认为递延收益的，在所建造或购买资产使用寿命内按照合理、系统的方法分期计入损益。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与收益相关的政府补助，用于补偿企业以后期间的相关费用或损失的，确认为递延收益，在确认相关费用或损失的期间计入当期损益或冲减相关成本；用于补偿企业已发生的相关费用或损失的，取得时直接计入当期损益或冲减相关成本。</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与企业日常活动相关的政府补助计入其他收益或冲减相关成本费用；与企业日常活动无关的政府补助计入营业外收支。</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收到与政策性优惠贷款贴息相关的政府补助冲减相关借款费用；取得贷款银行提供的政策性优惠利率贷款的，以实际收到的借款金额作为借款的入账价值，按照借款本金和该政策性优惠利率计算相关借款费用。</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szCs w:val="21"/>
            </w:rPr>
          </w:pPr>
          <w:r>
            <w:rPr>
              <w:rFonts w:hint="eastAsia"/>
              <w:szCs w:val="21"/>
            </w:rPr>
            <w:t>已确认的政府补助需要返还时，初始确认时冲减相关资产账面价值的，调整资产账面价值；存在相关递延收益余额的，冲减相关递延收益账面余额，超出部分计入当期损益；不存在相关递延收益的，直接计入当期损益。</w:t>
          </w:r>
        </w:p>
      </w:sdtContent>
    </w:sdt>
    <w:p/>
    <w:bookmarkEnd w:id="208"/>
    <w:p>
      <w:pPr>
        <w:pStyle w:val="4"/>
        <w:numPr>
          <w:ilvl w:val="0"/>
          <w:numId w:val="55"/>
        </w:numPr>
      </w:pPr>
      <w:r>
        <w:t>递延所得税资产/递延所得税负债</w:t>
      </w:r>
    </w:p>
    <w:sdt>
      <w:sdtPr>
        <w:rPr>
          <w:rFonts w:hint="eastAsia"/>
          <w:szCs w:val="21"/>
        </w:rPr>
        <w:alias w:val="是否适用：所得税的会计处理方法[双击切换]"/>
        <w:tag w:val="_GBC_7e8295f4559b44568e5d37a6a605588c"/>
        <w:id w:val="6661"/>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szCs w:val="21"/>
        </w:rPr>
        <w:alias w:val="所得税的会计处理方法"/>
        <w:tag w:val="_GBC_545dd84ed2b9458fa5e2b87aa1e1cc1c"/>
        <w:id w:val="6662"/>
        <w:placeholder>
          <w:docPart w:val="GBC22222222222222222222222222222"/>
        </w:placeholder>
      </w:sdtPr>
      <w:sdtEndPr>
        <w:rPr>
          <w:rFonts w:hint="eastAsia" w:ascii="Times New Roman" w:hAnsi="Times New Roman" w:eastAsia="宋体" w:cs="Times New Roman"/>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递延所得税资产和递延所得税负债根据资产和负债的计税基础与其账面价值的差额(暂时性差异)计算确认。于资产负债表日，递延所得税资产和递延所得税负债，按照预期收回该资产或清偿该负债期间的适用税率计量。</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（1）确认递延所得税资产的依据</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本公司以很可能取得用来抵扣可抵扣暂时性差异、能够结转以后年度的可抵扣亏损和税款抵减的应纳税所得额为限，确认由可抵扣暂时性差异产生的递延所得税资产。但是，同时具有下列特征的交易中因资产或负债的初始确认所产生的递延所得税资产不予确认：①该交易不是企业合并；②交易发生时既不影响会计利润也不影响应纳税所得额或可抵扣亏损。</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对于与联营企业投资相关的可抵扣暂时性差异，同时满足下列条件的，确认相应的递延所得税资产：暂时性差异在可预见的未来很可能转回，且未来很可能获得用来抵扣可抵扣暂时性差异的应纳税所得额。</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（2）确认递延所得税负债的依据</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公司将当期与以前期间应交未交的应纳税暂时性差异确认为递延所得税负债。但不包括：</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①商誉的初始确认所形成的暂时性差异；</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②非企业合并形成的交易或事项，且该交易或事项发生时既不影响会计利润，也不影响应纳税所得额（或可抵扣亏损）所形成的暂时性差异；</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③对于与子公司、联营企业投资相关的应纳税暂时性差异，该暂时性差异转回的时间能够控制并且该暂时性差异在可预见的未来很可能不会转回。</w:t>
          </w:r>
        </w:p>
      </w:sdtContent>
    </w:sd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cs="Times New Roman"/>
          <w:sz w:val="21"/>
          <w:szCs w:val="21"/>
        </w:rPr>
      </w:pPr>
    </w:p>
    <w:sdt>
      <w:sdtPr>
        <w:tag w:val="_PLD_556395366a3545cd9637a0e305b790bd"/>
        <w:id w:val="6663"/>
      </w:sdtPr>
      <w:sdtContent>
        <w:p>
          <w:pPr>
            <w:pStyle w:val="4"/>
            <w:numPr>
              <w:ilvl w:val="0"/>
              <w:numId w:val="55"/>
            </w:numPr>
          </w:pPr>
          <w:r>
            <w:t>租赁</w:t>
          </w:r>
        </w:p>
      </w:sdtContent>
    </w:sdt>
    <w:sdt>
      <w:sdtPr>
        <w:alias w:val="是否适用：租赁_重要会计政策和估计[双击切换]"/>
        <w:tag w:val="_GBC_6915a792f5f54d76bb3c5c2090ce337f"/>
        <w:id w:val="6664"/>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rFonts w:ascii="Calibri" w:hAnsi="Calibri"/>
          <w:b/>
          <w:kern w:val="2"/>
          <w:szCs w:val="32"/>
        </w:rPr>
      </w:pPr>
      <w:r>
        <w:rPr>
          <w:rFonts w:ascii="Calibri" w:hAnsi="Calibri"/>
          <w:b/>
          <w:kern w:val="2"/>
          <w:szCs w:val="32"/>
        </w:rPr>
        <w:t>作为承租方对短期租赁和低价值资产租赁进行简化处理的判断依据和会计处理方法</w:t>
      </w:r>
    </w:p>
    <w:sdt>
      <w:sdtPr>
        <w:rPr>
          <w:szCs w:val="21"/>
        </w:rPr>
        <w:alias w:val="是否适用：作为承租方对短期租赁和低价值资产租赁进行简化处理的判断依据和会计处理方法[双击切换]"/>
        <w:tag w:val="_GBC_96c8873101a04b4ab58dc379b95e7de7"/>
        <w:id w:val="6665"/>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ascii="Times New Roman" w:hAnsi="Times New Roman" w:eastAsia="宋体" w:cs="Times New Roman"/>
          <w:sz w:val="21"/>
          <w:szCs w:val="21"/>
        </w:rPr>
        <w:alias w:val="作为承租方对短期租赁和低价值资产租赁进行简化处理的判断依据和会计处理方法"/>
        <w:tag w:val="_GBC_608ebcbb99ad40879d4235963013eef6"/>
        <w:id w:val="6666"/>
        <w:placeholder>
          <w:docPart w:val="GBC22222222222222222222222222222"/>
        </w:placeholder>
      </w:sdtPr>
      <w:sdtEndPr>
        <w:rPr>
          <w:rFonts w:hint="eastAsia" w:ascii="Times New Roman" w:hAnsi="Times New Roman" w:eastAsia="宋体" w:cs="Times New Roman"/>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在合同开始日，本公司作为承租人或出租人评估合同中的客户是否有权获得在使用期间内因使用已识别资产所产生的几乎全部经济利益，并有权在该使用期间主导已识别资产的使用。如果合同中一方让渡了在一定期间内控制一项或多项已识别资产使用的权利以换取对价，则本公司认定合同为租赁或者包含租赁。</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租赁负债按照租赁期开始日尚未支付的租赁付款额按照租赁内含利率或增量借款利率计算的现值进行初始计量。租赁付款额包括：固定付款额及实质固定付款额，存在租赁激励的，扣除租赁激励相关金额；取决于指数或比率的可变租赁付款额；购买选择权的行权价格，前提是承租人合理确定将行使该选择权；行使终止租赁选择权需支付的款项，前提是租赁期反映出承租人将行使终止租赁选择权；以及根据承租人提供的担保余值预计应支付的款项。后续按照固定的周期性利率计算租赁负债在租赁期内各期间的利息费用，并计入当期损益。未纳入租赁负债计量的可变租赁付款额在实际发生时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短期租赁</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短期租赁是指在租赁期开始日，租赁期不超过12个月的租赁，包含购买选择权的租赁除外。</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本公司将短期租赁的租赁付款额，在租赁期内各个期间按照直线法或其他系统合理的方法计入相关资产成本或当期损益。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对于短期租赁，本公司按照租赁资产的类别将下列资产类型中满足短期租赁条件的项目选择采用上述简化处理方法。</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低价值资产租赁</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低价值资产租赁是指单项租赁资产为全新资产时价值低于4万元的租赁。</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本公司将低价值资产租赁的租赁付款额，在租赁期内各个期间按照直线法或其他系统合理的方法计入相关资产成本或当期损益。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对于低价值资产租赁，本公司根据每项租赁的具体情况选择采用上述简化处理方法。</w:t>
          </w:r>
        </w:p>
      </w:sdtContent>
    </w:sdt>
    <w:p>
      <w:pPr>
        <w:rPr>
          <w:rFonts w:ascii="Calibri" w:hAnsi="Calibri"/>
          <w:kern w:val="2"/>
          <w:szCs w:val="32"/>
        </w:rPr>
      </w:pPr>
    </w:p>
    <w:p>
      <w:pPr>
        <w:rPr>
          <w:rFonts w:ascii="Calibri" w:hAnsi="Calibri"/>
          <w:b/>
          <w:kern w:val="2"/>
          <w:szCs w:val="32"/>
        </w:rPr>
      </w:pPr>
      <w:r>
        <w:rPr>
          <w:rFonts w:ascii="Calibri" w:hAnsi="Calibri"/>
          <w:b/>
          <w:kern w:val="2"/>
          <w:szCs w:val="32"/>
        </w:rPr>
        <w:t>作为出租方的租赁分类标准和会计处理方法</w:t>
      </w:r>
    </w:p>
    <w:sdt>
      <w:sdtPr>
        <w:rPr>
          <w:szCs w:val="21"/>
        </w:rPr>
        <w:alias w:val="是否适用：作为出租方的租赁分类标准和会计处理方法[双击切换]"/>
        <w:tag w:val="_GBC_4ce66446786b4db69563b4f1b2b86d89"/>
        <w:id w:val="6667"/>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szCs w:val="21"/>
        </w:rPr>
        <w:alias w:val="作为出租方的租赁分类标准和会计处理方法"/>
        <w:tag w:val="_GBC_ca849938b2044c5a8ca6cd68a06181a3"/>
        <w:id w:val="6668"/>
        <w:placeholder>
          <w:docPart w:val="GBC22222222222222222222222222222"/>
        </w:placeholder>
      </w:sdtPr>
      <w:sdtEndPr>
        <w:rPr>
          <w:rFonts w:hint="eastAsia" w:ascii="Times New Roman" w:hAnsi="Times New Roman" w:eastAsia="宋体" w:cs="Times New Roman"/>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本公司作为出租人时，将实质上转移了与资产所有权有关的全部风险和报酬的租赁确认为融资租赁，除融资租赁之外的其他租赁确认为经营租赁。</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融资租赁</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融资租赁中，在租赁期开始日本公司按租赁投资净额作为应收融资租赁款的入账价值，租赁投资净额为未担保余值和租赁期开始日尚未收到的租赁收款额按照租赁内含利率折现的现值之和。本公司作为出租人按照固定的周期性利率计算并确认租赁期内各个期间的利息收入。本公司作为出租人取得的未纳入租赁投资净额计量的可变租赁付款额在实际发生时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应收融资租赁款的终止确认和减值按照《企业会计准则第22号——金融工具确认和计量》和《企业会计准则第23号——金融资产转移》的规定进行会计处理。</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经营租赁</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经营租赁中的租金，本公司在租赁期内各个期间按照直线法【或其他更为系统合理的方法】确认当期损益。发生的与经营租赁有关的初始直接费用应当资本化，在租赁期内按照与租金收入确认相同的基础进行分摊，分期计入当期损益。取得的与经营租赁有关的未计入租赁收款额的可变租赁付款额，在实际发生时计入当期损益。</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转租赁</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本公司作为转租出租人时，基于原租赁产生的使用权资产对转租赁进行分类。原租赁为短期租赁，且本集团对原租赁进行简化处理的，将该转租赁分类为经营租赁。</w:t>
          </w:r>
        </w:p>
      </w:sdtContent>
    </w:sd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cs="Times New Roman"/>
          <w:sz w:val="21"/>
          <w:szCs w:val="21"/>
        </w:rPr>
      </w:pPr>
    </w:p>
    <w:p>
      <w:pPr>
        <w:pStyle w:val="4"/>
        <w:numPr>
          <w:ilvl w:val="0"/>
          <w:numId w:val="55"/>
        </w:numPr>
      </w:pPr>
      <w:r>
        <w:rPr>
          <w:rFonts w:hint="eastAsia"/>
        </w:rPr>
        <w:t>其他重要的会计政策和会计估计</w:t>
      </w:r>
    </w:p>
    <w:sdt>
      <w:sdtPr>
        <w:rPr>
          <w:rFonts w:hint="eastAsia"/>
          <w:szCs w:val="21"/>
        </w:rPr>
        <w:alias w:val="是否适用：其他重要的会计政策和会计估计[双击切换]"/>
        <w:tag w:val="_GBC_b463c26b00e64f799c5b85b2c1c805fb"/>
        <w:id w:val="6669"/>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4"/>
        <w:numPr>
          <w:ilvl w:val="0"/>
          <w:numId w:val="55"/>
        </w:numPr>
      </w:pPr>
      <w:r>
        <w:rPr>
          <w:rFonts w:hint="eastAsia"/>
        </w:rPr>
        <w:t>重要</w:t>
      </w:r>
      <w:r>
        <w:t>会计政策</w:t>
      </w:r>
      <w:r>
        <w:rPr>
          <w:rFonts w:hint="eastAsia"/>
        </w:rPr>
        <w:t>和</w:t>
      </w:r>
      <w:r>
        <w:t>会计估计的变更</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szCs w:val="21"/>
        </w:rPr>
      </w:pPr>
      <w:bookmarkStart w:id="209" w:name="_Hlk190174246"/>
      <w:r>
        <w:rPr>
          <w:rFonts w:hint="eastAsia" w:ascii="Times New Roman" w:hAnsi="Times New Roman" w:eastAsia="宋体" w:cs="Times New Roman"/>
          <w:sz w:val="21"/>
          <w:szCs w:val="21"/>
        </w:rPr>
        <w:t>详见“重要事项”的“公司对会计政策、会计估计变更或重大会计差错更正原因和影响的分析说明”</w:t>
      </w:r>
    </w:p>
    <w:p>
      <w:pPr>
        <w:rPr>
          <w:szCs w:val="21"/>
        </w:rPr>
      </w:pPr>
    </w:p>
    <w:bookmarkEnd w:id="209"/>
    <w:sdt>
      <w:sdtPr>
        <w:rPr>
          <w:rFonts w:ascii="宋体" w:hAnsi="宋体" w:cs="宋体"/>
          <w:b w:val="0"/>
          <w:bCs w:val="0"/>
          <w:kern w:val="0"/>
          <w:szCs w:val="24"/>
        </w:rPr>
        <w:alias w:val="选项模块:首次执行新金融工具准则、新收入准则、新租赁准则调整首次执行当年年初财务报表相关项目情况"/>
        <w:tag w:val="_SEC_26cb0ff2f40c4cec8cc5f95eaa49a269"/>
        <w:id w:val="6670"/>
        <w:placeholder>
          <w:docPart w:val="GBC22222222222222222222222222222"/>
        </w:placeholder>
      </w:sdtPr>
      <w:sdtEndPr>
        <w:rPr>
          <w:rFonts w:ascii="Times New Roman" w:hAnsi="Times New Roman" w:cs="Times New Roman"/>
          <w:b w:val="0"/>
          <w:bCs w:val="0"/>
          <w:kern w:val="0"/>
          <w:szCs w:val="21"/>
        </w:rPr>
      </w:sdtEndPr>
      <w:sdtContent>
        <w:p>
          <w:pPr>
            <w:pStyle w:val="4"/>
            <w:numPr>
              <w:ilvl w:val="0"/>
              <w:numId w:val="55"/>
            </w:numPr>
          </w:pPr>
          <w:bookmarkStart w:id="210" w:name="_Hlk10465969"/>
          <w:bookmarkEnd w:id="210"/>
          <w:bookmarkStart w:id="211" w:name="_Hlk24100246"/>
          <w:r>
            <w:rPr>
              <w:rFonts w:asciiTheme="majorEastAsia" w:hAnsiTheme="majorEastAsia" w:eastAsiaTheme="majorEastAsia"/>
            </w:rPr>
            <w:t>2025</w:t>
          </w:r>
          <w:r>
            <w:t>年</w:t>
          </w:r>
          <w:r>
            <w:rPr>
              <w:rFonts w:hint="eastAsia"/>
            </w:rPr>
            <w:t>起首次执行新会计准则或准则解释等涉及调整首次执行当年年初的财务报表</w:t>
          </w:r>
        </w:p>
        <w:sdt>
          <w:sdtPr>
            <w:rPr>
              <w:rFonts w:hint="eastAsia"/>
            </w:rPr>
            <w:alias w:val="是否适用：首次执行新金融工具准则或新收入准则调整首次执行当年年初财务报表相关项目情况[双击切换]"/>
            <w:tag w:val="_GBC_e1701479a1654e0d9f4b2ffb99c13db0"/>
            <w:id w:val="6671"/>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Content>
    </w:sdt>
    <w:bookmarkEnd w:id="211"/>
    <w:p>
      <w:pPr>
        <w:pStyle w:val="4"/>
        <w:numPr>
          <w:ilvl w:val="0"/>
          <w:numId w:val="55"/>
        </w:numPr>
      </w:pPr>
      <w:bookmarkStart w:id="212" w:name="_Hlk24100423"/>
      <w:bookmarkEnd w:id="212"/>
      <w:r>
        <w:rPr>
          <w:rFonts w:hint="eastAsia"/>
        </w:rPr>
        <w:t>其他</w:t>
      </w:r>
    </w:p>
    <w:sdt>
      <w:sdtPr>
        <w:rPr>
          <w:rFonts w:hint="eastAsia"/>
          <w:szCs w:val="21"/>
        </w:rPr>
        <w:alias w:val="是否适用：公司主要会计政策、会计估计和前期差错的其他说明[双击切换]"/>
        <w:tag w:val="_GBC_bcb348c2b015461e9de30ce69ad888ae"/>
        <w:id w:val="6672"/>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sdt>
      <w:sdtPr>
        <w:tag w:val="_PLD_99a55b517b52449785f0e7131cf3cebc"/>
        <w:id w:val="6673"/>
      </w:sdtPr>
      <w:sdtContent>
        <w:p>
          <w:pPr>
            <w:pStyle w:val="3"/>
            <w:numPr>
              <w:ilvl w:val="0"/>
              <w:numId w:val="52"/>
            </w:numPr>
            <w:rPr>
              <w:rFonts w:hint="eastAsia" w:ascii="宋体" w:hAnsi="宋体"/>
            </w:rPr>
          </w:pPr>
          <w:r>
            <w:rPr>
              <w:rFonts w:hint="eastAsia" w:ascii="宋体" w:hAnsi="宋体"/>
            </w:rPr>
            <w:t>税项</w:t>
          </w:r>
        </w:p>
      </w:sdtContent>
    </w:sdt>
    <w:p>
      <w:pPr>
        <w:pStyle w:val="4"/>
        <w:numPr>
          <w:ilvl w:val="0"/>
          <w:numId w:val="61"/>
        </w:numPr>
        <w:tabs>
          <w:tab w:val="left" w:pos="546"/>
        </w:tabs>
      </w:pPr>
      <w:r>
        <w:t>主要税种及税率</w:t>
      </w:r>
    </w:p>
    <w:p>
      <w:r>
        <w:t>主要税种及税率</w:t>
      </w:r>
      <w:r>
        <w:rPr>
          <w:rFonts w:hint="eastAsia"/>
        </w:rPr>
        <w:t>情况</w:t>
      </w:r>
    </w:p>
    <w:sdt>
      <w:sdtPr>
        <w:alias w:val="是否适用：主要税种及税率情况 [双击切换]"/>
        <w:tag w:val="_GBC_f900f926144b41b9ba020b5a24aff3c0"/>
        <w:id w:val="667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7"/>
        <w:gridCol w:w="3839"/>
        <w:gridCol w:w="3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tcBorders>
              <w:bottom w:val="single" w:color="auto" w:sz="4" w:space="0"/>
            </w:tcBorders>
            <w:vAlign w:val="center"/>
          </w:tcPr>
          <w:sdt>
            <w:sdtPr>
              <w:tag w:val="_PLD_b5758c089ae1414f99b1cc36321c29a1"/>
              <w:id w:val="6675"/>
            </w:sdtPr>
            <w:sdtContent>
              <w:p>
                <w:pPr>
                  <w:jc w:val="center"/>
                  <w:rPr>
                    <w:szCs w:val="21"/>
                  </w:rPr>
                </w:pPr>
                <w:r>
                  <w:rPr>
                    <w:szCs w:val="21"/>
                  </w:rPr>
                  <w:t>税种</w:t>
                </w:r>
              </w:p>
            </w:sdtContent>
          </w:sdt>
        </w:tc>
        <w:tc>
          <w:tcPr>
            <w:tcW w:w="3839" w:type="dxa"/>
            <w:vAlign w:val="center"/>
          </w:tcPr>
          <w:sdt>
            <w:sdtPr>
              <w:tag w:val="_PLD_0e1599c84a4d47cc8f6f9b3d3069a1bd"/>
              <w:id w:val="6676"/>
            </w:sdtPr>
            <w:sdtContent>
              <w:p>
                <w:pPr>
                  <w:jc w:val="center"/>
                  <w:rPr>
                    <w:szCs w:val="21"/>
                  </w:rPr>
                </w:pPr>
                <w:r>
                  <w:rPr>
                    <w:szCs w:val="21"/>
                  </w:rPr>
                  <w:t>计税依据</w:t>
                </w:r>
              </w:p>
            </w:sdtContent>
          </w:sdt>
        </w:tc>
        <w:tc>
          <w:tcPr>
            <w:tcW w:w="3121" w:type="dxa"/>
            <w:vAlign w:val="center"/>
          </w:tcPr>
          <w:sdt>
            <w:sdtPr>
              <w:tag w:val="_PLD_74e07bcec6714b078c64caa53447462a"/>
              <w:id w:val="6677"/>
            </w:sdtPr>
            <w:sdtContent>
              <w:p>
                <w:pPr>
                  <w:jc w:val="center"/>
                  <w:rPr>
                    <w:szCs w:val="21"/>
                  </w:rPr>
                </w:pPr>
                <w:r>
                  <w:rPr>
                    <w:szCs w:val="21"/>
                  </w:rPr>
                  <w:t>税率</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vMerge w:val="restart"/>
            <w:tcBorders>
              <w:top w:val="single" w:color="auto" w:sz="4" w:space="0"/>
              <w:left w:val="single" w:color="auto" w:sz="4" w:space="0"/>
              <w:right w:val="single" w:color="auto" w:sz="4" w:space="0"/>
            </w:tcBorders>
            <w:vAlign w:val="center"/>
          </w:tcPr>
          <w:p>
            <w:pPr>
              <w:rPr>
                <w:szCs w:val="21"/>
              </w:rPr>
            </w:pPr>
            <w:r>
              <w:rPr>
                <w:szCs w:val="21"/>
              </w:rPr>
              <w:t>增值税</w:t>
            </w:r>
          </w:p>
        </w:tc>
        <w:tc>
          <w:tcPr>
            <w:tcW w:w="3839" w:type="dxa"/>
            <w:tcBorders>
              <w:left w:val="single" w:color="auto" w:sz="4" w:space="0"/>
            </w:tcBorders>
            <w:vAlign w:val="center"/>
          </w:tcPr>
          <w:p>
            <w:pPr>
              <w:rPr>
                <w:szCs w:val="21"/>
              </w:rPr>
            </w:pPr>
            <w:r>
              <w:rPr>
                <w:rFonts w:hint="eastAsia"/>
                <w:color w:val="auto"/>
                <w:szCs w:val="21"/>
              </w:rPr>
              <w:t>销售商品收入</w:t>
            </w:r>
          </w:p>
        </w:tc>
        <w:tc>
          <w:tcPr>
            <w:tcW w:w="3121" w:type="dxa"/>
            <w:vAlign w:val="center"/>
          </w:tcPr>
          <w:p>
            <w:pPr>
              <w:jc w:val="right"/>
              <w:rPr>
                <w:szCs w:val="21"/>
              </w:rPr>
            </w:pPr>
            <w:r>
              <w:rPr>
                <w:rFonts w:hint="eastAsia"/>
                <w:color w:val="auto"/>
                <w:szCs w:val="21"/>
              </w:rPr>
              <w:t>9%、13%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vMerge w:val="continue"/>
            <w:tcBorders>
              <w:left w:val="single" w:color="auto" w:sz="4" w:space="0"/>
              <w:right w:val="single" w:color="auto" w:sz="4" w:space="0"/>
            </w:tcBorders>
            <w:vAlign w:val="center"/>
          </w:tcPr>
          <w:p>
            <w:pPr>
              <w:ind w:leftChars="0" w:firstLine="0" w:firstLineChars="0"/>
              <w:jc w:val="left"/>
              <w:rPr>
                <w:szCs w:val="21"/>
              </w:rPr>
            </w:pPr>
          </w:p>
        </w:tc>
        <w:tc>
          <w:tcPr>
            <w:tcW w:w="3839" w:type="dxa"/>
            <w:tcBorders>
              <w:left w:val="single" w:color="auto" w:sz="4" w:space="0"/>
            </w:tcBorders>
            <w:vAlign w:val="center"/>
          </w:tcPr>
          <w:p>
            <w:pPr>
              <w:rPr>
                <w:szCs w:val="21"/>
              </w:rPr>
            </w:pPr>
            <w:r>
              <w:rPr>
                <w:rFonts w:hint="eastAsia"/>
                <w:color w:val="auto"/>
                <w:szCs w:val="21"/>
              </w:rPr>
              <w:t>租金收入</w:t>
            </w:r>
          </w:p>
        </w:tc>
        <w:tc>
          <w:tcPr>
            <w:tcW w:w="3121" w:type="dxa"/>
            <w:vAlign w:val="center"/>
          </w:tcPr>
          <w:p>
            <w:pPr>
              <w:jc w:val="right"/>
              <w:rPr>
                <w:szCs w:val="21"/>
              </w:rPr>
            </w:pPr>
            <w:r>
              <w:rPr>
                <w:rFonts w:hint="eastAsia"/>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vMerge w:val="continue"/>
            <w:tcBorders>
              <w:left w:val="single" w:color="auto" w:sz="4" w:space="0"/>
              <w:bottom w:val="single" w:color="auto" w:sz="4" w:space="0"/>
              <w:right w:val="single" w:color="auto" w:sz="4" w:space="0"/>
            </w:tcBorders>
            <w:vAlign w:val="center"/>
          </w:tcPr>
          <w:p>
            <w:pPr>
              <w:ind w:leftChars="0" w:firstLine="0" w:firstLineChars="0"/>
              <w:jc w:val="left"/>
              <w:rPr>
                <w:szCs w:val="21"/>
              </w:rPr>
            </w:pPr>
          </w:p>
        </w:tc>
        <w:tc>
          <w:tcPr>
            <w:tcW w:w="3839" w:type="dxa"/>
            <w:tcBorders>
              <w:left w:val="single" w:color="auto" w:sz="4" w:space="0"/>
            </w:tcBorders>
            <w:vAlign w:val="center"/>
          </w:tcPr>
          <w:p>
            <w:pPr>
              <w:rPr>
                <w:szCs w:val="21"/>
              </w:rPr>
            </w:pPr>
            <w:r>
              <w:rPr>
                <w:rFonts w:hint="eastAsia"/>
                <w:color w:val="auto"/>
                <w:szCs w:val="21"/>
              </w:rPr>
              <w:t>利息收入</w:t>
            </w:r>
          </w:p>
        </w:tc>
        <w:tc>
          <w:tcPr>
            <w:tcW w:w="3121" w:type="dxa"/>
            <w:vAlign w:val="center"/>
          </w:tcPr>
          <w:p>
            <w:pPr>
              <w:jc w:val="right"/>
              <w:rPr>
                <w:szCs w:val="21"/>
              </w:rPr>
            </w:pPr>
            <w:r>
              <w:rPr>
                <w:rFonts w:hint="eastAsia"/>
                <w:color w:val="auto"/>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tcBorders>
              <w:top w:val="single" w:color="auto" w:sz="4" w:space="0"/>
            </w:tcBorders>
            <w:vAlign w:val="center"/>
          </w:tcPr>
          <w:sdt>
            <w:sdtPr>
              <w:tag w:val="_PLD_ac2e80b3e934498ab302db72c55f6367"/>
              <w:id w:val="6678"/>
            </w:sdtPr>
            <w:sdtContent>
              <w:p>
                <w:pPr>
                  <w:rPr>
                    <w:szCs w:val="21"/>
                  </w:rPr>
                </w:pPr>
                <w:r>
                  <w:rPr>
                    <w:szCs w:val="21"/>
                  </w:rPr>
                  <w:t>城市维护建设税</w:t>
                </w:r>
              </w:p>
            </w:sdtContent>
          </w:sdt>
        </w:tc>
        <w:tc>
          <w:tcPr>
            <w:tcW w:w="3839" w:type="dxa"/>
            <w:vAlign w:val="center"/>
          </w:tcPr>
          <w:p>
            <w:pPr>
              <w:rPr>
                <w:szCs w:val="21"/>
              </w:rPr>
            </w:pPr>
            <w:r>
              <w:rPr>
                <w:rFonts w:hint="eastAsia"/>
                <w:color w:val="auto"/>
                <w:szCs w:val="21"/>
              </w:rPr>
              <w:t>实缴流转税税额</w:t>
            </w:r>
          </w:p>
        </w:tc>
        <w:tc>
          <w:tcPr>
            <w:tcW w:w="3121" w:type="dxa"/>
            <w:vAlign w:val="center"/>
          </w:tcPr>
          <w:p>
            <w:pPr>
              <w:jc w:val="right"/>
              <w:rPr>
                <w:szCs w:val="21"/>
              </w:rPr>
            </w:pPr>
            <w:r>
              <w:rPr>
                <w:rFonts w:hint="eastAsia"/>
                <w:color w:val="auto"/>
                <w:szCs w:val="21"/>
              </w:rPr>
              <w:t>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vAlign w:val="center"/>
          </w:tcPr>
          <w:sdt>
            <w:sdtPr>
              <w:tag w:val="_PLD_16b8e5f8bc5b40599694aedafb44cecb"/>
              <w:id w:val="6679"/>
            </w:sdtPr>
            <w:sdtContent>
              <w:p>
                <w:pPr>
                  <w:rPr>
                    <w:szCs w:val="21"/>
                  </w:rPr>
                </w:pPr>
                <w:r>
                  <w:rPr>
                    <w:szCs w:val="21"/>
                  </w:rPr>
                  <w:t>教育费附加</w:t>
                </w:r>
              </w:p>
            </w:sdtContent>
          </w:sdt>
        </w:tc>
        <w:tc>
          <w:tcPr>
            <w:tcW w:w="3839" w:type="dxa"/>
            <w:vAlign w:val="center"/>
          </w:tcPr>
          <w:p>
            <w:pPr>
              <w:rPr>
                <w:szCs w:val="21"/>
              </w:rPr>
            </w:pPr>
            <w:r>
              <w:rPr>
                <w:rFonts w:hint="eastAsia"/>
                <w:color w:val="auto"/>
                <w:szCs w:val="21"/>
              </w:rPr>
              <w:t>实缴流转税税额</w:t>
            </w:r>
          </w:p>
        </w:tc>
        <w:tc>
          <w:tcPr>
            <w:tcW w:w="3121" w:type="dxa"/>
            <w:vAlign w:val="center"/>
          </w:tcPr>
          <w:p>
            <w:pPr>
              <w:jc w:val="right"/>
              <w:rPr>
                <w:szCs w:val="21"/>
              </w:rPr>
            </w:pPr>
            <w:r>
              <w:rPr>
                <w:rFonts w:hint="eastAsia"/>
                <w:color w:val="auto"/>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vAlign w:val="center"/>
          </w:tcPr>
          <w:p>
            <w:pPr>
              <w:ind w:leftChars="0" w:firstLine="0" w:firstLineChars="0"/>
              <w:jc w:val="left"/>
              <w:rPr>
                <w:szCs w:val="21"/>
              </w:rPr>
            </w:pPr>
            <w:r>
              <w:rPr>
                <w:szCs w:val="21"/>
              </w:rPr>
              <w:t>地方教育费附加</w:t>
            </w:r>
          </w:p>
        </w:tc>
        <w:tc>
          <w:tcPr>
            <w:tcW w:w="3839" w:type="dxa"/>
            <w:vAlign w:val="center"/>
          </w:tcPr>
          <w:p>
            <w:pPr>
              <w:rPr>
                <w:szCs w:val="21"/>
              </w:rPr>
            </w:pPr>
            <w:r>
              <w:rPr>
                <w:rFonts w:hint="eastAsia"/>
                <w:color w:val="auto"/>
                <w:szCs w:val="21"/>
              </w:rPr>
              <w:t>实缴流转税税额</w:t>
            </w:r>
          </w:p>
        </w:tc>
        <w:tc>
          <w:tcPr>
            <w:tcW w:w="3121" w:type="dxa"/>
            <w:vAlign w:val="center"/>
          </w:tcPr>
          <w:p>
            <w:pPr>
              <w:jc w:val="right"/>
              <w:rPr>
                <w:szCs w:val="21"/>
              </w:rPr>
            </w:pPr>
            <w:r>
              <w:rPr>
                <w:rFonts w:hint="eastAsia"/>
                <w:color w:val="auto"/>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vAlign w:val="center"/>
          </w:tcPr>
          <w:p>
            <w:pPr>
              <w:rPr>
                <w:szCs w:val="21"/>
              </w:rPr>
            </w:pPr>
            <w:r>
              <w:rPr>
                <w:szCs w:val="21"/>
              </w:rPr>
              <w:t>企业所得税</w:t>
            </w:r>
          </w:p>
        </w:tc>
        <w:tc>
          <w:tcPr>
            <w:tcW w:w="3839" w:type="dxa"/>
            <w:vAlign w:val="center"/>
          </w:tcPr>
          <w:p>
            <w:pPr>
              <w:rPr>
                <w:szCs w:val="21"/>
              </w:rPr>
            </w:pPr>
            <w:r>
              <w:rPr>
                <w:rFonts w:hint="eastAsia"/>
                <w:color w:val="auto"/>
                <w:szCs w:val="21"/>
              </w:rPr>
              <w:t>应纳税所得额</w:t>
            </w:r>
          </w:p>
        </w:tc>
        <w:tc>
          <w:tcPr>
            <w:tcW w:w="3121" w:type="dxa"/>
            <w:vAlign w:val="center"/>
          </w:tcPr>
          <w:p>
            <w:pPr>
              <w:jc w:val="right"/>
              <w:rPr>
                <w:szCs w:val="21"/>
              </w:rPr>
            </w:pPr>
            <w:r>
              <w:rPr>
                <w:rFonts w:hint="eastAsia"/>
                <w:color w:val="auto"/>
                <w:szCs w:val="21"/>
              </w:rPr>
              <w:t>15%、25%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vAlign w:val="center"/>
          </w:tcPr>
          <w:p>
            <w:pPr>
              <w:rPr>
                <w:szCs w:val="21"/>
              </w:rPr>
            </w:pPr>
            <w:r>
              <w:rPr>
                <w:rFonts w:hint="eastAsia"/>
                <w:color w:val="auto"/>
                <w:szCs w:val="21"/>
              </w:rPr>
              <w:t>房产税</w:t>
            </w:r>
          </w:p>
        </w:tc>
        <w:tc>
          <w:tcPr>
            <w:tcW w:w="3839" w:type="dxa"/>
            <w:vAlign w:val="center"/>
          </w:tcPr>
          <w:p>
            <w:pPr>
              <w:rPr>
                <w:szCs w:val="21"/>
              </w:rPr>
            </w:pPr>
            <w:r>
              <w:rPr>
                <w:rFonts w:hint="eastAsia"/>
                <w:color w:val="auto"/>
                <w:szCs w:val="21"/>
              </w:rPr>
              <w:t>按照房产原值的70%（或租金收入）为纳税基准</w:t>
            </w:r>
          </w:p>
        </w:tc>
        <w:tc>
          <w:tcPr>
            <w:tcW w:w="3121" w:type="dxa"/>
            <w:vAlign w:val="center"/>
          </w:tcPr>
          <w:p>
            <w:pPr>
              <w:jc w:val="right"/>
              <w:rPr>
                <w:szCs w:val="21"/>
              </w:rPr>
            </w:pPr>
            <w:r>
              <w:rPr>
                <w:rFonts w:hint="eastAsia"/>
                <w:color w:val="auto"/>
                <w:szCs w:val="21"/>
              </w:rPr>
              <w:t>1.2%、12%</w:t>
            </w:r>
          </w:p>
        </w:tc>
      </w:tr>
    </w:tbl>
    <w:p>
      <w:pPr>
        <w:rPr>
          <w:szCs w:val="21"/>
        </w:rPr>
      </w:pPr>
    </w:p>
    <w:p>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双击切换]"/>
        <w:tag w:val="_GBC_f117cb1e9d6f4e82900861637cf6a799"/>
        <w:id w:val="6680"/>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Pr>
        <w:pStyle w:val="4"/>
        <w:numPr>
          <w:ilvl w:val="0"/>
          <w:numId w:val="61"/>
        </w:numPr>
        <w:tabs>
          <w:tab w:val="left" w:pos="546"/>
        </w:tabs>
      </w:pPr>
      <w:r>
        <w:t>税收优惠</w:t>
      </w:r>
    </w:p>
    <w:sdt>
      <w:sdtPr>
        <w:rPr>
          <w:rFonts w:hint="eastAsia"/>
          <w:szCs w:val="21"/>
        </w:rPr>
        <w:alias w:val="是否适用：税收优惠[双击切换]"/>
        <w:tag w:val="_GBC_7b649dcf8ab54475bffc51edb3c33588"/>
        <w:id w:val="6681"/>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b/>
          <w:bCs/>
          <w:szCs w:val="21"/>
        </w:rPr>
        <w:alias w:val="优惠税赋及批文"/>
        <w:tag w:val="_GBC_3bbdacdaa3ba421fb8a81b9bda047bb4"/>
        <w:id w:val="6682"/>
        <w:placeholder>
          <w:docPart w:val="GBC22222222222222222222222222222"/>
        </w:placeholder>
      </w:sdtPr>
      <w:sdtEndPr>
        <w:rPr>
          <w:rFonts w:hint="eastAsia" w:ascii="Times New Roman" w:hAnsi="Times New Roman" w:eastAsia="宋体" w:cs="Times New Roman"/>
          <w:b/>
          <w:bCs/>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（1）增值税优惠</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根据财政部、税务总局关于先进制造业企业增值税加计抵减政策的公告（财政部、税务总局公告2023年第43号）第一条，自2023年1月1日至2027年12月31日，允许先进制造业企业按照当期可抵扣进项税额加计5%抵减应纳增值税税额。公司总部及子公司两面针(江苏)实业有限公司、广西两面针亿康药业股份有限公司属于先进制造业的高新技术企业，自2023年1月1日至2027年12月31日可享受增值税加计抵减政策，按当期可抵扣进项税额加计5%抵减应纳税额</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（2）所得税优惠</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根据财政部、税务总局、国家发展改革委2020年第23号《关于延续西部大开发企业所得税政策的公告》，自2021年1月1日至2030年12月31日，对设在西部地区的鼓励类产业企业减按15%的税率征收企业所得税，本公司下属子公司广西两面针亿康药业股份有限公司，享受此优惠税率。</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子公司两面针(江苏)实业有限公司于2025年12月19日取得高新技术企业证书，证书编号为GR202532006562，有效期三年。根据企业所得税法的规定，在有效期内，公司2025年适用15%的企业所得税税率。</w:t>
          </w:r>
        </w:p>
      </w:sdtContent>
    </w:sdt>
    <w:p>
      <w:pPr>
        <w:rPr>
          <w:rFonts w:hint="eastAsia" w:asciiTheme="minorEastAsia" w:hAnsiTheme="minorEastAsia" w:eastAsiaTheme="minorEastAsia"/>
          <w:szCs w:val="21"/>
        </w:rPr>
      </w:pPr>
    </w:p>
    <w:p>
      <w:pPr>
        <w:pStyle w:val="4"/>
        <w:numPr>
          <w:ilvl w:val="0"/>
          <w:numId w:val="61"/>
        </w:numPr>
        <w:tabs>
          <w:tab w:val="left" w:pos="546"/>
        </w:tabs>
        <w:rPr>
          <w:rFonts w:hint="eastAsia" w:asciiTheme="minorEastAsia" w:hAnsiTheme="minorEastAsia" w:eastAsiaTheme="minorEastAsia"/>
        </w:rPr>
      </w:pPr>
      <w:r>
        <w:t>其他</w:t>
      </w:r>
    </w:p>
    <w:sdt>
      <w:sdtPr>
        <w:rPr>
          <w:rFonts w:hint="eastAsia"/>
          <w:szCs w:val="21"/>
        </w:rPr>
        <w:alias w:val="是否适用：税项说明[双击切换]"/>
        <w:tag w:val="_GBC_cb15d487e8d84ad7877bd8820156d381"/>
        <w:id w:val="6683"/>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sdt>
      <w:sdtPr>
        <w:tag w:val="_PLD_a607a6ee80a847e3930752813402a60a"/>
        <w:id w:val="6684"/>
      </w:sdtPr>
      <w:sdtContent>
        <w:p>
          <w:pPr>
            <w:pStyle w:val="3"/>
            <w:numPr>
              <w:ilvl w:val="0"/>
              <w:numId w:val="52"/>
            </w:numPr>
          </w:pPr>
          <w:r>
            <w:rPr>
              <w:rFonts w:hint="eastAsia"/>
            </w:rPr>
            <w:t>合并财务报表项目注释</w:t>
          </w:r>
        </w:p>
      </w:sdtContent>
    </w:sdt>
    <w:p>
      <w:pPr>
        <w:pStyle w:val="4"/>
        <w:numPr>
          <w:ilvl w:val="0"/>
          <w:numId w:val="62"/>
        </w:numPr>
        <w:rPr>
          <w:szCs w:val="21"/>
        </w:rPr>
      </w:pPr>
      <w:r>
        <w:rPr>
          <w:szCs w:val="21"/>
        </w:rPr>
        <w:t>货币资金</w:t>
      </w:r>
    </w:p>
    <w:sdt>
      <w:sdtPr>
        <w:rPr>
          <w:rFonts w:hint="eastAsia"/>
          <w:szCs w:val="21"/>
        </w:rPr>
        <w:alias w:val="是否适用：货币资金[双击切换]"/>
        <w:tag w:val="_GBC_7583a9a918ef405ba2d26448cc628ff5"/>
        <w:id w:val="6685"/>
        <w:placeholder>
          <w:docPart w:val="GBC22222222222222222222222222222"/>
        </w:placeholder>
      </w:sdtPr>
      <w:sdtEndPr>
        <w:rPr>
          <w:rFonts w:hint="eastAsia"/>
          <w:szCs w:val="21"/>
        </w:rPr>
      </w:sdtEndPr>
      <w:sdtContent>
        <w:p>
          <w:pPr>
            <w:snapToGrid w:val="0"/>
            <w:spacing w:line="240" w:lineRule="atLeast"/>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snapToGrid w:val="0"/>
        <w:spacing w:line="240" w:lineRule="atLeast"/>
        <w:jc w:val="right"/>
        <w:rPr>
          <w:szCs w:val="21"/>
        </w:rPr>
      </w:pPr>
      <w:r>
        <w:rPr>
          <w:rFonts w:hint="eastAsia"/>
          <w:szCs w:val="21"/>
        </w:rPr>
        <w:t>单位：</w:t>
      </w:r>
      <w:sdt>
        <w:sdtPr>
          <w:rPr>
            <w:rFonts w:hint="eastAsia"/>
            <w:szCs w:val="21"/>
          </w:rPr>
          <w:alias w:val="单位：财务附注：货币资金"/>
          <w:tag w:val="_GBC_837f4fb04cac4b8aa6bed7dc457a1486"/>
          <w:id w:val="668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货币资金"/>
          <w:tag w:val="_GBC_6a1d907ad1af44b1a90a92ac03d51b34"/>
          <w:id w:val="66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2275"/>
        <w:gridCol w:w="3379"/>
        <w:gridCol w:w="3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2275" w:type="dxa"/>
            <w:vAlign w:val="center"/>
          </w:tcPr>
          <w:sdt>
            <w:sdtPr>
              <w:tag w:val="_PLD_640e7daf451b4f14ba49162bfbbd1e72"/>
              <w:id w:val="6688"/>
            </w:sdtPr>
            <w:sdtContent>
              <w:p>
                <w:pPr>
                  <w:autoSpaceDE w:val="0"/>
                  <w:autoSpaceDN w:val="0"/>
                  <w:adjustRightInd w:val="0"/>
                  <w:snapToGrid w:val="0"/>
                  <w:spacing w:line="240" w:lineRule="atLeast"/>
                  <w:jc w:val="center"/>
                  <w:rPr>
                    <w:szCs w:val="21"/>
                  </w:rPr>
                </w:pPr>
                <w:r>
                  <w:rPr>
                    <w:rFonts w:hint="eastAsia"/>
                    <w:szCs w:val="21"/>
                  </w:rPr>
                  <w:t>项目</w:t>
                </w:r>
              </w:p>
            </w:sdtContent>
          </w:sdt>
        </w:tc>
        <w:tc>
          <w:tcPr>
            <w:tcW w:w="3379" w:type="dxa"/>
            <w:vAlign w:val="center"/>
          </w:tcPr>
          <w:sdt>
            <w:sdtPr>
              <w:tag w:val="_PLD_79d1e78073b542bda1ea85bf8925b2cd"/>
              <w:id w:val="6689"/>
            </w:sdtPr>
            <w:sdtContent>
              <w:p>
                <w:pPr>
                  <w:autoSpaceDE w:val="0"/>
                  <w:autoSpaceDN w:val="0"/>
                  <w:adjustRightInd w:val="0"/>
                  <w:snapToGrid w:val="0"/>
                  <w:spacing w:line="240" w:lineRule="atLeast"/>
                  <w:jc w:val="center"/>
                  <w:rPr>
                    <w:szCs w:val="21"/>
                  </w:rPr>
                </w:pPr>
                <w:r>
                  <w:rPr>
                    <w:rFonts w:hint="eastAsia"/>
                    <w:szCs w:val="21"/>
                  </w:rPr>
                  <w:t>期末余额</w:t>
                </w:r>
              </w:p>
            </w:sdtContent>
          </w:sdt>
        </w:tc>
        <w:tc>
          <w:tcPr>
            <w:tcW w:w="3404" w:type="dxa"/>
            <w:vAlign w:val="center"/>
          </w:tcPr>
          <w:sdt>
            <w:sdtPr>
              <w:tag w:val="_PLD_725adef951424bb094850d632de69fd0"/>
              <w:id w:val="6690"/>
            </w:sdtPr>
            <w:sdtContent>
              <w:p>
                <w:pPr>
                  <w:autoSpaceDE w:val="0"/>
                  <w:autoSpaceDN w:val="0"/>
                  <w:adjustRightInd w:val="0"/>
                  <w:snapToGrid w:val="0"/>
                  <w:spacing w:line="240" w:lineRule="atLeast"/>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2275" w:type="dxa"/>
            <w:vAlign w:val="center"/>
          </w:tcPr>
          <w:p>
            <w:pPr>
              <w:autoSpaceDE w:val="0"/>
              <w:autoSpaceDN w:val="0"/>
              <w:adjustRightInd w:val="0"/>
              <w:snapToGrid w:val="0"/>
              <w:spacing w:line="240" w:lineRule="atLeast"/>
              <w:rPr>
                <w:szCs w:val="21"/>
              </w:rPr>
            </w:pPr>
            <w:r>
              <w:rPr>
                <w:rFonts w:hint="eastAsia"/>
                <w:szCs w:val="21"/>
              </w:rPr>
              <w:t>库存现金</w:t>
            </w:r>
          </w:p>
        </w:tc>
        <w:tc>
          <w:tcPr>
            <w:tcW w:w="3379" w:type="dxa"/>
            <w:vAlign w:val="center"/>
          </w:tcPr>
          <w:p>
            <w:pPr>
              <w:autoSpaceDE w:val="0"/>
              <w:autoSpaceDN w:val="0"/>
              <w:adjustRightInd w:val="0"/>
              <w:snapToGrid w:val="0"/>
              <w:spacing w:line="240" w:lineRule="atLeast"/>
              <w:jc w:val="right"/>
              <w:rPr>
                <w:szCs w:val="21"/>
              </w:rPr>
            </w:pPr>
            <w:r>
              <w:rPr>
                <w:rFonts w:hint="eastAsia"/>
                <w:color w:val="auto"/>
                <w:szCs w:val="21"/>
              </w:rPr>
              <w:t>19,619.51</w:t>
            </w:r>
          </w:p>
        </w:tc>
        <w:tc>
          <w:tcPr>
            <w:tcW w:w="3404" w:type="dxa"/>
            <w:vAlign w:val="center"/>
          </w:tcPr>
          <w:p>
            <w:pPr>
              <w:autoSpaceDE w:val="0"/>
              <w:autoSpaceDN w:val="0"/>
              <w:adjustRightInd w:val="0"/>
              <w:snapToGrid w:val="0"/>
              <w:spacing w:line="240" w:lineRule="atLeast"/>
              <w:jc w:val="right"/>
              <w:rPr>
                <w:szCs w:val="21"/>
              </w:rPr>
            </w:pPr>
            <w:r>
              <w:rPr>
                <w:rFonts w:hint="eastAsia"/>
                <w:color w:val="auto"/>
                <w:szCs w:val="21"/>
              </w:rPr>
              <w:t>6,659.52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2275" w:type="dxa"/>
            <w:vAlign w:val="center"/>
          </w:tcPr>
          <w:p>
            <w:pPr>
              <w:autoSpaceDE w:val="0"/>
              <w:autoSpaceDN w:val="0"/>
              <w:adjustRightInd w:val="0"/>
              <w:snapToGrid w:val="0"/>
              <w:spacing w:line="240" w:lineRule="atLeast"/>
              <w:rPr>
                <w:szCs w:val="21"/>
              </w:rPr>
            </w:pPr>
            <w:r>
              <w:rPr>
                <w:rFonts w:hint="eastAsia"/>
                <w:szCs w:val="21"/>
              </w:rPr>
              <w:t>银行存款</w:t>
            </w:r>
          </w:p>
        </w:tc>
        <w:tc>
          <w:tcPr>
            <w:tcW w:w="3379" w:type="dxa"/>
            <w:vAlign w:val="center"/>
          </w:tcPr>
          <w:p>
            <w:pPr>
              <w:autoSpaceDE w:val="0"/>
              <w:autoSpaceDN w:val="0"/>
              <w:adjustRightInd w:val="0"/>
              <w:snapToGrid w:val="0"/>
              <w:spacing w:line="240" w:lineRule="atLeast"/>
              <w:jc w:val="right"/>
              <w:rPr>
                <w:szCs w:val="21"/>
              </w:rPr>
            </w:pPr>
            <w:r>
              <w:rPr>
                <w:rFonts w:hint="eastAsia"/>
                <w:color w:val="auto"/>
                <w:szCs w:val="21"/>
              </w:rPr>
              <w:t>1,292,224,426.29</w:t>
            </w:r>
          </w:p>
        </w:tc>
        <w:tc>
          <w:tcPr>
            <w:tcW w:w="3404" w:type="dxa"/>
            <w:vAlign w:val="center"/>
          </w:tcPr>
          <w:p>
            <w:pPr>
              <w:autoSpaceDE w:val="0"/>
              <w:autoSpaceDN w:val="0"/>
              <w:adjustRightInd w:val="0"/>
              <w:snapToGrid w:val="0"/>
              <w:spacing w:line="240" w:lineRule="atLeast"/>
              <w:jc w:val="right"/>
              <w:rPr>
                <w:szCs w:val="21"/>
              </w:rPr>
            </w:pPr>
            <w:r>
              <w:rPr>
                <w:rFonts w:hint="eastAsia"/>
                <w:color w:val="auto"/>
                <w:szCs w:val="21"/>
              </w:rPr>
              <w:t>1,265,480,113.73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2275" w:type="dxa"/>
            <w:vAlign w:val="center"/>
          </w:tcPr>
          <w:p>
            <w:pPr>
              <w:autoSpaceDE w:val="0"/>
              <w:autoSpaceDN w:val="0"/>
              <w:adjustRightInd w:val="0"/>
              <w:snapToGrid w:val="0"/>
              <w:spacing w:line="240" w:lineRule="atLeast"/>
              <w:rPr>
                <w:szCs w:val="21"/>
              </w:rPr>
            </w:pPr>
            <w:r>
              <w:rPr>
                <w:rFonts w:hint="eastAsia"/>
                <w:szCs w:val="21"/>
              </w:rPr>
              <w:t>其他货币资金</w:t>
            </w:r>
          </w:p>
        </w:tc>
        <w:tc>
          <w:tcPr>
            <w:tcW w:w="3379" w:type="dxa"/>
            <w:vAlign w:val="center"/>
          </w:tcPr>
          <w:p>
            <w:pPr>
              <w:autoSpaceDE w:val="0"/>
              <w:autoSpaceDN w:val="0"/>
              <w:adjustRightInd w:val="0"/>
              <w:snapToGrid w:val="0"/>
              <w:spacing w:line="240" w:lineRule="atLeast"/>
              <w:jc w:val="right"/>
              <w:rPr>
                <w:szCs w:val="21"/>
              </w:rPr>
            </w:pPr>
            <w:r>
              <w:rPr>
                <w:rFonts w:hint="eastAsia"/>
                <w:color w:val="auto"/>
                <w:szCs w:val="21"/>
              </w:rPr>
              <w:t>3,000,397.20</w:t>
            </w:r>
          </w:p>
        </w:tc>
        <w:tc>
          <w:tcPr>
            <w:tcW w:w="3404" w:type="dxa"/>
            <w:vAlign w:val="center"/>
          </w:tcPr>
          <w:p>
            <w:pPr>
              <w:autoSpaceDE w:val="0"/>
              <w:autoSpaceDN w:val="0"/>
              <w:adjustRightInd w:val="0"/>
              <w:snapToGrid w:val="0"/>
              <w:spacing w:line="240" w:lineRule="atLeast"/>
              <w:jc w:val="right"/>
              <w:rPr>
                <w:szCs w:val="21"/>
              </w:rPr>
            </w:pPr>
            <w:r>
              <w:rPr>
                <w:rFonts w:hint="eastAsia"/>
                <w:color w:val="auto"/>
                <w:szCs w:val="21"/>
              </w:rPr>
              <w:t>7,394,175.29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2275" w:type="dxa"/>
            <w:vAlign w:val="center"/>
          </w:tcPr>
          <w:p>
            <w:pPr>
              <w:autoSpaceDE w:val="0"/>
              <w:autoSpaceDN w:val="0"/>
              <w:adjustRightInd w:val="0"/>
              <w:snapToGrid w:val="0"/>
              <w:spacing w:line="240" w:lineRule="atLeast"/>
              <w:rPr>
                <w:szCs w:val="21"/>
              </w:rPr>
            </w:pPr>
            <w:r>
              <w:rPr>
                <w:rFonts w:hint="eastAsia"/>
                <w:szCs w:val="21"/>
              </w:rPr>
              <w:t>合计</w:t>
            </w:r>
          </w:p>
        </w:tc>
        <w:tc>
          <w:tcPr>
            <w:tcW w:w="3379" w:type="dxa"/>
            <w:vAlign w:val="center"/>
          </w:tcPr>
          <w:p>
            <w:pPr>
              <w:autoSpaceDE w:val="0"/>
              <w:autoSpaceDN w:val="0"/>
              <w:adjustRightInd w:val="0"/>
              <w:snapToGrid w:val="0"/>
              <w:spacing w:line="240" w:lineRule="atLeast"/>
              <w:jc w:val="right"/>
              <w:rPr>
                <w:szCs w:val="21"/>
              </w:rPr>
            </w:pPr>
            <w:r>
              <w:rPr>
                <w:rFonts w:hint="eastAsia"/>
                <w:color w:val="auto"/>
                <w:szCs w:val="21"/>
              </w:rPr>
              <w:t>1,295,244,443.00</w:t>
            </w:r>
          </w:p>
        </w:tc>
        <w:tc>
          <w:tcPr>
            <w:tcW w:w="3404" w:type="dxa"/>
            <w:vAlign w:val="center"/>
          </w:tcPr>
          <w:p>
            <w:pPr>
              <w:autoSpaceDE w:val="0"/>
              <w:autoSpaceDN w:val="0"/>
              <w:adjustRightInd w:val="0"/>
              <w:snapToGrid w:val="0"/>
              <w:spacing w:line="240" w:lineRule="atLeast"/>
              <w:jc w:val="right"/>
              <w:rPr>
                <w:szCs w:val="21"/>
              </w:rPr>
            </w:pPr>
            <w:r>
              <w:rPr>
                <w:rFonts w:hint="eastAsia"/>
                <w:color w:val="auto"/>
                <w:szCs w:val="21"/>
              </w:rPr>
              <w:t>1,272,880,948.5</w:t>
            </w:r>
          </w:p>
        </w:tc>
      </w:tr>
    </w:tbl>
    <w:p/>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其他说明：</w:t>
      </w:r>
    </w:p>
    <w:sdt>
      <w:sdtPr>
        <w:rPr>
          <w:rFonts w:hint="eastAsia" w:ascii="Times New Roman" w:hAnsi="Times New Roman" w:eastAsia="宋体" w:cs="Times New Roman"/>
          <w:sz w:val="21"/>
          <w:szCs w:val="21"/>
        </w:rPr>
        <w:alias w:val="货币资金的说明"/>
        <w:tag w:val="_GBC_672a863055084dfabbc1ba40f04a68b4"/>
        <w:id w:val="6691"/>
        <w:placeholder>
          <w:docPart w:val="GBC22222222222222222222222222222"/>
        </w:placeholder>
      </w:sdtPr>
      <w:sdtEndPr>
        <w:rPr>
          <w:rFonts w:hint="eastAsia" w:ascii="Times New Roman" w:hAnsi="Times New Roman" w:eastAsia="宋体" w:cs="Times New Roman"/>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szCs w:val="21"/>
            </w:rPr>
          </w:pPr>
          <w:r>
            <w:rPr>
              <w:rFonts w:hint="eastAsia" w:ascii="Times New Roman" w:hAnsi="Times New Roman" w:eastAsia="宋体" w:cs="Times New Roman"/>
              <w:sz w:val="21"/>
              <w:szCs w:val="21"/>
            </w:rPr>
            <w:t>期末受到限制的款项2,736,963.01元，系质押的定期存款2,400,000.00元、保函保证金333,963.01元、ETC保证金3,000.00元。</w:t>
          </w:r>
        </w:p>
      </w:sdtContent>
    </w:sdt>
    <w:p>
      <w:pPr>
        <w:rPr>
          <w:szCs w:val="21"/>
        </w:rPr>
      </w:pPr>
    </w:p>
    <w:p>
      <w:pPr>
        <w:pStyle w:val="4"/>
        <w:numPr>
          <w:ilvl w:val="0"/>
          <w:numId w:val="62"/>
        </w:numPr>
        <w:rPr>
          <w:szCs w:val="21"/>
        </w:rPr>
      </w:pPr>
      <w:r>
        <w:rPr>
          <w:rFonts w:hint="eastAsia"/>
          <w:szCs w:val="21"/>
        </w:rPr>
        <w:t>交易性金融资产</w:t>
      </w:r>
    </w:p>
    <w:sdt>
      <w:sdtPr>
        <w:alias w:val="是否适用：交易性金融资产[双击切换]"/>
        <w:tag w:val="_GBC_c852c730c6fa4a3e8930f5cbbab9909f"/>
        <w:id w:val="6692"/>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ind w:left="420" w:right="44"/>
        <w:jc w:val="right"/>
      </w:pPr>
      <w:r>
        <w:rPr>
          <w:rFonts w:hint="eastAsia"/>
        </w:rPr>
        <w:t xml:space="preserve">  </w:t>
      </w:r>
      <w:r>
        <w:t xml:space="preserve">  </w:t>
      </w:r>
      <w:r>
        <w:rPr>
          <w:rFonts w:hint="eastAsia"/>
        </w:rPr>
        <w:t>单位：</w:t>
      </w:r>
      <w:sdt>
        <w:sdtPr>
          <w:rPr>
            <w:rFonts w:hint="eastAsia"/>
          </w:rPr>
          <w:alias w:val="单位：财务附注：交易性金融资产"/>
          <w:tag w:val="_GBC_cba5007820a8401a8539607d9d055f75"/>
          <w:id w:val="669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财务附注：交易性金融资产"/>
          <w:tag w:val="_GBC_e8e3367ec5e14f73842c7a3ca8b264a2"/>
          <w:id w:val="669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8"/>
        <w:gridCol w:w="2068"/>
        <w:gridCol w:w="2086"/>
        <w:gridCol w:w="2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vAlign w:val="center"/>
          </w:tcPr>
          <w:sdt>
            <w:sdtPr>
              <w:tag w:val="_PLD_3b99f59eccaa43478dfbfc184cd2ce48"/>
              <w:id w:val="6695"/>
            </w:sdtPr>
            <w:sdtContent>
              <w:p>
                <w:pPr>
                  <w:jc w:val="center"/>
                  <w:rPr>
                    <w:szCs w:val="21"/>
                  </w:rPr>
                </w:pPr>
                <w:r>
                  <w:rPr>
                    <w:rFonts w:hint="eastAsia"/>
                    <w:szCs w:val="21"/>
                  </w:rPr>
                  <w:t>项目</w:t>
                </w:r>
              </w:p>
            </w:sdtContent>
          </w:sdt>
        </w:tc>
        <w:tc>
          <w:tcPr>
            <w:tcW w:w="2068" w:type="dxa"/>
            <w:vAlign w:val="center"/>
          </w:tcPr>
          <w:sdt>
            <w:sdtPr>
              <w:tag w:val="_PLD_caf9d9000b3e44c1817249ef4121d5db"/>
              <w:id w:val="6696"/>
            </w:sdtPr>
            <w:sdtContent>
              <w:p>
                <w:pPr>
                  <w:autoSpaceDE w:val="0"/>
                  <w:autoSpaceDN w:val="0"/>
                  <w:adjustRightInd w:val="0"/>
                  <w:snapToGrid w:val="0"/>
                  <w:spacing w:line="240" w:lineRule="atLeast"/>
                  <w:jc w:val="center"/>
                  <w:rPr>
                    <w:szCs w:val="21"/>
                  </w:rPr>
                </w:pPr>
                <w:r>
                  <w:rPr>
                    <w:rFonts w:hint="eastAsia"/>
                    <w:szCs w:val="21"/>
                  </w:rPr>
                  <w:t>期末余额</w:t>
                </w:r>
              </w:p>
            </w:sdtContent>
          </w:sdt>
        </w:tc>
        <w:tc>
          <w:tcPr>
            <w:tcW w:w="2086" w:type="dxa"/>
            <w:vAlign w:val="center"/>
          </w:tcPr>
          <w:sdt>
            <w:sdtPr>
              <w:tag w:val="_PLD_fd58d8f4bb044aef9b5735371503f591"/>
              <w:id w:val="6697"/>
            </w:sdtPr>
            <w:sdtContent>
              <w:p>
                <w:pPr>
                  <w:autoSpaceDE w:val="0"/>
                  <w:autoSpaceDN w:val="0"/>
                  <w:adjustRightInd w:val="0"/>
                  <w:snapToGrid w:val="0"/>
                  <w:spacing w:line="240" w:lineRule="atLeast"/>
                  <w:jc w:val="center"/>
                  <w:rPr>
                    <w:szCs w:val="21"/>
                  </w:rPr>
                </w:pPr>
                <w:r>
                  <w:rPr>
                    <w:rFonts w:hint="eastAsia"/>
                    <w:szCs w:val="21"/>
                  </w:rPr>
                  <w:t>期初余额</w:t>
                </w:r>
              </w:p>
            </w:sdtContent>
          </w:sdt>
        </w:tc>
        <w:tc>
          <w:tcPr>
            <w:tcW w:w="2084" w:type="dxa"/>
            <w:vAlign w:val="center"/>
          </w:tcPr>
          <w:sdt>
            <w:sdtPr>
              <w:tag w:val="_PLD_e55b7f6937ab489e93d6d5561f99f11e"/>
              <w:id w:val="6698"/>
            </w:sdtPr>
            <w:sdtContent>
              <w:p>
                <w:pPr>
                  <w:autoSpaceDE w:val="0"/>
                  <w:autoSpaceDN w:val="0"/>
                  <w:adjustRightInd w:val="0"/>
                  <w:snapToGrid w:val="0"/>
                  <w:spacing w:line="240" w:lineRule="atLeast"/>
                  <w:jc w:val="center"/>
                </w:pPr>
                <w:r>
                  <w:rPr>
                    <w:rFonts w:hint="eastAsia"/>
                  </w:rPr>
                  <w:t>指定理由和依据</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vAlign w:val="center"/>
          </w:tcPr>
          <w:p>
            <w:pPr>
              <w:autoSpaceDE w:val="0"/>
              <w:autoSpaceDN w:val="0"/>
              <w:adjustRightInd w:val="0"/>
              <w:rPr>
                <w:szCs w:val="21"/>
              </w:rPr>
            </w:pPr>
            <w:r>
              <w:rPr>
                <w:rFonts w:hint="eastAsia"/>
                <w:szCs w:val="21"/>
              </w:rPr>
              <w:t>以公允价值计量且其变动计入当期损益的金融资产</w:t>
            </w:r>
          </w:p>
        </w:tc>
        <w:tc>
          <w:tcPr>
            <w:tcW w:w="2068" w:type="dxa"/>
            <w:vAlign w:val="center"/>
          </w:tcPr>
          <w:p>
            <w:pPr>
              <w:jc w:val="right"/>
              <w:rPr>
                <w:szCs w:val="21"/>
              </w:rPr>
            </w:pPr>
            <w:r>
              <w:rPr>
                <w:rFonts w:hint="eastAsia"/>
                <w:color w:val="auto"/>
              </w:rPr>
              <w:t>287,207,259.61</w:t>
            </w:r>
          </w:p>
        </w:tc>
        <w:tc>
          <w:tcPr>
            <w:tcW w:w="2086" w:type="dxa"/>
            <w:vAlign w:val="center"/>
          </w:tcPr>
          <w:p>
            <w:pPr>
              <w:jc w:val="right"/>
              <w:rPr>
                <w:szCs w:val="21"/>
              </w:rPr>
            </w:pPr>
            <w:r>
              <w:rPr>
                <w:rFonts w:hint="eastAsia"/>
                <w:color w:val="auto"/>
              </w:rPr>
              <w:t>290,897,872.17</w:t>
            </w:r>
          </w:p>
        </w:tc>
        <w:tc>
          <w:tcPr>
            <w:tcW w:w="2084" w:type="dxa"/>
            <w:vAlign w:val="center"/>
          </w:tcPr>
          <w:p>
            <w:pPr>
              <w:jc w:val="right"/>
              <w:rPr>
                <w:szCs w:val="21"/>
              </w:rPr>
            </w:pP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9" w:type="dxa"/>
            <w:gridSpan w:val="4"/>
            <w:vAlign w:val="center"/>
          </w:tcPr>
          <w:sdt>
            <w:sdtPr>
              <w:tag w:val="_PLD_147bedd0b80c463ab365e4b926d8c081"/>
              <w:id w:val="6699"/>
            </w:sdtPr>
            <w:sdtContent>
              <w:p>
                <w:pPr>
                  <w:jc w:val="left"/>
                  <w:rPr>
                    <w:szCs w:val="21"/>
                  </w:rPr>
                </w:pPr>
                <w:r>
                  <w:rPr>
                    <w:rFonts w:hint="eastAsia"/>
                    <w:szCs w:val="21"/>
                  </w:rPr>
                  <w:t>其中：</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vAlign w:val="center"/>
          </w:tcPr>
          <w:p>
            <w:pPr>
              <w:autoSpaceDE w:val="0"/>
              <w:autoSpaceDN w:val="0"/>
              <w:adjustRightInd w:val="0"/>
              <w:ind w:firstLine="567" w:firstLineChars="270"/>
              <w:rPr>
                <w:szCs w:val="21"/>
              </w:rPr>
            </w:pPr>
            <w:r>
              <w:rPr>
                <w:rFonts w:hint="eastAsia"/>
                <w:color w:val="auto"/>
              </w:rPr>
              <w:t>权益工具投资</w:t>
            </w:r>
          </w:p>
        </w:tc>
        <w:tc>
          <w:tcPr>
            <w:tcW w:w="2068" w:type="dxa"/>
            <w:vAlign w:val="center"/>
          </w:tcPr>
          <w:p>
            <w:pPr>
              <w:jc w:val="right"/>
              <w:rPr>
                <w:szCs w:val="21"/>
              </w:rPr>
            </w:pPr>
            <w:r>
              <w:rPr>
                <w:rFonts w:hint="eastAsia"/>
                <w:color w:val="auto"/>
              </w:rPr>
              <w:t>287,207,259.61</w:t>
            </w:r>
          </w:p>
        </w:tc>
        <w:tc>
          <w:tcPr>
            <w:tcW w:w="2086" w:type="dxa"/>
            <w:vAlign w:val="center"/>
          </w:tcPr>
          <w:p>
            <w:pPr>
              <w:jc w:val="right"/>
              <w:rPr>
                <w:szCs w:val="21"/>
              </w:rPr>
            </w:pPr>
            <w:r>
              <w:rPr>
                <w:rFonts w:hint="eastAsia"/>
                <w:color w:val="auto"/>
              </w:rPr>
              <w:t>290,897,872.17</w:t>
            </w:r>
          </w:p>
        </w:tc>
        <w:tc>
          <w:tcPr>
            <w:tcW w:w="2084" w:type="dxa"/>
            <w:vAlign w:val="center"/>
          </w:tcPr>
          <w:p>
            <w:pPr>
              <w:jc w:val="right"/>
              <w:rPr>
                <w:szCs w:val="21"/>
              </w:rPr>
            </w:pP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vAlign w:val="center"/>
          </w:tcPr>
          <w:p>
            <w:pPr>
              <w:autoSpaceDE w:val="0"/>
              <w:autoSpaceDN w:val="0"/>
              <w:adjustRightInd w:val="0"/>
              <w:rPr>
                <w:szCs w:val="21"/>
              </w:rPr>
            </w:pPr>
            <w:r>
              <w:rPr>
                <w:rFonts w:hint="eastAsia"/>
                <w:szCs w:val="21"/>
              </w:rPr>
              <w:t>指定以公允价值计量且其变动计入当期损益的金融资产</w:t>
            </w:r>
          </w:p>
        </w:tc>
        <w:tc>
          <w:tcPr>
            <w:tcW w:w="2068" w:type="dxa"/>
            <w:vAlign w:val="center"/>
          </w:tcPr>
          <w:p>
            <w:pPr>
              <w:jc w:val="right"/>
              <w:rPr>
                <w:szCs w:val="21"/>
              </w:rPr>
            </w:pPr>
          </w:p>
        </w:tc>
        <w:tc>
          <w:tcPr>
            <w:tcW w:w="2086" w:type="dxa"/>
            <w:vAlign w:val="center"/>
          </w:tcPr>
          <w:p>
            <w:pPr>
              <w:jc w:val="right"/>
              <w:rPr>
                <w:szCs w:val="21"/>
              </w:rPr>
            </w:pPr>
          </w:p>
        </w:tc>
        <w:tc>
          <w:tcPr>
            <w:tcW w:w="2084" w:type="dxa"/>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9" w:type="dxa"/>
            <w:gridSpan w:val="4"/>
            <w:vAlign w:val="center"/>
          </w:tcPr>
          <w:sdt>
            <w:sdtPr>
              <w:tag w:val="_PLD_f1663a7b621f4b3eb912bf6125dd9966"/>
              <w:id w:val="6700"/>
            </w:sdtPr>
            <w:sdtContent>
              <w:p>
                <w:pPr>
                  <w:jc w:val="left"/>
                  <w:rPr>
                    <w:szCs w:val="21"/>
                  </w:rPr>
                </w:pPr>
                <w:r>
                  <w:rPr>
                    <w:rFonts w:hint="eastAsia"/>
                    <w:szCs w:val="21"/>
                  </w:rPr>
                  <w:t>其中：</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vAlign w:val="center"/>
          </w:tcPr>
          <w:p>
            <w:pPr>
              <w:jc w:val="center"/>
              <w:rPr>
                <w:szCs w:val="21"/>
              </w:rPr>
            </w:pPr>
            <w:bookmarkStart w:id="213" w:name="_Hlk533595247"/>
            <w:bookmarkEnd w:id="213"/>
            <w:r>
              <w:rPr>
                <w:rFonts w:hint="eastAsia"/>
                <w:szCs w:val="21"/>
              </w:rPr>
              <w:t>合计</w:t>
            </w:r>
          </w:p>
        </w:tc>
        <w:tc>
          <w:tcPr>
            <w:tcW w:w="2068" w:type="dxa"/>
            <w:vAlign w:val="center"/>
          </w:tcPr>
          <w:p>
            <w:pPr>
              <w:jc w:val="right"/>
              <w:rPr>
                <w:rFonts w:hint="eastAsia" w:eastAsia="宋体"/>
                <w:szCs w:val="21"/>
                <w:lang w:eastAsia="zh-CN"/>
              </w:rPr>
            </w:pPr>
            <w:r>
              <w:rPr>
                <w:rFonts w:hint="eastAsia"/>
                <w:color w:val="auto"/>
                <w:lang w:eastAsia="zh-CN"/>
              </w:rPr>
              <w:t>287,207,259.61</w:t>
            </w:r>
          </w:p>
        </w:tc>
        <w:tc>
          <w:tcPr>
            <w:tcW w:w="2086" w:type="dxa"/>
            <w:vAlign w:val="center"/>
          </w:tcPr>
          <w:p>
            <w:pPr>
              <w:jc w:val="right"/>
              <w:rPr>
                <w:szCs w:val="21"/>
              </w:rPr>
            </w:pPr>
            <w:r>
              <w:rPr>
                <w:rFonts w:hint="eastAsia"/>
                <w:color w:val="auto"/>
              </w:rPr>
              <w:t>290,897,872.17</w:t>
            </w:r>
          </w:p>
        </w:tc>
        <w:tc>
          <w:tcPr>
            <w:tcW w:w="2084" w:type="dxa"/>
            <w:vAlign w:val="center"/>
          </w:tcPr>
          <w:p>
            <w:pPr>
              <w:jc w:val="right"/>
              <w:rPr>
                <w:szCs w:val="21"/>
              </w:rPr>
            </w:pPr>
            <w:r>
              <w:rPr>
                <w:rFonts w:hint="eastAsia"/>
                <w:szCs w:val="21"/>
              </w:rPr>
              <w:t>/</w:t>
            </w:r>
          </w:p>
        </w:tc>
      </w:tr>
    </w:tbl>
    <w:p>
      <w:r>
        <w:rPr>
          <w:rFonts w:hint="eastAsia"/>
        </w:rPr>
        <w:t>其他</w:t>
      </w:r>
      <w:r>
        <w:t>说明：</w:t>
      </w:r>
    </w:p>
    <w:sdt>
      <w:sdtPr>
        <w:alias w:val="是否适用：交易性金融资产的说明[双击切换]"/>
        <w:tag w:val="_GBC_9bed9315a85147e7ac11c2b4bac78358"/>
        <w:id w:val="6701"/>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ascii="Times New Roman" w:hAnsi="Times New Roman" w:eastAsia="宋体"/>
          <w:sz w:val="21"/>
          <w:szCs w:val="21"/>
        </w:rPr>
        <w:alias w:val="交易性金融资产的说明"/>
        <w:tag w:val="_GBC_20a177fc99e145c4bb7b3119682db963"/>
        <w:id w:val="6702"/>
        <w:placeholder>
          <w:docPart w:val="GBC22222222222222222222222222222"/>
        </w:placeholder>
      </w:sdtPr>
      <w:sdtEndPr>
        <w:rPr>
          <w:rFonts w:ascii="Times New Roman" w:hAnsi="Times New Roman" w:eastAsia="宋体"/>
          <w:sz w:val="21"/>
          <w:szCs w:val="21"/>
        </w:rPr>
      </w:sdtEndPr>
      <w:sdtContent>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3"/>
            <w:gridCol w:w="3289"/>
            <w:gridCol w:w="3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sz w:val="21"/>
                    <w:szCs w:val="21"/>
                  </w:rPr>
                </w:pPr>
                <w:r>
                  <w:rPr>
                    <w:rFonts w:hint="eastAsia" w:ascii="Times New Roman" w:hAnsi="Times New Roman" w:eastAsia="宋体"/>
                    <w:sz w:val="21"/>
                    <w:szCs w:val="21"/>
                  </w:rPr>
                  <w:t>项目</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sz w:val="21"/>
                    <w:szCs w:val="21"/>
                  </w:rPr>
                </w:pPr>
                <w:r>
                  <w:rPr>
                    <w:rFonts w:hint="eastAsia" w:ascii="Times New Roman" w:hAnsi="Times New Roman" w:eastAsia="宋体"/>
                    <w:sz w:val="21"/>
                    <w:szCs w:val="21"/>
                  </w:rPr>
                  <w:t>期末投资成本</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sz w:val="21"/>
                    <w:szCs w:val="21"/>
                  </w:rPr>
                </w:pPr>
                <w:r>
                  <w:rPr>
                    <w:rFonts w:hint="eastAsia" w:ascii="Times New Roman" w:hAnsi="Times New Roman" w:eastAsia="宋体"/>
                    <w:sz w:val="21"/>
                    <w:szCs w:val="21"/>
                  </w:rPr>
                  <w:t>期末公允价值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jc w:val="both"/>
                  <w:rPr>
                    <w:rFonts w:ascii="Times New Roman" w:hAnsi="Times New Roman" w:eastAsia="宋体"/>
                    <w:sz w:val="21"/>
                    <w:szCs w:val="21"/>
                  </w:rPr>
                </w:pPr>
                <w:r>
                  <w:rPr>
                    <w:rFonts w:hint="eastAsia" w:ascii="Times New Roman" w:hAnsi="Times New Roman" w:eastAsia="宋体"/>
                    <w:sz w:val="21"/>
                    <w:szCs w:val="21"/>
                  </w:rPr>
                  <w:t>股票投资</w:t>
                </w:r>
              </w:p>
            </w:tc>
            <w:tc>
              <w:tcPr>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Times New Roman" w:hAnsi="Times New Roman" w:eastAsia="宋体"/>
                    <w:sz w:val="21"/>
                    <w:szCs w:val="21"/>
                    <w:lang w:eastAsia="zh-CN"/>
                  </w:rPr>
                </w:pPr>
                <w:r>
                  <w:rPr>
                    <w:rFonts w:hint="eastAsia"/>
                    <w:sz w:val="21"/>
                    <w:szCs w:val="21"/>
                    <w:lang w:eastAsia="zh-CN"/>
                  </w:rPr>
                  <w:t>45,537,321.78</w:t>
                </w:r>
              </w:p>
            </w:tc>
            <w:tc>
              <w:tcPr>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r>
                  <w:rPr>
                    <w:rFonts w:hint="eastAsia" w:ascii="Times New Roman" w:hAnsi="Times New Roman" w:eastAsia="宋体"/>
                    <w:sz w:val="21"/>
                    <w:szCs w:val="21"/>
                  </w:rPr>
                  <w:t>287,207,259.61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sz w:val="21"/>
                    <w:szCs w:val="21"/>
                  </w:rPr>
                </w:pPr>
                <w:r>
                  <w:rPr>
                    <w:rFonts w:hint="eastAsia" w:ascii="Times New Roman" w:hAnsi="Times New Roman" w:eastAsia="宋体"/>
                    <w:sz w:val="21"/>
                    <w:szCs w:val="21"/>
                  </w:rPr>
                  <w:t>合计</w:t>
                </w:r>
              </w:p>
            </w:tc>
            <w:tc>
              <w:tcPr>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r>
                  <w:rPr>
                    <w:rFonts w:hint="eastAsia" w:ascii="Times New Roman" w:hAnsi="Times New Roman" w:eastAsia="宋体"/>
                    <w:sz w:val="21"/>
                    <w:szCs w:val="21"/>
                  </w:rPr>
                  <w:t>45,537,321.78</w:t>
                </w:r>
              </w:p>
            </w:tc>
            <w:tc>
              <w:tcPr>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r>
                  <w:rPr>
                    <w:rFonts w:hint="eastAsia" w:ascii="Times New Roman" w:hAnsi="Times New Roman" w:eastAsia="宋体"/>
                    <w:sz w:val="21"/>
                    <w:szCs w:val="21"/>
                  </w:rPr>
                  <w:t>287,207,259.61</w:t>
                </w:r>
              </w:p>
            </w:tc>
          </w:tr>
        </w:tbl>
      </w:sdtContent>
    </w:sdt>
    <w:p>
      <w:pPr>
        <w:rPr>
          <w:szCs w:val="21"/>
        </w:rPr>
      </w:pPr>
    </w:p>
    <w:p>
      <w:pPr>
        <w:pStyle w:val="4"/>
        <w:numPr>
          <w:ilvl w:val="0"/>
          <w:numId w:val="62"/>
        </w:numPr>
        <w:rPr>
          <w:szCs w:val="21"/>
        </w:rPr>
      </w:pPr>
      <w:r>
        <w:rPr>
          <w:rFonts w:hint="eastAsia"/>
          <w:szCs w:val="21"/>
        </w:rPr>
        <w:t>衍生金融资产</w:t>
      </w:r>
    </w:p>
    <w:sdt>
      <w:sdtPr>
        <w:alias w:val="是否适用：衍生金融资产[双击切换]"/>
        <w:tag w:val="_GBC_d17bfaab262c4a499d0afca62045c5e0"/>
        <w:id w:val="6703"/>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napToGrid w:val="0"/>
        <w:spacing w:line="240" w:lineRule="atLeast"/>
        <w:ind w:left="1470" w:right="25" w:rightChars="12" w:hanging="1470" w:hangingChars="700"/>
        <w:rPr>
          <w:szCs w:val="21"/>
        </w:rPr>
      </w:pPr>
    </w:p>
    <w:sdt>
      <w:sdtPr>
        <w:tag w:val="_PLD_f25282ca0aa747c187a8a82be3c8eb51"/>
        <w:id w:val="6704"/>
      </w:sdtPr>
      <w:sdtContent>
        <w:p>
          <w:pPr>
            <w:pStyle w:val="4"/>
            <w:numPr>
              <w:ilvl w:val="0"/>
              <w:numId w:val="62"/>
            </w:numPr>
            <w:rPr>
              <w:rFonts w:hint="eastAsia" w:ascii="宋体" w:hAnsi="宋体" w:cs="宋体"/>
              <w:kern w:val="0"/>
              <w:szCs w:val="21"/>
            </w:rPr>
          </w:pPr>
          <w:r>
            <w:rPr>
              <w:rFonts w:hint="eastAsia" w:ascii="宋体" w:hAnsi="宋体" w:cs="宋体"/>
              <w:kern w:val="0"/>
              <w:szCs w:val="21"/>
            </w:rPr>
            <w:t>应收票据</w:t>
          </w:r>
        </w:p>
      </w:sdtContent>
    </w:sdt>
    <w:p>
      <w:pPr>
        <w:pStyle w:val="5"/>
        <w:numPr>
          <w:ilvl w:val="3"/>
          <w:numId w:val="63"/>
        </w:numPr>
        <w:ind w:left="426" w:hanging="426"/>
        <w:rPr>
          <w:rFonts w:hint="eastAsia"/>
        </w:rPr>
      </w:pPr>
      <w:r>
        <w:rPr>
          <w:rFonts w:hint="eastAsia"/>
        </w:rPr>
        <w:t>应收票据分类列示</w:t>
      </w:r>
    </w:p>
    <w:sdt>
      <w:sdtPr>
        <w:alias w:val="是否适用：应收票据分类列示[双击切换]"/>
        <w:tag w:val="_GBC_bdf010020d484a01ae60c52d7465a06a"/>
        <w:id w:val="6705"/>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napToGrid w:val="0"/>
        <w:spacing w:line="240" w:lineRule="atLeast"/>
        <w:jc w:val="right"/>
        <w:rPr>
          <w:szCs w:val="21"/>
        </w:rPr>
      </w:pPr>
      <w:r>
        <w:rPr>
          <w:rFonts w:hint="eastAsia"/>
          <w:szCs w:val="21"/>
        </w:rPr>
        <w:t>单位：</w:t>
      </w:r>
      <w:sdt>
        <w:sdtPr>
          <w:rPr>
            <w:rFonts w:hint="eastAsia"/>
            <w:szCs w:val="21"/>
          </w:rPr>
          <w:alias w:val="单位：财务附注：应收票据分类"/>
          <w:tag w:val="_GBC_4fa3399364a4449485326bfdb1de5245"/>
          <w:id w:val="670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应收票据分类"/>
          <w:tag w:val="_GBC_0daf818486924555b786788616dee3e7"/>
          <w:id w:val="670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2991"/>
        <w:gridCol w:w="3128"/>
        <w:gridCol w:w="2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2991" w:type="dxa"/>
            <w:vAlign w:val="center"/>
          </w:tcPr>
          <w:sdt>
            <w:sdtPr>
              <w:tag w:val="_PLD_bd44f6beac5e4b8688c30e166c6780c8"/>
              <w:id w:val="6708"/>
            </w:sdtPr>
            <w:sdtContent>
              <w:p>
                <w:pPr>
                  <w:autoSpaceDE w:val="0"/>
                  <w:autoSpaceDN w:val="0"/>
                  <w:adjustRightInd w:val="0"/>
                  <w:snapToGrid w:val="0"/>
                  <w:spacing w:line="240" w:lineRule="atLeast"/>
                  <w:jc w:val="center"/>
                  <w:rPr>
                    <w:szCs w:val="21"/>
                  </w:rPr>
                </w:pPr>
                <w:r>
                  <w:rPr>
                    <w:rFonts w:hint="eastAsia"/>
                    <w:szCs w:val="21"/>
                  </w:rPr>
                  <w:t>项目</w:t>
                </w:r>
              </w:p>
            </w:sdtContent>
          </w:sdt>
        </w:tc>
        <w:tc>
          <w:tcPr>
            <w:tcW w:w="3128" w:type="dxa"/>
            <w:vAlign w:val="center"/>
          </w:tcPr>
          <w:sdt>
            <w:sdtPr>
              <w:tag w:val="_PLD_dea2f5c6a1cb487287096a3435e5e8de"/>
              <w:id w:val="6709"/>
            </w:sdtPr>
            <w:sdtContent>
              <w:p>
                <w:pPr>
                  <w:autoSpaceDE w:val="0"/>
                  <w:autoSpaceDN w:val="0"/>
                  <w:adjustRightInd w:val="0"/>
                  <w:snapToGrid w:val="0"/>
                  <w:spacing w:line="240" w:lineRule="atLeast"/>
                  <w:jc w:val="center"/>
                  <w:rPr>
                    <w:szCs w:val="21"/>
                  </w:rPr>
                </w:pPr>
                <w:r>
                  <w:rPr>
                    <w:rFonts w:hint="eastAsia"/>
                    <w:szCs w:val="21"/>
                  </w:rPr>
                  <w:t>期末余额</w:t>
                </w:r>
              </w:p>
            </w:sdtContent>
          </w:sdt>
        </w:tc>
        <w:tc>
          <w:tcPr>
            <w:tcW w:w="2936" w:type="dxa"/>
            <w:vAlign w:val="center"/>
          </w:tcPr>
          <w:sdt>
            <w:sdtPr>
              <w:tag w:val="_PLD_5d16922842b04d10836d1bc80b3b3b4e"/>
              <w:id w:val="6710"/>
            </w:sdtPr>
            <w:sdtContent>
              <w:p>
                <w:pPr>
                  <w:autoSpaceDE w:val="0"/>
                  <w:autoSpaceDN w:val="0"/>
                  <w:adjustRightInd w:val="0"/>
                  <w:snapToGrid w:val="0"/>
                  <w:spacing w:line="240" w:lineRule="atLeast"/>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2991" w:type="dxa"/>
            <w:vAlign w:val="center"/>
          </w:tcPr>
          <w:p>
            <w:pPr>
              <w:autoSpaceDE w:val="0"/>
              <w:autoSpaceDN w:val="0"/>
              <w:adjustRightInd w:val="0"/>
              <w:snapToGrid w:val="0"/>
              <w:spacing w:line="240" w:lineRule="atLeast"/>
              <w:rPr>
                <w:szCs w:val="21"/>
              </w:rPr>
            </w:pPr>
            <w:r>
              <w:rPr>
                <w:rFonts w:hint="eastAsia"/>
                <w:szCs w:val="21"/>
              </w:rPr>
              <w:t>银行承兑票据</w:t>
            </w:r>
          </w:p>
        </w:tc>
        <w:tc>
          <w:tcPr>
            <w:tcW w:w="3128" w:type="dxa"/>
            <w:vAlign w:val="center"/>
          </w:tcPr>
          <w:p>
            <w:pPr>
              <w:ind w:right="13"/>
              <w:jc w:val="right"/>
              <w:rPr>
                <w:szCs w:val="21"/>
              </w:rPr>
            </w:pPr>
            <w:r>
              <w:rPr>
                <w:rFonts w:hint="eastAsia"/>
                <w:color w:val="auto"/>
                <w:szCs w:val="21"/>
              </w:rPr>
              <w:t>7,222,994.79</w:t>
            </w:r>
          </w:p>
        </w:tc>
        <w:tc>
          <w:tcPr>
            <w:tcW w:w="2936" w:type="dxa"/>
            <w:vAlign w:val="center"/>
          </w:tcPr>
          <w:p>
            <w:pPr>
              <w:ind w:right="13"/>
              <w:jc w:val="right"/>
              <w:rPr>
                <w:szCs w:val="21"/>
              </w:rPr>
            </w:pPr>
            <w:r>
              <w:rPr>
                <w:rFonts w:hint="eastAsia"/>
                <w:color w:val="auto"/>
                <w:szCs w:val="21"/>
              </w:rPr>
              <w:t>10,673,284.91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2991" w:type="dxa"/>
            <w:vAlign w:val="center"/>
          </w:tcPr>
          <w:p>
            <w:pPr>
              <w:autoSpaceDE w:val="0"/>
              <w:autoSpaceDN w:val="0"/>
              <w:adjustRightInd w:val="0"/>
              <w:snapToGrid w:val="0"/>
              <w:spacing w:line="240" w:lineRule="atLeast"/>
              <w:jc w:val="center"/>
              <w:rPr>
                <w:szCs w:val="21"/>
              </w:rPr>
            </w:pPr>
            <w:r>
              <w:rPr>
                <w:rFonts w:hint="eastAsia"/>
                <w:szCs w:val="21"/>
              </w:rPr>
              <w:t>合计</w:t>
            </w:r>
          </w:p>
        </w:tc>
        <w:tc>
          <w:tcPr>
            <w:tcW w:w="3128" w:type="dxa"/>
            <w:vAlign w:val="center"/>
          </w:tcPr>
          <w:p>
            <w:pPr>
              <w:jc w:val="right"/>
              <w:rPr>
                <w:szCs w:val="21"/>
              </w:rPr>
            </w:pPr>
            <w:r>
              <w:rPr>
                <w:rFonts w:hint="eastAsia"/>
                <w:color w:val="auto"/>
                <w:szCs w:val="21"/>
              </w:rPr>
              <w:t>7,222,994.79</w:t>
            </w:r>
          </w:p>
        </w:tc>
        <w:tc>
          <w:tcPr>
            <w:tcW w:w="2936" w:type="dxa"/>
            <w:vAlign w:val="center"/>
          </w:tcPr>
          <w:p>
            <w:pPr>
              <w:autoSpaceDE w:val="0"/>
              <w:autoSpaceDN w:val="0"/>
              <w:adjustRightInd w:val="0"/>
              <w:jc w:val="right"/>
              <w:rPr>
                <w:szCs w:val="21"/>
              </w:rPr>
            </w:pPr>
            <w:r>
              <w:rPr>
                <w:rFonts w:hint="eastAsia"/>
                <w:color w:val="auto"/>
                <w:szCs w:val="21"/>
              </w:rPr>
              <w:t>10,673,284.91</w:t>
            </w:r>
          </w:p>
        </w:tc>
      </w:tr>
    </w:tbl>
    <w:p>
      <w:pPr>
        <w:snapToGrid w:val="0"/>
        <w:spacing w:line="240" w:lineRule="atLeast"/>
        <w:rPr>
          <w:szCs w:val="21"/>
        </w:rPr>
      </w:pPr>
    </w:p>
    <w:p>
      <w:pPr>
        <w:pStyle w:val="5"/>
        <w:numPr>
          <w:ilvl w:val="3"/>
          <w:numId w:val="63"/>
        </w:numPr>
        <w:ind w:left="426" w:hanging="426"/>
        <w:rPr>
          <w:rFonts w:hint="eastAsia"/>
        </w:rPr>
      </w:pPr>
      <w:r>
        <w:t>期末公司已</w:t>
      </w:r>
      <w:r>
        <w:rPr>
          <w:rFonts w:hint="eastAsia"/>
        </w:rPr>
        <w:t>质押</w:t>
      </w:r>
      <w:r>
        <w:t>的应收票据</w:t>
      </w:r>
    </w:p>
    <w:sdt>
      <w:sdtPr>
        <w:alias w:val="是否适用：期末公司已质押的应收票据[双击切换]"/>
        <w:tag w:val="_GBC_5281ffb2b9304a49a6db0c913bbaac53"/>
        <w:id w:val="6711"/>
        <w:placeholder>
          <w:docPart w:val="GBC22222222222222222222222222222"/>
        </w:placeholder>
      </w:sdtPr>
      <w:sdtContent>
        <w:p>
          <w:r>
            <w:rPr>
              <w:rFonts w:ascii="宋体" w:hAnsi="宋体"/>
            </w:rPr>
            <w:fldChar w:fldCharType="begin"/>
          </w:r>
          <w:r>
            <w:rPr>
              <w:rFonts w:hint="eastAsia" w:ascii="宋体" w:hAnsi="宋体"/>
              <w:lang w:eastAsia="zh-CN"/>
            </w:rPr>
            <w:instrText xml:space="preserve">MACROBUTTON  SnrToggleCheckbox □适用 </w:instrText>
          </w:r>
          <w:r>
            <w:rPr>
              <w:rFonts w:ascii="宋体" w:hAnsi="宋体"/>
            </w:rPr>
            <w:fldChar w:fldCharType="end"/>
          </w:r>
          <w:r>
            <w:rPr>
              <w:rFonts w:ascii="宋体" w:hAnsi="宋体"/>
            </w:rPr>
            <w:fldChar w:fldCharType="begin"/>
          </w:r>
          <w:r>
            <w:rPr>
              <w:rFonts w:hint="eastAsia" w:ascii="宋体" w:hAnsi="宋体"/>
              <w:lang w:eastAsia="zh-CN"/>
            </w:rPr>
            <w:instrText xml:space="preserve"> MACROBUTTON  SnrToggleCheckbox √不适用 </w:instrText>
          </w:r>
          <w:r>
            <w:rPr>
              <w:rFonts w:ascii="宋体" w:hAnsi="宋体"/>
            </w:rPr>
            <w:fldChar w:fldCharType="end"/>
          </w:r>
        </w:p>
      </w:sdtContent>
    </w:sdt>
    <w:p>
      <w:pPr>
        <w:rPr>
          <w:szCs w:val="21"/>
        </w:rPr>
      </w:pPr>
    </w:p>
    <w:p>
      <w:pPr>
        <w:pStyle w:val="5"/>
        <w:numPr>
          <w:ilvl w:val="3"/>
          <w:numId w:val="63"/>
        </w:numPr>
        <w:ind w:left="426" w:hanging="426"/>
        <w:rPr>
          <w:rFonts w:hint="eastAsia"/>
        </w:rPr>
      </w:pPr>
      <w:r>
        <w:rPr>
          <w:rFonts w:hint="eastAsia"/>
        </w:rPr>
        <w:t>期末公司已背书或贴现且在资产负债表日尚未到期的应收票据</w:t>
      </w:r>
    </w:p>
    <w:sdt>
      <w:sdtPr>
        <w:alias w:val="是否适用：期末公司已背书或贴现且在资产负债表日尚未到期的应收票据[双击切换]"/>
        <w:tag w:val="_GBC_fcf5deb5a8d847f0b643987adde9a558"/>
        <w:id w:val="6712"/>
        <w:placeholder>
          <w:docPart w:val="GBC22222222222222222222222222222"/>
        </w:placeholder>
      </w:sdtPr>
      <w:sdtContent>
        <w:p>
          <w:pPr>
            <w:keepNext w:val="0"/>
            <w:keepLines w:val="0"/>
            <w:pageBreakBefore w:val="0"/>
            <w:widowControl/>
            <w:kinsoku/>
            <w:wordWrap/>
            <w:overflowPunct/>
            <w:topLinePunct w:val="0"/>
            <w:bidi w:val="0"/>
            <w:spacing w:line="560" w:lineRule="exact"/>
            <w:textAlignment w:val="auto"/>
          </w:pPr>
          <w:r>
            <w:rPr>
              <w:rFonts w:ascii="宋体" w:hAnsi="宋体"/>
            </w:rPr>
            <w:fldChar w:fldCharType="begin"/>
          </w:r>
          <w:r>
            <w:rPr>
              <w:rFonts w:hint="eastAsia" w:ascii="宋体" w:hAnsi="宋体"/>
              <w:lang w:eastAsia="zh-CN"/>
            </w:rPr>
            <w:instrText xml:space="preserve">MACROBUTTON  SnrToggleCheckbox √适用 </w:instrText>
          </w:r>
          <w:r>
            <w:rPr>
              <w:rFonts w:ascii="宋体" w:hAnsi="宋体"/>
            </w:rPr>
            <w:fldChar w:fldCharType="end"/>
          </w:r>
          <w:r>
            <w:rPr>
              <w:rFonts w:ascii="宋体" w:hAnsi="宋体"/>
            </w:rPr>
            <w:fldChar w:fldCharType="begin"/>
          </w:r>
          <w:r>
            <w:rPr>
              <w:rFonts w:hint="eastAsia" w:ascii="宋体" w:hAnsi="宋体"/>
              <w:lang w:eastAsia="zh-CN"/>
            </w:rPr>
            <w:instrText xml:space="preserve"> MACROBUTTON  SnrToggleCheckbox □不适用 </w:instrText>
          </w:r>
          <w:r>
            <w:rPr>
              <w:rFonts w:ascii="宋体" w:hAnsi="宋体"/>
            </w:rPr>
            <w:fldChar w:fldCharType="end"/>
          </w:r>
        </w:p>
      </w:sdtContent>
    </w:sdt>
    <w:p>
      <w:pPr>
        <w:keepNext w:val="0"/>
        <w:keepLines w:val="0"/>
        <w:pageBreakBefore w:val="0"/>
        <w:widowControl/>
        <w:kinsoku/>
        <w:wordWrap/>
        <w:overflowPunct/>
        <w:topLinePunct w:val="0"/>
        <w:autoSpaceDE w:val="0"/>
        <w:autoSpaceDN w:val="0"/>
        <w:bidi w:val="0"/>
        <w:adjustRightInd w:val="0"/>
        <w:snapToGrid w:val="0"/>
        <w:spacing w:line="560" w:lineRule="exact"/>
        <w:textAlignment w:val="auto"/>
        <w:rPr>
          <w:rFonts w:hint="eastAsia"/>
          <w:szCs w:val="21"/>
        </w:rPr>
      </w:pPr>
      <w:r>
        <w:rPr>
          <w:rFonts w:hint="eastAsia"/>
          <w:szCs w:val="21"/>
        </w:rPr>
        <w:t>截至2025年12月31日，本公司已背书或贴现且在资产负债表日尚未到期的应收票据320,881.40元。</w:t>
      </w:r>
    </w:p>
    <w:p>
      <w:pPr>
        <w:rPr>
          <w:kern w:val="2"/>
        </w:rPr>
      </w:pPr>
    </w:p>
    <w:p>
      <w:pPr>
        <w:pStyle w:val="5"/>
        <w:numPr>
          <w:ilvl w:val="3"/>
          <w:numId w:val="63"/>
        </w:numPr>
        <w:ind w:left="426" w:hanging="426"/>
        <w:rPr>
          <w:rFonts w:hint="eastAsia"/>
        </w:rPr>
      </w:pPr>
      <w:bookmarkStart w:id="214" w:name="_Hlk533596246"/>
      <w:r>
        <w:t>按坏账计提方法分类披露</w:t>
      </w:r>
    </w:p>
    <w:sdt>
      <w:sdtPr>
        <w:alias w:val="是否适用：应收票据按坏账计提方法分类披露[双击切换]"/>
        <w:tag w:val="_GBC_806abc31b942462ba4b46f92c99312a5"/>
        <w:id w:val="6713"/>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bookmarkEnd w:id="214"/>
    <w:p>
      <w:r>
        <w:rPr>
          <w:rFonts w:hint="eastAsia"/>
        </w:rPr>
        <w:t>按单项计提坏账准备：</w:t>
      </w:r>
    </w:p>
    <w:sdt>
      <w:sdtPr>
        <w:rPr>
          <w:rFonts w:hint="eastAsia"/>
        </w:rPr>
        <w:alias w:val="是否适用：按单项计提坏账准备的应收票据详细情况[双击切换]"/>
        <w:tag w:val="_GBC_9f41f638de8f4c42b9d00ca6755931fb"/>
        <w:id w:val="6714"/>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sdt>
      <w:sdtPr>
        <w:tag w:val="_PLD_c5822df72e094b5083c45a32639c6995"/>
        <w:id w:val="6715"/>
      </w:sdtPr>
      <w:sdtContent>
        <w:p>
          <w:pPr>
            <w:rPr>
              <w:rFonts w:asciiTheme="minorHAnsi" w:hAnsiTheme="minorHAnsi" w:cstheme="minorBidi"/>
              <w:bCs/>
              <w:szCs w:val="22"/>
            </w:rPr>
          </w:pPr>
          <w:r>
            <w:rPr>
              <w:rFonts w:hint="eastAsia" w:asciiTheme="minorHAnsi" w:hAnsiTheme="minorHAnsi" w:cstheme="minorBidi"/>
              <w:bCs/>
              <w:szCs w:val="22"/>
            </w:rPr>
            <w:t>按组合计提坏账准备：</w:t>
          </w:r>
        </w:p>
      </w:sdtContent>
    </w:sdt>
    <w:sdt>
      <w:sdtPr>
        <w:rPr>
          <w:rFonts w:hint="eastAsia" w:asciiTheme="minorHAnsi" w:hAnsiTheme="minorHAnsi" w:cstheme="minorBidi"/>
          <w:bCs/>
          <w:szCs w:val="22"/>
        </w:rPr>
        <w:alias w:val="是否适用：按组合计提坏账准备的应收票据详细情况[双击切换]"/>
        <w:tag w:val="_GBC_6007da8f43a241c5b804069722b7b005"/>
        <w:id w:val="6716"/>
        <w:placeholder>
          <w:docPart w:val="GBC22222222222222222222222222222"/>
        </w:placeholder>
      </w:sdtPr>
      <w:sdtEndPr>
        <w:rPr>
          <w:rFonts w:hint="eastAsia" w:asciiTheme="minorHAnsi" w:hAnsiTheme="minorHAnsi" w:cstheme="minorBidi"/>
          <w:bCs/>
          <w:szCs w:val="22"/>
        </w:rPr>
      </w:sdtEndPr>
      <w:sdtContent>
        <w:p>
          <w:pPr>
            <w:rPr>
              <w:rFonts w:ascii="宋体" w:hAnsi="宋体" w:cstheme="minorBidi"/>
              <w:bCs/>
              <w:szCs w:val="22"/>
            </w:rPr>
          </w:pPr>
          <w:r>
            <w:rPr>
              <w:rFonts w:ascii="宋体" w:hAnsi="宋体" w:cstheme="minorBidi"/>
              <w:bCs/>
              <w:szCs w:val="22"/>
            </w:rPr>
            <w:fldChar w:fldCharType="begin"/>
          </w:r>
          <w:r>
            <w:rPr>
              <w:rFonts w:ascii="宋体" w:hAnsi="宋体" w:cstheme="minorBidi"/>
              <w:bCs/>
              <w:szCs w:val="22"/>
            </w:rPr>
            <w:instrText xml:space="preserve"> </w:instrText>
          </w:r>
          <w:r>
            <w:rPr>
              <w:rFonts w:hint="eastAsia" w:ascii="宋体" w:hAnsi="宋体" w:cstheme="minorBidi"/>
              <w:bCs/>
              <w:szCs w:val="22"/>
            </w:rPr>
            <w:instrText xml:space="preserve">MACROBUTTON  SnrToggleCheckbox □适用</w:instrText>
          </w:r>
          <w:r>
            <w:rPr>
              <w:rFonts w:ascii="宋体" w:hAnsi="宋体" w:cstheme="minorBidi"/>
              <w:bCs/>
              <w:szCs w:val="22"/>
            </w:rPr>
            <w:fldChar w:fldCharType="end"/>
          </w:r>
          <w:r>
            <w:rPr>
              <w:rFonts w:ascii="宋体" w:hAnsi="宋体" w:cstheme="minorBidi"/>
              <w:bCs/>
              <w:szCs w:val="22"/>
            </w:rPr>
            <w:fldChar w:fldCharType="begin"/>
          </w:r>
          <w:r>
            <w:rPr>
              <w:rFonts w:ascii="宋体" w:hAnsi="宋体" w:cstheme="minorBidi"/>
              <w:bCs/>
              <w:szCs w:val="22"/>
            </w:rPr>
            <w:instrText xml:space="preserve"> MACROBUTTON  SnrToggleCheckbox √不适用 </w:instrText>
          </w:r>
          <w:r>
            <w:rPr>
              <w:rFonts w:ascii="宋体" w:hAnsi="宋体" w:cstheme="minorBidi"/>
              <w:bCs/>
              <w:szCs w:val="22"/>
            </w:rPr>
            <w:fldChar w:fldCharType="end"/>
          </w:r>
        </w:p>
        <w:p>
          <w:pPr>
            <w:rPr>
              <w:rFonts w:asciiTheme="minorHAnsi" w:hAnsiTheme="minorHAnsi" w:cstheme="minorBidi"/>
              <w:bCs/>
              <w:szCs w:val="22"/>
            </w:rPr>
          </w:pPr>
        </w:p>
      </w:sdtContent>
    </w:sdt>
    <w:p>
      <w:pPr>
        <w:rPr>
          <w:rFonts w:cstheme="minorBidi"/>
          <w:bCs/>
          <w:szCs w:val="22"/>
        </w:rPr>
      </w:pPr>
      <w:bookmarkStart w:id="215" w:name="_Hlk533601037"/>
      <w:bookmarkEnd w:id="215"/>
      <w:bookmarkStart w:id="216" w:name="_Hlk153356892"/>
      <w:r>
        <w:rPr>
          <w:rFonts w:hint="eastAsia" w:cstheme="minorBidi"/>
          <w:bCs/>
          <w:szCs w:val="22"/>
        </w:rPr>
        <w:t>按预期信用损失一般模型计提坏账准备</w:t>
      </w:r>
    </w:p>
    <w:sdt>
      <w:sdtPr>
        <w:rPr>
          <w:rFonts w:cstheme="minorBidi"/>
          <w:bCs/>
          <w:szCs w:val="22"/>
        </w:rPr>
        <w:alias w:val="是否适用：按预期信用损失一般模型计提坏账准备[双击切换]"/>
        <w:tag w:val="_GBC_8365966006504a25b2c8db13d573e88d"/>
        <w:id w:val="6717"/>
        <w:placeholder>
          <w:docPart w:val="GBC22222222222222222222222222222"/>
        </w:placeholder>
      </w:sdtPr>
      <w:sdtEndPr>
        <w:rPr>
          <w:rFonts w:cstheme="minorBidi"/>
          <w:bCs/>
          <w:szCs w:val="22"/>
        </w:rPr>
      </w:sdtEndPr>
      <w:sdtContent>
        <w:p>
          <w:pPr>
            <w:rPr>
              <w:rFonts w:cstheme="minorBidi"/>
              <w:bCs/>
              <w:szCs w:val="22"/>
            </w:rPr>
          </w:pPr>
          <w:r>
            <w:rPr>
              <w:rFonts w:ascii="宋体" w:hAnsi="宋体" w:cstheme="minorBidi"/>
              <w:bCs/>
              <w:szCs w:val="22"/>
            </w:rPr>
            <w:fldChar w:fldCharType="begin"/>
          </w:r>
          <w:r>
            <w:rPr>
              <w:rFonts w:ascii="宋体" w:hAnsi="宋体" w:cstheme="minorBidi"/>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Pr>
              <w:rFonts w:ascii="宋体" w:hAnsi="宋体" w:cstheme="minorBidi"/>
              <w:bCs/>
              <w:szCs w:val="22"/>
            </w:rPr>
            <w:instrText xml:space="preserve"> MACROBUTTON  SnrToggleCheckbox √不适用 </w:instrText>
          </w:r>
          <w:r>
            <w:rPr>
              <w:rFonts w:ascii="宋体" w:hAnsi="宋体" w:cstheme="minorBidi"/>
              <w:bCs/>
              <w:szCs w:val="22"/>
            </w:rPr>
            <w:fldChar w:fldCharType="end"/>
          </w:r>
        </w:p>
      </w:sdtContent>
    </w:sdt>
    <w:p>
      <w:pPr>
        <w:autoSpaceDE w:val="0"/>
        <w:autoSpaceDN w:val="0"/>
        <w:adjustRightInd w:val="0"/>
        <w:ind w:right="105" w:rightChars="50"/>
        <w:rPr>
          <w:szCs w:val="21"/>
        </w:rPr>
      </w:pPr>
    </w:p>
    <w:p>
      <w:pPr>
        <w:autoSpaceDE w:val="0"/>
        <w:autoSpaceDN w:val="0"/>
        <w:adjustRightInd w:val="0"/>
        <w:ind w:right="105" w:rightChars="50"/>
        <w:rPr>
          <w:szCs w:val="21"/>
        </w:rPr>
      </w:pPr>
      <w:r>
        <w:rPr>
          <w:rFonts w:hint="eastAsia"/>
          <w:szCs w:val="21"/>
        </w:rPr>
        <w:t>各阶段划分依据和坏账准备计提比例</w:t>
      </w:r>
    </w:p>
    <w:sdt>
      <w:sdtPr>
        <w:rPr>
          <w:bCs/>
          <w:szCs w:val="22"/>
        </w:rPr>
        <w:alias w:val="各阶段划分依据和坏账准备计提比例"/>
        <w:tag w:val="_GBC_64b745b874a741e0959d6b23dbf1c56a"/>
        <w:id w:val="6718"/>
        <w:placeholder>
          <w:docPart w:val="GBC22222222222222222222222222222"/>
        </w:placeholder>
      </w:sdtPr>
      <w:sdtEndPr>
        <w:rPr>
          <w:bCs/>
          <w:szCs w:val="22"/>
        </w:rPr>
      </w:sdtEndPr>
      <w:sdtContent>
        <w:p>
          <w:pPr>
            <w:rPr>
              <w:bCs/>
              <w:szCs w:val="22"/>
            </w:rPr>
          </w:pPr>
          <w:r>
            <w:rPr>
              <w:rFonts w:hint="eastAsia"/>
              <w:bCs/>
              <w:szCs w:val="22"/>
            </w:rPr>
            <w:t>无</w:t>
          </w:r>
        </w:p>
      </w:sdtContent>
    </w:sdt>
    <w:p>
      <w:pPr>
        <w:rPr>
          <w:rFonts w:asciiTheme="minorHAnsi" w:hAnsiTheme="minorHAnsi" w:cstheme="minorBidi"/>
          <w:b/>
          <w:bCs/>
          <w:szCs w:val="22"/>
        </w:rPr>
      </w:pPr>
    </w:p>
    <w:p>
      <w:pPr>
        <w:pStyle w:val="73"/>
      </w:pPr>
      <w:r>
        <w:rPr>
          <w:rFonts w:hint="eastAsia"/>
        </w:rPr>
        <w:t>对本期发生损失准备变动的应收票据账面余额显著变动的情况说明：</w:t>
      </w:r>
    </w:p>
    <w:sdt>
      <w:sdtPr>
        <w:rPr>
          <w:szCs w:val="21"/>
        </w:rPr>
        <w:alias w:val="是否适用：对本期发生损失准备变动的账面余额显著变动的情况说明[双击切换]"/>
        <w:tag w:val="_GBC_2f34fd35c9654c8fa0b6583125cc946c"/>
        <w:id w:val="6719"/>
        <w:placeholder>
          <w:docPart w:val="GBC22222222222222222222222222222"/>
        </w:placeholder>
      </w:sdtPr>
      <w:sdtEndPr>
        <w:rPr>
          <w:szCs w:val="21"/>
        </w:rPr>
      </w:sdtEndPr>
      <w:sdtContent>
        <w:p>
          <w:pPr>
            <w:autoSpaceDE w:val="0"/>
            <w:autoSpaceDN w:val="0"/>
            <w:adjustRightInd w:val="0"/>
            <w:ind w:right="105" w:rightChars="50"/>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rFonts w:asciiTheme="minorHAnsi" w:hAnsiTheme="minorHAnsi" w:cstheme="minorBidi"/>
          <w:b/>
          <w:bCs/>
          <w:szCs w:val="22"/>
        </w:rPr>
      </w:pPr>
    </w:p>
    <w:bookmarkEnd w:id="216"/>
    <w:p>
      <w:pPr>
        <w:pStyle w:val="5"/>
        <w:numPr>
          <w:ilvl w:val="3"/>
          <w:numId w:val="63"/>
        </w:numPr>
        <w:ind w:left="426" w:hanging="426"/>
        <w:rPr>
          <w:rFonts w:hint="eastAsia"/>
        </w:rPr>
      </w:pPr>
      <w:bookmarkStart w:id="217" w:name="_Hlk154148795"/>
      <w:bookmarkStart w:id="218" w:name="_Hlk532980547"/>
      <w:r>
        <w:rPr>
          <w:rFonts w:hint="eastAsia"/>
        </w:rPr>
        <w:t>坏账准备的情况</w:t>
      </w:r>
    </w:p>
    <w:sdt>
      <w:sdtPr>
        <w:alias w:val="是否适用：应收票据坏账准备情况[双击切换]"/>
        <w:tag w:val="_GBC_3c7b44ae9e3b4aa6a67012163093206f"/>
        <w:id w:val="6720"/>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r>
        <w:rPr>
          <w:rFonts w:hint="eastAsia"/>
        </w:rPr>
        <w:t>其中本期坏账准备收回或转回金额重要的：</w:t>
      </w:r>
    </w:p>
    <w:sdt>
      <w:sdtPr>
        <w:rPr>
          <w:rFonts w:hint="eastAsia"/>
        </w:rPr>
        <w:alias w:val="是否适用：应收票据本期坏账准备收回或转回金额重要的[双击切换]"/>
        <w:tag w:val="_GBC_a6a792a8896944378df4570674cd83e4"/>
        <w:id w:val="6721"/>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r>
        <w:rPr>
          <w:rFonts w:hint="eastAsia"/>
        </w:rPr>
        <w:t>其他说明：</w:t>
      </w:r>
    </w:p>
    <w:sdt>
      <w:sdtPr>
        <w:rPr>
          <w:rFonts w:cstheme="minorBidi"/>
          <w:b/>
          <w:bCs w:val="0"/>
          <w:szCs w:val="22"/>
        </w:rPr>
        <w:alias w:val="应收票据坏账准备的其他说明"/>
        <w:tag w:val="_GBC_861db5fd771c449390c4ea436bc9ad1e"/>
        <w:id w:val="6722"/>
        <w:placeholder>
          <w:docPart w:val="GBC22222222222222222222222222222"/>
        </w:placeholder>
      </w:sdtPr>
      <w:sdtEndPr>
        <w:rPr>
          <w:rFonts w:asciiTheme="minorHAnsi" w:hAnsiTheme="minorHAnsi" w:cstheme="minorBidi"/>
          <w:b w:val="0"/>
          <w:bCs/>
          <w:szCs w:val="22"/>
        </w:rPr>
      </w:sdtEndPr>
      <w:sdtContent>
        <w:p>
          <w:pPr>
            <w:rPr>
              <w:rFonts w:asciiTheme="minorHAnsi" w:hAnsiTheme="minorHAnsi" w:cstheme="minorBidi"/>
              <w:b w:val="0"/>
              <w:bCs/>
              <w:szCs w:val="22"/>
            </w:rPr>
          </w:pPr>
          <w:r>
            <w:rPr>
              <w:rFonts w:cstheme="minorBidi"/>
              <w:b w:val="0"/>
              <w:bCs/>
              <w:szCs w:val="22"/>
            </w:rPr>
            <w:t>无</w:t>
          </w:r>
        </w:p>
      </w:sdtContent>
    </w:sdt>
    <w:p>
      <w:pPr>
        <w:rPr>
          <w:rFonts w:asciiTheme="minorHAnsi" w:hAnsiTheme="minorHAnsi" w:cstheme="minorBidi"/>
          <w:b/>
          <w:bCs/>
          <w:szCs w:val="22"/>
        </w:rPr>
      </w:pPr>
    </w:p>
    <w:bookmarkEnd w:id="217"/>
    <w:bookmarkEnd w:id="218"/>
    <w:p>
      <w:pPr>
        <w:pStyle w:val="5"/>
        <w:numPr>
          <w:ilvl w:val="3"/>
          <w:numId w:val="63"/>
        </w:numPr>
        <w:ind w:left="426" w:hanging="426"/>
        <w:rPr>
          <w:rFonts w:hint="eastAsia"/>
        </w:rPr>
      </w:pPr>
      <w:bookmarkStart w:id="219" w:name="_Hlk152837614"/>
      <w:bookmarkStart w:id="220" w:name="_Hlk532982011"/>
      <w:r>
        <w:rPr>
          <w:rFonts w:hint="eastAsia"/>
        </w:rPr>
        <w:t>本期实际核销的应收票据情况</w:t>
      </w:r>
    </w:p>
    <w:sdt>
      <w:sdtPr>
        <w:alias w:val="是否适用：实际核销的应收票据[双击切换]"/>
        <w:tag w:val="_GBC_a0d8af67abfc4a1698fd198064d3b108"/>
        <w:id w:val="6723"/>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bookmarkEnd w:id="219"/>
    <w:p>
      <w:pPr>
        <w:rPr>
          <w:szCs w:val="21"/>
        </w:rPr>
      </w:pPr>
      <w:bookmarkStart w:id="221" w:name="_Hlk152837635"/>
      <w:r>
        <w:rPr>
          <w:rFonts w:hint="eastAsia"/>
          <w:szCs w:val="21"/>
        </w:rPr>
        <w:t>其中重要的应收票据核销情况：</w:t>
      </w:r>
    </w:p>
    <w:sdt>
      <w:sdtPr>
        <w:rPr>
          <w:szCs w:val="21"/>
        </w:rPr>
        <w:alias w:val="是否适用：重要的应收票据核销[双击切换]"/>
        <w:tag w:val="_GBC_8a4eb0fe2cd044db955869f172508ff4"/>
        <w:id w:val="6724"/>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snapToGrid w:val="0"/>
        <w:spacing w:line="240" w:lineRule="atLeast"/>
        <w:rPr>
          <w:szCs w:val="21"/>
        </w:rPr>
      </w:pPr>
    </w:p>
    <w:bookmarkEnd w:id="221"/>
    <w:p>
      <w:pPr>
        <w:snapToGrid w:val="0"/>
        <w:spacing w:line="240" w:lineRule="atLeast"/>
        <w:rPr>
          <w:szCs w:val="21"/>
        </w:rPr>
      </w:pPr>
      <w:bookmarkStart w:id="222" w:name="_Hlk152837641"/>
      <w:r>
        <w:rPr>
          <w:rFonts w:hint="eastAsia"/>
          <w:szCs w:val="21"/>
        </w:rPr>
        <w:t>应收票据核销说明：</w:t>
      </w:r>
    </w:p>
    <w:sdt>
      <w:sdtPr>
        <w:rPr>
          <w:rFonts w:asciiTheme="minorHAnsi" w:hAnsiTheme="minorHAnsi" w:cstheme="minorBidi"/>
          <w:bCs/>
          <w:szCs w:val="22"/>
        </w:rPr>
        <w:alias w:val="是否适用：应收票据核销说明[双击切换]"/>
        <w:tag w:val="_GBC_8e9a6863f024409f96d0d85cebbd362b"/>
        <w:id w:val="6725"/>
        <w:placeholder>
          <w:docPart w:val="GBC22222222222222222222222222222"/>
        </w:placeholder>
      </w:sdtPr>
      <w:sdtEndPr>
        <w:rPr>
          <w:rFonts w:asciiTheme="minorHAnsi" w:hAnsiTheme="minorHAnsi" w:cstheme="minorBidi"/>
          <w:bCs/>
          <w:szCs w:val="22"/>
        </w:rPr>
      </w:sdtEndPr>
      <w:sdtContent>
        <w:p>
          <w:pPr>
            <w:rPr>
              <w:rFonts w:asciiTheme="minorHAnsi" w:hAnsiTheme="minorHAnsi" w:cstheme="minorBidi"/>
              <w:bCs/>
              <w:szCs w:val="22"/>
            </w:rPr>
          </w:pPr>
          <w:r>
            <w:rPr>
              <w:rFonts w:ascii="宋体" w:hAnsi="宋体" w:cstheme="minorBidi"/>
              <w:bCs/>
              <w:szCs w:val="22"/>
            </w:rPr>
            <w:fldChar w:fldCharType="begin"/>
          </w:r>
          <w:r>
            <w:rPr>
              <w:rFonts w:ascii="宋体" w:hAnsi="宋体" w:cstheme="minorBidi"/>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Pr>
              <w:rFonts w:ascii="宋体" w:hAnsi="宋体" w:cstheme="minorBidi"/>
              <w:bCs/>
              <w:szCs w:val="22"/>
            </w:rPr>
            <w:instrText xml:space="preserve"> MACROBUTTON  SnrToggleCheckbox √不适用 </w:instrText>
          </w:r>
          <w:r>
            <w:rPr>
              <w:rFonts w:ascii="宋体" w:hAnsi="宋体" w:cstheme="minorBidi"/>
              <w:bCs/>
              <w:szCs w:val="22"/>
            </w:rPr>
            <w:fldChar w:fldCharType="end"/>
          </w:r>
        </w:p>
      </w:sdtContent>
    </w:sdt>
    <w:p>
      <w:pPr>
        <w:rPr>
          <w:rFonts w:asciiTheme="minorHAnsi" w:hAnsiTheme="minorHAnsi" w:cstheme="minorBidi"/>
          <w:b/>
          <w:bCs/>
          <w:szCs w:val="22"/>
        </w:rPr>
      </w:pPr>
    </w:p>
    <w:bookmarkEnd w:id="220"/>
    <w:bookmarkEnd w:id="222"/>
    <w:p>
      <w:r>
        <w:rPr>
          <w:rFonts w:hint="eastAsia"/>
        </w:rPr>
        <w:t>其他说明：</w:t>
      </w:r>
    </w:p>
    <w:sdt>
      <w:sdtPr>
        <w:alias w:val="是否适用：应收票据的说明[双击切换]"/>
        <w:tag w:val="_GBC_dc21e09520924a5db7020ba029631550"/>
        <w:id w:val="6726"/>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tag w:val="_PLD_94d7aa0c8eee4266908ec2c531f1de27"/>
        <w:id w:val="6727"/>
      </w:sdtPr>
      <w:sdtContent>
        <w:p>
          <w:pPr>
            <w:pStyle w:val="4"/>
            <w:numPr>
              <w:ilvl w:val="0"/>
              <w:numId w:val="62"/>
            </w:numPr>
            <w:rPr>
              <w:rFonts w:hint="eastAsia" w:ascii="宋体" w:hAnsi="宋体" w:cs="宋体"/>
              <w:kern w:val="0"/>
              <w:szCs w:val="21"/>
            </w:rPr>
          </w:pPr>
          <w:r>
            <w:rPr>
              <w:rFonts w:hint="eastAsia" w:ascii="宋体" w:hAnsi="宋体" w:cs="宋体"/>
              <w:kern w:val="0"/>
              <w:szCs w:val="21"/>
            </w:rPr>
            <w:t>应收账款</w:t>
          </w:r>
        </w:p>
      </w:sdtContent>
    </w:sdt>
    <w:p>
      <w:pPr>
        <w:pStyle w:val="5"/>
        <w:numPr>
          <w:ilvl w:val="3"/>
          <w:numId w:val="64"/>
        </w:numPr>
        <w:ind w:left="426" w:hanging="426"/>
        <w:rPr>
          <w:rFonts w:hint="eastAsia"/>
        </w:rPr>
      </w:pPr>
      <w:r>
        <w:rPr>
          <w:rFonts w:hint="eastAsia"/>
        </w:rPr>
        <w:t>按账龄披露</w:t>
      </w:r>
    </w:p>
    <w:sdt>
      <w:sdtPr>
        <w:rPr>
          <w:rFonts w:hint="eastAsia"/>
          <w:szCs w:val="21"/>
        </w:rPr>
        <w:alias w:val="是否适用：组合中，按账龄分析法计提坏账准备的应收账款[双击切换]"/>
        <w:tag w:val="_GBC_f6086903419d448ab27bc2735b69674a"/>
        <w:id w:val="2782"/>
        <w:placeholder>
          <w:docPart w:val="{4f3f4643-dfcf-4d3f-a4de-1827e39c45a1}"/>
        </w:placeholder>
      </w:sdtPr>
      <w:sdtEndPr>
        <w:rPr>
          <w:rFonts w:hint="eastAsia"/>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MACROBUTTON  SnrToggleCheckbox □不适用 </w:instrText>
          </w:r>
          <w:r>
            <w:rPr>
              <w:rFonts w:ascii="宋体" w:hAnsi="宋体"/>
              <w:szCs w:val="21"/>
            </w:rPr>
            <w:fldChar w:fldCharType="end"/>
          </w:r>
        </w:p>
      </w:sdtContent>
    </w:sdt>
    <w:p>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eeeef14b591e4a8d839681ee71744810"/>
          <w:id w:val="2783"/>
          <w:placeholder>
            <w:docPart w:val="{4f3f4643-dfcf-4d3f-a4de-1827e39c45a1}"/>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szCs w:val="21"/>
        </w:rPr>
        <w:t xml:space="preserve"> </w:t>
      </w:r>
      <w:r>
        <w:rPr>
          <w:rFonts w:hint="eastAsia"/>
          <w:szCs w:val="21"/>
        </w:rPr>
        <w:t>币种：</w:t>
      </w:r>
      <w:sdt>
        <w:sdtPr>
          <w:rPr>
            <w:rFonts w:hint="eastAsia"/>
            <w:szCs w:val="21"/>
          </w:rPr>
          <w:alias w:val="币种：财务附注：单项金额不重大但按信用风险特征组合后该组合的风险较大的应收账款"/>
          <w:tag w:val="_GBC_380b2c118777445781c47a562212f944"/>
          <w:id w:val="2784"/>
          <w:placeholder>
            <w:docPart w:val="{4f3f4643-dfcf-4d3f-a4de-1827e39c45a1}"/>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6"/>
        <w:gridCol w:w="3051"/>
        <w:gridCol w:w="3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987827fb8f754c15801979884cb78127"/>
            <w:id w:val="2935"/>
          </w:sdtPr>
          <w:sdtContent>
            <w:tc>
              <w:tcPr>
                <w:tcW w:w="294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账龄</w:t>
                </w:r>
              </w:p>
            </w:tc>
          </w:sdtContent>
        </w:sdt>
        <w:sdt>
          <w:sdtPr>
            <w:tag w:val="_PLD_53a2def126e844eabd4ea223442a8a87"/>
            <w:id w:val="2936"/>
          </w:sdtPr>
          <w:sdtContent>
            <w:tc>
              <w:tcPr>
                <w:tcW w:w="3051"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期末账面余额</w:t>
                </w:r>
              </w:p>
            </w:tc>
          </w:sdtContent>
        </w:sdt>
        <w:sdt>
          <w:sdtPr>
            <w:tag w:val="_PLD_a827d93406c24ad3bf1a17438f1117c1"/>
            <w:id w:val="2937"/>
          </w:sdtPr>
          <w:sdtContent>
            <w:tc>
              <w:tcPr>
                <w:tcW w:w="3051"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期初账面余额</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885917f15d1a46499cb812cd100e3cf1"/>
            <w:id w:val="2938"/>
          </w:sdtPr>
          <w:sdtContent>
            <w:tc>
              <w:tcPr>
                <w:tcW w:w="294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1年以内（含1年）</w:t>
                </w:r>
              </w:p>
            </w:tc>
          </w:sdtContent>
        </w:sdt>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100,760,319.06</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62,310,600.07</w:t>
            </w:r>
          </w:p>
        </w:tc>
      </w:tr>
      <w:sdt>
        <w:sdtPr>
          <w:rPr>
            <w:szCs w:val="21"/>
          </w:rPr>
          <w:alias w:val="一年以内应收账款金额明细"/>
          <w:tag w:val="_TUP_5db7a5c2674d42d3bac3cb2e10590f73"/>
          <w:id w:val="2939"/>
          <w:placeholder>
            <w:docPart w:val="{73c0a9c8-0d98-4571-ae8d-be29f44a5b03}"/>
          </w:placeholder>
        </w:sdtPr>
        <w:sdtEndPr>
          <w:rPr>
            <w:szCs w:val="21"/>
          </w:rPr>
        </w:sdtEndPr>
        <w:sdtContent>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946" w:type="dxa"/>
                <w:tcBorders>
                  <w:top w:val="single" w:color="auto" w:sz="4" w:space="0"/>
                  <w:left w:val="single" w:color="auto" w:sz="4" w:space="0"/>
                  <w:bottom w:val="single" w:color="auto" w:sz="4" w:space="0"/>
                  <w:right w:val="single" w:color="auto" w:sz="4" w:space="0"/>
                </w:tcBorders>
                <w:vAlign w:val="center"/>
              </w:tcPr>
              <w:p>
                <w:pPr>
                  <w:rPr>
                    <w:szCs w:val="21"/>
                  </w:rPr>
                </w:pPr>
                <w:r>
                  <w:t>0.5年以内</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rFonts w:hint="eastAsia" w:eastAsia="宋体"/>
                    <w:szCs w:val="21"/>
                    <w:lang w:eastAsia="zh-CN"/>
                  </w:rPr>
                </w:pPr>
                <w:r>
                  <w:rPr>
                    <w:rFonts w:hint="eastAsia"/>
                    <w:lang w:eastAsia="zh-CN"/>
                  </w:rPr>
                  <w:t>97,880,232.24</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58,350,607.21</w:t>
                </w:r>
              </w:p>
            </w:tc>
          </w:tr>
        </w:sdtContent>
      </w:sdt>
      <w:sdt>
        <w:sdtPr>
          <w:rPr>
            <w:szCs w:val="21"/>
          </w:rPr>
          <w:alias w:val="一年以内应收账款金额明细"/>
          <w:tag w:val="_TUP_5db7a5c2674d42d3bac3cb2e10590f73"/>
          <w:id w:val="2940"/>
          <w:placeholder>
            <w:docPart w:val="{73c0a9c8-0d98-4571-ae8d-be29f44a5b03}"/>
          </w:placeholder>
        </w:sdtPr>
        <w:sdtEndPr>
          <w:rPr>
            <w:szCs w:val="21"/>
          </w:rPr>
        </w:sdtEndPr>
        <w:sdtContent>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946" w:type="dxa"/>
                <w:tcBorders>
                  <w:top w:val="single" w:color="auto" w:sz="4" w:space="0"/>
                  <w:left w:val="single" w:color="auto" w:sz="4" w:space="0"/>
                  <w:bottom w:val="single" w:color="auto" w:sz="4" w:space="0"/>
                  <w:right w:val="single" w:color="auto" w:sz="4" w:space="0"/>
                </w:tcBorders>
                <w:vAlign w:val="center"/>
              </w:tcPr>
              <w:p>
                <w:pPr>
                  <w:rPr>
                    <w:szCs w:val="21"/>
                  </w:rPr>
                </w:pPr>
                <w:r>
                  <w:t>0.5年至1年</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2,880,086.82</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3,959,992.86</w:t>
                </w:r>
              </w:p>
            </w:tc>
          </w:tr>
        </w:sdtContent>
      </w:sdt>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sdt>
          <w:sdtPr>
            <w:tag w:val="_PLD_686411641a5e42038a85ce6c435c5e58"/>
            <w:id w:val="2941"/>
          </w:sdtPr>
          <w:sdtContent>
            <w:tc>
              <w:tcPr>
                <w:tcW w:w="294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1至2年</w:t>
                </w:r>
              </w:p>
            </w:tc>
          </w:sdtContent>
        </w:sdt>
        <w:tc>
          <w:tcPr>
            <w:tcW w:w="3051" w:type="dxa"/>
            <w:tcBorders>
              <w:top w:val="single" w:color="auto" w:sz="4" w:space="0"/>
              <w:left w:val="single" w:color="auto" w:sz="4" w:space="0"/>
              <w:bottom w:val="single" w:color="auto" w:sz="4" w:space="0"/>
              <w:right w:val="single" w:color="auto" w:sz="4" w:space="0"/>
            </w:tcBorders>
            <w:vAlign w:val="center"/>
          </w:tcPr>
          <w:p>
            <w:pPr>
              <w:jc w:val="right"/>
              <w:rPr>
                <w:rFonts w:hint="eastAsia" w:eastAsia="宋体"/>
                <w:szCs w:val="21"/>
                <w:lang w:eastAsia="zh-CN"/>
              </w:rPr>
            </w:pPr>
            <w:r>
              <w:rPr>
                <w:rFonts w:hint="eastAsia"/>
                <w:color w:val="auto"/>
                <w:lang w:eastAsia="zh-CN"/>
              </w:rPr>
              <w:t>1,885,988.62</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3,934,988.09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1d32a9d5ef5b4ddca6ca917435b115ac"/>
            <w:id w:val="2942"/>
          </w:sdtPr>
          <w:sdtContent>
            <w:tc>
              <w:tcPr>
                <w:tcW w:w="294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2至3年</w:t>
                </w:r>
              </w:p>
            </w:tc>
          </w:sdtContent>
        </w:sdt>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2,204,001.75</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9,271,764.93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946" w:type="dxa"/>
            <w:tcBorders>
              <w:top w:val="single" w:color="auto" w:sz="4" w:space="0"/>
              <w:left w:val="single" w:color="auto" w:sz="4" w:space="0"/>
              <w:bottom w:val="single" w:color="auto" w:sz="4" w:space="0"/>
              <w:right w:val="single" w:color="auto" w:sz="4" w:space="0"/>
            </w:tcBorders>
            <w:vAlign w:val="center"/>
          </w:tcPr>
          <w:p>
            <w:r>
              <w:rPr>
                <w:rFonts w:hint="eastAsia"/>
              </w:rPr>
              <w:t>3至5年</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rFonts w:hint="eastAsia" w:eastAsia="宋体"/>
                <w:color w:val="auto"/>
                <w:lang w:eastAsia="zh-CN"/>
              </w:rPr>
            </w:pPr>
            <w:r>
              <w:rPr>
                <w:rFonts w:hint="eastAsia"/>
                <w:color w:val="auto"/>
                <w:lang w:eastAsia="zh-CN"/>
              </w:rPr>
              <w:t>5,381,990.84</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rFonts w:hint="eastAsia" w:eastAsia="宋体"/>
                <w:color w:val="auto"/>
                <w:lang w:eastAsia="zh-CN"/>
              </w:rPr>
            </w:pPr>
            <w:r>
              <w:rPr>
                <w:rFonts w:hint="eastAsia"/>
                <w:color w:val="auto"/>
                <w:lang w:eastAsia="zh-CN"/>
              </w:rPr>
              <w:t>2,689,366.23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35d4b8083f1340abbb03a5509bd8e56c"/>
            <w:id w:val="2946"/>
          </w:sdtPr>
          <w:sdtContent>
            <w:tc>
              <w:tcPr>
                <w:tcW w:w="294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5年以上</w:t>
                </w:r>
              </w:p>
            </w:tc>
          </w:sdtContent>
        </w:sdt>
        <w:tc>
          <w:tcPr>
            <w:tcW w:w="3051" w:type="dxa"/>
            <w:tcBorders>
              <w:top w:val="single" w:color="auto" w:sz="4" w:space="0"/>
              <w:left w:val="single" w:color="auto" w:sz="4" w:space="0"/>
              <w:bottom w:val="single" w:color="auto" w:sz="4" w:space="0"/>
              <w:right w:val="single" w:color="auto" w:sz="4" w:space="0"/>
            </w:tcBorders>
            <w:vAlign w:val="center"/>
          </w:tcPr>
          <w:p>
            <w:pPr>
              <w:jc w:val="right"/>
              <w:rPr>
                <w:rFonts w:hint="eastAsia" w:eastAsia="宋体"/>
                <w:szCs w:val="21"/>
                <w:lang w:eastAsia="zh-CN"/>
              </w:rPr>
            </w:pPr>
            <w:r>
              <w:rPr>
                <w:rFonts w:hint="eastAsia"/>
                <w:color w:val="auto"/>
                <w:lang w:eastAsia="zh-CN"/>
              </w:rPr>
              <w:t>51,086,399.54</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50,790,397.90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2946"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lang w:val="en-US" w:eastAsia="zh-CN"/>
              </w:rPr>
            </w:pPr>
            <w:r>
              <w:rPr>
                <w:rFonts w:hint="eastAsia"/>
                <w:lang w:val="en-US" w:eastAsia="zh-CN"/>
              </w:rPr>
              <w:t>合计</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rFonts w:hint="eastAsia"/>
                <w:lang w:eastAsia="zh-CN"/>
              </w:rPr>
            </w:pPr>
            <w:r>
              <w:rPr>
                <w:rFonts w:hint="eastAsia"/>
                <w:lang w:eastAsia="zh-CN"/>
              </w:rPr>
              <w:t>161,318,699.81</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rFonts w:hint="eastAsia"/>
                <w:lang w:eastAsia="zh-CN"/>
              </w:rPr>
            </w:pPr>
            <w:r>
              <w:rPr>
                <w:rFonts w:hint="eastAsia"/>
                <w:lang w:eastAsia="zh-CN"/>
              </w:rPr>
              <w:t>128,997,117.22</w:t>
            </w:r>
          </w:p>
        </w:tc>
      </w:tr>
    </w:tbl>
    <w:p>
      <w:pPr>
        <w:sectPr>
          <w:pgSz w:w="11906" w:h="16838"/>
          <w:pgMar w:top="1440" w:right="1797" w:bottom="1525" w:left="1276" w:header="856" w:footer="992" w:gutter="0"/>
          <w:cols w:space="425" w:num="1"/>
          <w:docGrid w:linePitch="312" w:charSpace="0"/>
        </w:sectPr>
      </w:pPr>
    </w:p>
    <w:p>
      <w:pPr>
        <w:pStyle w:val="5"/>
        <w:numPr>
          <w:ilvl w:val="3"/>
          <w:numId w:val="64"/>
        </w:numPr>
        <w:ind w:left="426" w:hanging="426"/>
        <w:rPr>
          <w:rFonts w:hint="eastAsia"/>
        </w:rPr>
      </w:pPr>
      <w:bookmarkStart w:id="223" w:name="_Hlk533601584"/>
      <w:r>
        <w:rPr>
          <w:rFonts w:hint="eastAsia"/>
        </w:rPr>
        <w:t>按坏账计提方法分类披露</w:t>
      </w:r>
    </w:p>
    <w:sdt>
      <w:sdtPr>
        <w:alias w:val="是否适用：应收账款分类披露[双击切换]"/>
        <w:tag w:val="_GBC_5532cbb0484a40fcb185be4bb8709d46"/>
        <w:id w:val="6735"/>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pStyle w:val="56"/>
        <w:autoSpaceDE w:val="0"/>
        <w:autoSpaceDN w:val="0"/>
        <w:adjustRightInd w:val="0"/>
        <w:ind w:left="425" w:right="105" w:firstLine="0" w:firstLineChars="0"/>
        <w:jc w:val="right"/>
        <w:rPr>
          <w:szCs w:val="21"/>
        </w:rPr>
      </w:pPr>
      <w:r>
        <w:rPr>
          <w:rFonts w:hint="eastAsia"/>
          <w:szCs w:val="21"/>
        </w:rPr>
        <w:t>单位：</w:t>
      </w:r>
      <w:sdt>
        <w:sdtPr>
          <w:rPr>
            <w:rFonts w:hint="eastAsia"/>
            <w:szCs w:val="21"/>
          </w:rPr>
          <w:alias w:val="单位：财务附注：应收账款按种类披露"/>
          <w:tag w:val="_GBC_9672a88fa94c441f9769b560659b37f6"/>
          <w:id w:val="673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应收账款按种类披露"/>
          <w:tag w:val="_GBC_45ed90b2e73740bfa8c1f5d7d12ff35e"/>
          <w:id w:val="673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140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4"/>
        <w:gridCol w:w="1669"/>
        <w:gridCol w:w="731"/>
        <w:gridCol w:w="1505"/>
        <w:gridCol w:w="950"/>
        <w:gridCol w:w="1570"/>
        <w:gridCol w:w="1637"/>
        <w:gridCol w:w="785"/>
        <w:gridCol w:w="1538"/>
        <w:gridCol w:w="917"/>
        <w:gridCol w:w="1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1234" w:type="dxa"/>
            <w:vMerge w:val="restart"/>
            <w:tcBorders>
              <w:top w:val="single" w:color="auto" w:sz="4" w:space="0"/>
              <w:left w:val="single" w:color="auto" w:sz="4" w:space="0"/>
              <w:right w:val="single" w:color="auto" w:sz="4" w:space="0"/>
            </w:tcBorders>
            <w:vAlign w:val="center"/>
          </w:tcPr>
          <w:sdt>
            <w:sdtPr>
              <w:tag w:val="_PLD_f8d5a19b9b724da98e30475a6df20be9"/>
              <w:id w:val="6738"/>
            </w:sdtPr>
            <w:sdtContent>
              <w:p>
                <w:pPr>
                  <w:jc w:val="center"/>
                  <w:rPr>
                    <w:szCs w:val="21"/>
                  </w:rPr>
                </w:pPr>
                <w:bookmarkStart w:id="224" w:name="OLE_LINK8" w:colFirst="0" w:colLast="10"/>
                <w:r>
                  <w:rPr>
                    <w:rFonts w:hint="eastAsia"/>
                    <w:szCs w:val="21"/>
                  </w:rPr>
                  <w:t>类别</w:t>
                </w:r>
              </w:p>
            </w:sdtContent>
          </w:sdt>
        </w:tc>
        <w:tc>
          <w:tcPr>
            <w:tcW w:w="6425" w:type="dxa"/>
            <w:gridSpan w:val="5"/>
            <w:tcBorders>
              <w:top w:val="single" w:color="auto" w:sz="4" w:space="0"/>
              <w:left w:val="single" w:color="auto" w:sz="4" w:space="0"/>
              <w:right w:val="single" w:color="auto" w:sz="4" w:space="0"/>
            </w:tcBorders>
            <w:vAlign w:val="center"/>
          </w:tcPr>
          <w:sdt>
            <w:sdtPr>
              <w:tag w:val="_PLD_8e6cd64a5cc84d259bab748be3f49169"/>
              <w:id w:val="6739"/>
            </w:sdtPr>
            <w:sdtContent>
              <w:p>
                <w:pPr>
                  <w:autoSpaceDE w:val="0"/>
                  <w:autoSpaceDN w:val="0"/>
                  <w:adjustRightInd w:val="0"/>
                  <w:snapToGrid w:val="0"/>
                  <w:spacing w:line="240" w:lineRule="atLeast"/>
                  <w:jc w:val="center"/>
                  <w:rPr>
                    <w:szCs w:val="21"/>
                  </w:rPr>
                </w:pPr>
                <w:r>
                  <w:rPr>
                    <w:rFonts w:hint="eastAsia"/>
                    <w:szCs w:val="21"/>
                  </w:rPr>
                  <w:t>期末余额</w:t>
                </w:r>
              </w:p>
            </w:sdtContent>
          </w:sdt>
        </w:tc>
        <w:tc>
          <w:tcPr>
            <w:tcW w:w="6350" w:type="dxa"/>
            <w:gridSpan w:val="5"/>
            <w:tcBorders>
              <w:top w:val="single" w:color="auto" w:sz="4" w:space="0"/>
              <w:left w:val="single" w:color="auto" w:sz="4" w:space="0"/>
              <w:right w:val="single" w:color="auto" w:sz="4" w:space="0"/>
            </w:tcBorders>
            <w:vAlign w:val="center"/>
          </w:tcPr>
          <w:sdt>
            <w:sdtPr>
              <w:tag w:val="_PLD_f3718624b866493ab3b8d8edadf10560"/>
              <w:id w:val="6740"/>
            </w:sdtPr>
            <w:sdtContent>
              <w:p>
                <w:pPr>
                  <w:autoSpaceDE w:val="0"/>
                  <w:autoSpaceDN w:val="0"/>
                  <w:adjustRightInd w:val="0"/>
                  <w:snapToGrid w:val="0"/>
                  <w:spacing w:line="240" w:lineRule="atLeast"/>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1234" w:type="dxa"/>
            <w:vMerge w:val="continue"/>
            <w:tcBorders>
              <w:left w:val="single" w:color="auto" w:sz="4" w:space="0"/>
              <w:right w:val="single" w:color="auto" w:sz="4" w:space="0"/>
            </w:tcBorders>
            <w:vAlign w:val="center"/>
          </w:tcPr>
          <w:p>
            <w:pPr>
              <w:rPr>
                <w:szCs w:val="21"/>
              </w:rPr>
            </w:pPr>
          </w:p>
        </w:tc>
        <w:tc>
          <w:tcPr>
            <w:tcW w:w="2400" w:type="dxa"/>
            <w:gridSpan w:val="2"/>
            <w:tcBorders>
              <w:top w:val="single" w:color="auto" w:sz="4" w:space="0"/>
              <w:left w:val="single" w:color="auto" w:sz="4" w:space="0"/>
              <w:bottom w:val="single" w:color="auto" w:sz="4" w:space="0"/>
              <w:right w:val="single" w:color="auto" w:sz="4" w:space="0"/>
            </w:tcBorders>
            <w:vAlign w:val="center"/>
          </w:tcPr>
          <w:sdt>
            <w:sdtPr>
              <w:tag w:val="_PLD_696c52ce758e49deb616a7fb8df8ee20"/>
              <w:id w:val="6741"/>
            </w:sdtPr>
            <w:sdtContent>
              <w:p>
                <w:pPr>
                  <w:jc w:val="center"/>
                  <w:rPr>
                    <w:szCs w:val="21"/>
                  </w:rPr>
                </w:pPr>
                <w:r>
                  <w:rPr>
                    <w:rFonts w:hint="eastAsia"/>
                    <w:szCs w:val="21"/>
                  </w:rPr>
                  <w:t>账面余额</w:t>
                </w:r>
              </w:p>
            </w:sdtContent>
          </w:sdt>
        </w:tc>
        <w:tc>
          <w:tcPr>
            <w:tcW w:w="2455" w:type="dxa"/>
            <w:gridSpan w:val="2"/>
            <w:tcBorders>
              <w:top w:val="single" w:color="auto" w:sz="4" w:space="0"/>
              <w:left w:val="single" w:color="auto" w:sz="4" w:space="0"/>
              <w:bottom w:val="single" w:color="auto" w:sz="4" w:space="0"/>
              <w:right w:val="single" w:color="auto" w:sz="4" w:space="0"/>
            </w:tcBorders>
            <w:vAlign w:val="center"/>
          </w:tcPr>
          <w:sdt>
            <w:sdtPr>
              <w:tag w:val="_PLD_1ca261fa1763424688ba2be8550f43e1"/>
              <w:id w:val="6742"/>
            </w:sdtPr>
            <w:sdtContent>
              <w:p>
                <w:pPr>
                  <w:jc w:val="center"/>
                  <w:rPr>
                    <w:szCs w:val="21"/>
                  </w:rPr>
                </w:pPr>
                <w:r>
                  <w:rPr>
                    <w:rFonts w:hint="eastAsia"/>
                    <w:szCs w:val="21"/>
                  </w:rPr>
                  <w:t>坏账准备</w:t>
                </w:r>
              </w:p>
            </w:sdtContent>
          </w:sdt>
        </w:tc>
        <w:tc>
          <w:tcPr>
            <w:tcW w:w="1570" w:type="dxa"/>
            <w:vMerge w:val="restart"/>
            <w:tcBorders>
              <w:top w:val="single" w:color="auto" w:sz="4" w:space="0"/>
              <w:left w:val="single" w:color="auto" w:sz="4" w:space="0"/>
              <w:right w:val="single" w:color="auto" w:sz="4" w:space="0"/>
            </w:tcBorders>
            <w:vAlign w:val="center"/>
          </w:tcPr>
          <w:sdt>
            <w:sdtPr>
              <w:tag w:val="_PLD_caaf7fb85a4a432890635f2eb9c38cd5"/>
              <w:id w:val="6743"/>
            </w:sdtPr>
            <w:sdtContent>
              <w:p>
                <w:pPr>
                  <w:jc w:val="center"/>
                  <w:rPr>
                    <w:szCs w:val="21"/>
                  </w:rPr>
                </w:pPr>
                <w:r>
                  <w:rPr>
                    <w:rFonts w:hint="eastAsia"/>
                    <w:szCs w:val="21"/>
                  </w:rPr>
                  <w:t>账面</w:t>
                </w:r>
              </w:p>
              <w:p>
                <w:pPr>
                  <w:jc w:val="center"/>
                  <w:rPr>
                    <w:szCs w:val="21"/>
                  </w:rPr>
                </w:pPr>
                <w:r>
                  <w:rPr>
                    <w:rFonts w:hint="eastAsia"/>
                    <w:szCs w:val="21"/>
                  </w:rPr>
                  <w:t>价值</w:t>
                </w:r>
              </w:p>
            </w:sdtContent>
          </w:sdt>
        </w:tc>
        <w:tc>
          <w:tcPr>
            <w:tcW w:w="2422" w:type="dxa"/>
            <w:gridSpan w:val="2"/>
            <w:tcBorders>
              <w:top w:val="single" w:color="auto" w:sz="4" w:space="0"/>
              <w:left w:val="single" w:color="auto" w:sz="4" w:space="0"/>
              <w:right w:val="single" w:color="auto" w:sz="4" w:space="0"/>
            </w:tcBorders>
            <w:vAlign w:val="center"/>
          </w:tcPr>
          <w:sdt>
            <w:sdtPr>
              <w:tag w:val="_PLD_f01498a5d6634d7ab63dd393e266902a"/>
              <w:id w:val="6744"/>
            </w:sdtPr>
            <w:sdtContent>
              <w:p>
                <w:pPr>
                  <w:jc w:val="center"/>
                  <w:rPr>
                    <w:szCs w:val="21"/>
                  </w:rPr>
                </w:pPr>
                <w:r>
                  <w:rPr>
                    <w:rFonts w:hint="eastAsia"/>
                    <w:szCs w:val="21"/>
                  </w:rPr>
                  <w:t>账面余额</w:t>
                </w:r>
              </w:p>
            </w:sdtContent>
          </w:sdt>
        </w:tc>
        <w:tc>
          <w:tcPr>
            <w:tcW w:w="2455" w:type="dxa"/>
            <w:gridSpan w:val="2"/>
            <w:tcBorders>
              <w:top w:val="single" w:color="auto" w:sz="4" w:space="0"/>
              <w:left w:val="single" w:color="auto" w:sz="4" w:space="0"/>
              <w:right w:val="single" w:color="auto" w:sz="4" w:space="0"/>
            </w:tcBorders>
            <w:vAlign w:val="center"/>
          </w:tcPr>
          <w:sdt>
            <w:sdtPr>
              <w:tag w:val="_PLD_e9336373677a4e1781b6e81f705c1bec"/>
              <w:id w:val="6745"/>
            </w:sdtPr>
            <w:sdtContent>
              <w:p>
                <w:pPr>
                  <w:jc w:val="center"/>
                  <w:rPr>
                    <w:szCs w:val="21"/>
                  </w:rPr>
                </w:pPr>
                <w:r>
                  <w:rPr>
                    <w:rFonts w:hint="eastAsia"/>
                    <w:szCs w:val="21"/>
                  </w:rPr>
                  <w:t>坏账准备</w:t>
                </w:r>
              </w:p>
            </w:sdtContent>
          </w:sdt>
        </w:tc>
        <w:tc>
          <w:tcPr>
            <w:tcW w:w="1473" w:type="dxa"/>
            <w:tcBorders>
              <w:top w:val="single" w:color="auto" w:sz="4" w:space="0"/>
              <w:left w:val="single" w:color="auto" w:sz="4" w:space="0"/>
              <w:right w:val="single" w:color="auto" w:sz="4" w:space="0"/>
            </w:tcBorders>
            <w:vAlign w:val="center"/>
          </w:tcPr>
          <w:sdt>
            <w:sdtPr>
              <w:tag w:val="_PLD_09bacc527e7b4910a0c82606fe4a5754"/>
              <w:id w:val="6746"/>
            </w:sdtPr>
            <w:sdtContent>
              <w:p>
                <w:pPr>
                  <w:jc w:val="center"/>
                  <w:rPr>
                    <w:szCs w:val="21"/>
                  </w:rPr>
                </w:pPr>
                <w:r>
                  <w:rPr>
                    <w:rFonts w:hint="eastAsia"/>
                    <w:szCs w:val="21"/>
                  </w:rPr>
                  <w:t>账面</w:t>
                </w:r>
              </w:p>
              <w:p>
                <w:pPr>
                  <w:jc w:val="center"/>
                  <w:rPr>
                    <w:szCs w:val="21"/>
                  </w:rPr>
                </w:pPr>
                <w:r>
                  <w:rPr>
                    <w:rFonts w:hint="eastAsia"/>
                    <w:szCs w:val="21"/>
                  </w:rPr>
                  <w:t>价值</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1234" w:type="dxa"/>
            <w:vMerge w:val="continue"/>
            <w:tcBorders>
              <w:left w:val="single" w:color="auto" w:sz="4" w:space="0"/>
              <w:bottom w:val="single" w:color="auto" w:sz="4" w:space="0"/>
              <w:right w:val="single" w:color="auto" w:sz="4" w:space="0"/>
            </w:tcBorders>
            <w:vAlign w:val="center"/>
          </w:tcPr>
          <w:p>
            <w:pPr>
              <w:rPr>
                <w:szCs w:val="21"/>
              </w:rPr>
            </w:pPr>
          </w:p>
        </w:tc>
        <w:tc>
          <w:tcPr>
            <w:tcW w:w="1669" w:type="dxa"/>
            <w:tcBorders>
              <w:left w:val="single" w:color="auto" w:sz="4" w:space="0"/>
              <w:bottom w:val="single" w:color="auto" w:sz="4" w:space="0"/>
              <w:right w:val="single" w:color="auto" w:sz="4" w:space="0"/>
            </w:tcBorders>
            <w:vAlign w:val="center"/>
          </w:tcPr>
          <w:sdt>
            <w:sdtPr>
              <w:tag w:val="_PLD_9a908e63a38c4885ae2f80c1b860b93a"/>
              <w:id w:val="6747"/>
            </w:sdtPr>
            <w:sdtContent>
              <w:p>
                <w:pPr>
                  <w:jc w:val="center"/>
                  <w:rPr>
                    <w:szCs w:val="21"/>
                  </w:rPr>
                </w:pPr>
                <w:r>
                  <w:rPr>
                    <w:rFonts w:hint="eastAsia"/>
                    <w:szCs w:val="21"/>
                  </w:rPr>
                  <w:t>金额</w:t>
                </w:r>
              </w:p>
            </w:sdtContent>
          </w:sdt>
        </w:tc>
        <w:tc>
          <w:tcPr>
            <w:tcW w:w="731" w:type="dxa"/>
            <w:tcBorders>
              <w:left w:val="single" w:color="auto" w:sz="4" w:space="0"/>
              <w:bottom w:val="single" w:color="auto" w:sz="4" w:space="0"/>
              <w:right w:val="single" w:color="auto" w:sz="4" w:space="0"/>
            </w:tcBorders>
            <w:vAlign w:val="center"/>
          </w:tcPr>
          <w:sdt>
            <w:sdtPr>
              <w:tag w:val="_PLD_df211ff0344e48aa8266bff852c13d4a"/>
              <w:id w:val="6748"/>
            </w:sdtPr>
            <w:sdtContent>
              <w:p>
                <w:pPr>
                  <w:jc w:val="center"/>
                  <w:rPr>
                    <w:szCs w:val="21"/>
                  </w:rPr>
                </w:pPr>
                <w:r>
                  <w:rPr>
                    <w:rFonts w:hint="eastAsia"/>
                    <w:szCs w:val="21"/>
                  </w:rPr>
                  <w:t>比例</w:t>
                </w:r>
                <w:r>
                  <w:rPr>
                    <w:szCs w:val="21"/>
                  </w:rPr>
                  <w:t>(%)</w:t>
                </w:r>
              </w:p>
            </w:sdtContent>
          </w:sdt>
        </w:tc>
        <w:tc>
          <w:tcPr>
            <w:tcW w:w="1505" w:type="dxa"/>
            <w:tcBorders>
              <w:left w:val="single" w:color="auto" w:sz="4" w:space="0"/>
              <w:bottom w:val="single" w:color="auto" w:sz="4" w:space="0"/>
              <w:right w:val="single" w:color="auto" w:sz="4" w:space="0"/>
            </w:tcBorders>
            <w:vAlign w:val="center"/>
          </w:tcPr>
          <w:sdt>
            <w:sdtPr>
              <w:tag w:val="_PLD_bc7278fbd5c542a3abfb9a55090a49e0"/>
              <w:id w:val="6749"/>
            </w:sdtPr>
            <w:sdtContent>
              <w:p>
                <w:pPr>
                  <w:jc w:val="center"/>
                  <w:rPr>
                    <w:szCs w:val="21"/>
                  </w:rPr>
                </w:pPr>
                <w:r>
                  <w:rPr>
                    <w:rFonts w:hint="eastAsia"/>
                    <w:szCs w:val="21"/>
                  </w:rPr>
                  <w:t>金额</w:t>
                </w:r>
              </w:p>
            </w:sdtContent>
          </w:sdt>
        </w:tc>
        <w:tc>
          <w:tcPr>
            <w:tcW w:w="950" w:type="dxa"/>
            <w:tcBorders>
              <w:left w:val="single" w:color="auto" w:sz="4" w:space="0"/>
              <w:bottom w:val="single" w:color="auto" w:sz="4" w:space="0"/>
              <w:right w:val="single" w:color="auto" w:sz="4" w:space="0"/>
            </w:tcBorders>
            <w:vAlign w:val="center"/>
          </w:tcPr>
          <w:sdt>
            <w:sdtPr>
              <w:tag w:val="_PLD_98f107e07b5b44938d61d6b0984d9e2b"/>
              <w:id w:val="6750"/>
            </w:sdtPr>
            <w:sdtContent>
              <w:p>
                <w:pPr>
                  <w:jc w:val="center"/>
                  <w:rPr>
                    <w:szCs w:val="21"/>
                  </w:rPr>
                </w:pPr>
                <w:r>
                  <w:rPr>
                    <w:rFonts w:hint="eastAsia"/>
                    <w:szCs w:val="21"/>
                  </w:rPr>
                  <w:t>计提比例</w:t>
                </w:r>
                <w:r>
                  <w:rPr>
                    <w:szCs w:val="21"/>
                  </w:rPr>
                  <w:t>(%)</w:t>
                </w:r>
              </w:p>
            </w:sdtContent>
          </w:sdt>
        </w:tc>
        <w:tc>
          <w:tcPr>
            <w:tcW w:w="1570" w:type="dxa"/>
            <w:vMerge w:val="continue"/>
            <w:tcBorders>
              <w:left w:val="single" w:color="auto" w:sz="4" w:space="0"/>
              <w:bottom w:val="single" w:color="auto" w:sz="4" w:space="0"/>
              <w:right w:val="single" w:color="auto" w:sz="4" w:space="0"/>
            </w:tcBorders>
            <w:vAlign w:val="center"/>
          </w:tcPr>
          <w:p>
            <w:pPr>
              <w:jc w:val="center"/>
              <w:rPr>
                <w:szCs w:val="21"/>
              </w:rPr>
            </w:pPr>
          </w:p>
        </w:tc>
        <w:tc>
          <w:tcPr>
            <w:tcW w:w="1637" w:type="dxa"/>
            <w:tcBorders>
              <w:left w:val="single" w:color="auto" w:sz="4" w:space="0"/>
              <w:bottom w:val="single" w:color="auto" w:sz="4" w:space="0"/>
              <w:right w:val="single" w:color="auto" w:sz="4" w:space="0"/>
            </w:tcBorders>
            <w:vAlign w:val="center"/>
          </w:tcPr>
          <w:sdt>
            <w:sdtPr>
              <w:tag w:val="_PLD_27c35a851bfc461b93652bdd1c4da46e"/>
              <w:id w:val="6751"/>
            </w:sdtPr>
            <w:sdtContent>
              <w:p>
                <w:pPr>
                  <w:jc w:val="center"/>
                  <w:rPr>
                    <w:szCs w:val="21"/>
                  </w:rPr>
                </w:pPr>
                <w:r>
                  <w:rPr>
                    <w:rFonts w:hint="eastAsia"/>
                    <w:szCs w:val="21"/>
                  </w:rPr>
                  <w:t>金额</w:t>
                </w:r>
              </w:p>
            </w:sdtContent>
          </w:sdt>
        </w:tc>
        <w:tc>
          <w:tcPr>
            <w:tcW w:w="785" w:type="dxa"/>
            <w:tcBorders>
              <w:left w:val="single" w:color="auto" w:sz="4" w:space="0"/>
              <w:bottom w:val="single" w:color="auto" w:sz="4" w:space="0"/>
              <w:right w:val="single" w:color="auto" w:sz="4" w:space="0"/>
            </w:tcBorders>
            <w:vAlign w:val="center"/>
          </w:tcPr>
          <w:sdt>
            <w:sdtPr>
              <w:tag w:val="_PLD_8cdcb4d0cfc74ea299eeda00998b7eed"/>
              <w:id w:val="6752"/>
            </w:sdtPr>
            <w:sdtContent>
              <w:p>
                <w:pPr>
                  <w:jc w:val="center"/>
                  <w:rPr>
                    <w:szCs w:val="21"/>
                  </w:rPr>
                </w:pPr>
                <w:r>
                  <w:rPr>
                    <w:rFonts w:hint="eastAsia"/>
                    <w:szCs w:val="21"/>
                  </w:rPr>
                  <w:t>比例</w:t>
                </w:r>
                <w:r>
                  <w:rPr>
                    <w:szCs w:val="21"/>
                  </w:rPr>
                  <w:t>(%)</w:t>
                </w:r>
              </w:p>
            </w:sdtContent>
          </w:sdt>
        </w:tc>
        <w:tc>
          <w:tcPr>
            <w:tcW w:w="1538" w:type="dxa"/>
            <w:tcBorders>
              <w:left w:val="single" w:color="auto" w:sz="4" w:space="0"/>
              <w:bottom w:val="single" w:color="auto" w:sz="4" w:space="0"/>
              <w:right w:val="single" w:color="auto" w:sz="4" w:space="0"/>
            </w:tcBorders>
            <w:vAlign w:val="center"/>
          </w:tcPr>
          <w:sdt>
            <w:sdtPr>
              <w:tag w:val="_PLD_205ec069d7004eaba20d3af25a7dfeda"/>
              <w:id w:val="6753"/>
            </w:sdtPr>
            <w:sdtContent>
              <w:p>
                <w:pPr>
                  <w:jc w:val="center"/>
                  <w:rPr>
                    <w:szCs w:val="21"/>
                  </w:rPr>
                </w:pPr>
                <w:r>
                  <w:rPr>
                    <w:rFonts w:hint="eastAsia"/>
                    <w:szCs w:val="21"/>
                  </w:rPr>
                  <w:t>金额</w:t>
                </w:r>
              </w:p>
            </w:sdtContent>
          </w:sdt>
        </w:tc>
        <w:tc>
          <w:tcPr>
            <w:tcW w:w="917" w:type="dxa"/>
            <w:tcBorders>
              <w:left w:val="single" w:color="auto" w:sz="4" w:space="0"/>
              <w:bottom w:val="single" w:color="auto" w:sz="4" w:space="0"/>
              <w:right w:val="single" w:color="auto" w:sz="4" w:space="0"/>
            </w:tcBorders>
            <w:vAlign w:val="center"/>
          </w:tcPr>
          <w:sdt>
            <w:sdtPr>
              <w:tag w:val="_PLD_cee6517bce154e26a5f2a917cc143a54"/>
              <w:id w:val="6754"/>
            </w:sdtPr>
            <w:sdtContent>
              <w:p>
                <w:pPr>
                  <w:jc w:val="center"/>
                  <w:rPr>
                    <w:szCs w:val="21"/>
                  </w:rPr>
                </w:pPr>
                <w:r>
                  <w:rPr>
                    <w:rFonts w:hint="eastAsia"/>
                    <w:szCs w:val="21"/>
                  </w:rPr>
                  <w:t>计提比例</w:t>
                </w:r>
                <w:r>
                  <w:rPr>
                    <w:szCs w:val="21"/>
                  </w:rPr>
                  <w:t>(%)</w:t>
                </w:r>
              </w:p>
            </w:sdtContent>
          </w:sdt>
        </w:tc>
        <w:tc>
          <w:tcPr>
            <w:tcW w:w="1473" w:type="dxa"/>
            <w:tcBorders>
              <w:left w:val="single" w:color="auto" w:sz="4" w:space="0"/>
              <w:right w:val="single"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34" w:type="dxa"/>
            <w:tcBorders>
              <w:top w:val="single" w:color="auto" w:sz="4" w:space="0"/>
              <w:left w:val="single" w:color="auto" w:sz="4" w:space="0"/>
              <w:bottom w:val="single" w:color="auto" w:sz="4" w:space="0"/>
              <w:right w:val="single" w:color="auto" w:sz="4" w:space="0"/>
            </w:tcBorders>
            <w:vAlign w:val="center"/>
          </w:tcPr>
          <w:p>
            <w:pPr>
              <w:ind w:right="-42" w:rightChars="-20"/>
              <w:rPr>
                <w:szCs w:val="21"/>
              </w:rPr>
            </w:pPr>
            <w:r>
              <w:rPr>
                <w:rFonts w:hint="eastAsia"/>
                <w:szCs w:val="21"/>
              </w:rPr>
              <w:t>按单项计提坏账准备</w:t>
            </w:r>
          </w:p>
        </w:tc>
        <w:tc>
          <w:tcPr>
            <w:tcW w:w="1669" w:type="dxa"/>
            <w:tcBorders>
              <w:top w:val="single" w:color="auto" w:sz="4" w:space="0"/>
              <w:left w:val="single" w:color="auto" w:sz="4" w:space="0"/>
              <w:bottom w:val="single" w:color="auto" w:sz="4" w:space="0"/>
              <w:right w:val="single" w:color="auto" w:sz="4" w:space="0"/>
            </w:tcBorders>
            <w:vAlign w:val="center"/>
          </w:tcPr>
          <w:p>
            <w:pPr>
              <w:jc w:val="right"/>
              <w:rPr>
                <w:rFonts w:hint="eastAsia" w:eastAsia="宋体"/>
                <w:szCs w:val="21"/>
                <w:lang w:eastAsia="zh-CN"/>
              </w:rPr>
            </w:pPr>
            <w:r>
              <w:rPr>
                <w:rFonts w:hint="eastAsia"/>
                <w:color w:val="auto"/>
                <w:lang w:eastAsia="zh-CN"/>
              </w:rPr>
              <w:t>21,720,257.07</w:t>
            </w:r>
          </w:p>
        </w:tc>
        <w:tc>
          <w:tcPr>
            <w:tcW w:w="731"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13.46</w:t>
            </w:r>
          </w:p>
        </w:tc>
        <w:tc>
          <w:tcPr>
            <w:tcW w:w="150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21,720,257.07</w:t>
            </w:r>
          </w:p>
        </w:tc>
        <w:tc>
          <w:tcPr>
            <w:tcW w:w="95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100.00</w:t>
            </w:r>
          </w:p>
        </w:tc>
        <w:tc>
          <w:tcPr>
            <w:tcW w:w="157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63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21,727,698.01</w:t>
            </w:r>
          </w:p>
        </w:tc>
        <w:tc>
          <w:tcPr>
            <w:tcW w:w="78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16.84</w:t>
            </w:r>
          </w:p>
        </w:tc>
        <w:tc>
          <w:tcPr>
            <w:tcW w:w="153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21,727,698.01</w:t>
            </w:r>
          </w:p>
        </w:tc>
        <w:tc>
          <w:tcPr>
            <w:tcW w:w="91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100.00</w:t>
            </w:r>
          </w:p>
        </w:tc>
        <w:tc>
          <w:tcPr>
            <w:tcW w:w="1473"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009" w:type="dxa"/>
            <w:gridSpan w:val="11"/>
            <w:tcBorders>
              <w:top w:val="single" w:color="auto" w:sz="4" w:space="0"/>
              <w:left w:val="single" w:color="auto" w:sz="4" w:space="0"/>
              <w:bottom w:val="single" w:color="auto" w:sz="4" w:space="0"/>
              <w:right w:val="single" w:color="auto" w:sz="4" w:space="0"/>
            </w:tcBorders>
            <w:vAlign w:val="center"/>
          </w:tcPr>
          <w:sdt>
            <w:sdtPr>
              <w:tag w:val="_PLD_2843924a07e24276b2592afce851b5fd"/>
              <w:id w:val="6755"/>
            </w:sdtPr>
            <w:sdtContent>
              <w:p>
                <w:pPr>
                  <w:rPr>
                    <w:szCs w:val="21"/>
                  </w:rPr>
                </w:pPr>
                <w:r>
                  <w:rPr>
                    <w:rFonts w:hint="eastAsia"/>
                    <w:szCs w:val="21"/>
                  </w:rPr>
                  <w:t>其中：</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34" w:type="dxa"/>
            <w:tcBorders>
              <w:top w:val="single" w:color="auto" w:sz="4" w:space="0"/>
              <w:left w:val="single" w:color="auto" w:sz="4" w:space="0"/>
              <w:bottom w:val="single" w:color="auto" w:sz="4" w:space="0"/>
              <w:right w:val="single" w:color="auto" w:sz="4" w:space="0"/>
            </w:tcBorders>
            <w:vAlign w:val="center"/>
          </w:tcPr>
          <w:p>
            <w:pPr>
              <w:ind w:right="-42" w:rightChars="-20"/>
              <w:rPr>
                <w:szCs w:val="21"/>
              </w:rPr>
            </w:pPr>
            <w:r>
              <w:rPr>
                <w:rFonts w:hint="eastAsia"/>
                <w:szCs w:val="21"/>
              </w:rPr>
              <w:t>按组合计提坏账准备</w:t>
            </w:r>
          </w:p>
        </w:tc>
        <w:tc>
          <w:tcPr>
            <w:tcW w:w="166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139,598,442.74</w:t>
            </w:r>
          </w:p>
        </w:tc>
        <w:tc>
          <w:tcPr>
            <w:tcW w:w="731"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86.54</w:t>
            </w:r>
          </w:p>
        </w:tc>
        <w:tc>
          <w:tcPr>
            <w:tcW w:w="150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32,292,342.36</w:t>
            </w:r>
          </w:p>
        </w:tc>
        <w:tc>
          <w:tcPr>
            <w:tcW w:w="95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23.13</w:t>
            </w:r>
          </w:p>
        </w:tc>
        <w:tc>
          <w:tcPr>
            <w:tcW w:w="157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107,306,100.38</w:t>
            </w:r>
          </w:p>
        </w:tc>
        <w:tc>
          <w:tcPr>
            <w:tcW w:w="163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107,269,419.21</w:t>
            </w:r>
          </w:p>
        </w:tc>
        <w:tc>
          <w:tcPr>
            <w:tcW w:w="78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83.16</w:t>
            </w:r>
          </w:p>
        </w:tc>
        <w:tc>
          <w:tcPr>
            <w:tcW w:w="153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32,584,297.82</w:t>
            </w:r>
          </w:p>
        </w:tc>
        <w:tc>
          <w:tcPr>
            <w:tcW w:w="91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30.38</w:t>
            </w:r>
          </w:p>
        </w:tc>
        <w:tc>
          <w:tcPr>
            <w:tcW w:w="147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74,685,121.39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009" w:type="dxa"/>
            <w:gridSpan w:val="11"/>
            <w:tcBorders>
              <w:top w:val="single" w:color="auto" w:sz="4" w:space="0"/>
              <w:left w:val="single" w:color="auto" w:sz="4" w:space="0"/>
              <w:bottom w:val="single" w:color="auto" w:sz="4" w:space="0"/>
              <w:right w:val="single" w:color="auto" w:sz="4" w:space="0"/>
            </w:tcBorders>
            <w:vAlign w:val="center"/>
          </w:tcPr>
          <w:sdt>
            <w:sdtPr>
              <w:tag w:val="_PLD_ce0cfa8fc80147608db7db4b7ce1db69"/>
              <w:id w:val="6756"/>
            </w:sdtPr>
            <w:sdtContent>
              <w:p>
                <w:pPr>
                  <w:rPr>
                    <w:szCs w:val="21"/>
                  </w:rPr>
                </w:pPr>
                <w:r>
                  <w:rPr>
                    <w:rFonts w:hint="eastAsia"/>
                    <w:szCs w:val="21"/>
                  </w:rPr>
                  <w:t>其中：</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34" w:type="dxa"/>
            <w:tcBorders>
              <w:top w:val="single" w:color="auto" w:sz="4" w:space="0"/>
              <w:left w:val="single" w:color="auto" w:sz="4" w:space="0"/>
              <w:bottom w:val="single" w:color="auto" w:sz="4" w:space="0"/>
              <w:right w:val="single" w:color="auto" w:sz="4" w:space="0"/>
            </w:tcBorders>
            <w:vAlign w:val="center"/>
          </w:tcPr>
          <w:p>
            <w:pPr>
              <w:jc w:val="both"/>
              <w:rPr>
                <w:color w:val="808080"/>
                <w:szCs w:val="21"/>
              </w:rPr>
            </w:pPr>
            <w:r>
              <w:rPr>
                <w:rFonts w:hint="eastAsia"/>
                <w:szCs w:val="21"/>
              </w:rPr>
              <w:t>按账龄组合</w:t>
            </w:r>
          </w:p>
        </w:tc>
        <w:tc>
          <w:tcPr>
            <w:tcW w:w="166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139,598,442.74</w:t>
            </w:r>
          </w:p>
        </w:tc>
        <w:tc>
          <w:tcPr>
            <w:tcW w:w="731"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86.54</w:t>
            </w:r>
          </w:p>
        </w:tc>
        <w:tc>
          <w:tcPr>
            <w:tcW w:w="150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32,292,342.36</w:t>
            </w:r>
          </w:p>
        </w:tc>
        <w:tc>
          <w:tcPr>
            <w:tcW w:w="95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23.13</w:t>
            </w:r>
          </w:p>
        </w:tc>
        <w:tc>
          <w:tcPr>
            <w:tcW w:w="157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107,306,100.38</w:t>
            </w:r>
          </w:p>
        </w:tc>
        <w:tc>
          <w:tcPr>
            <w:tcW w:w="163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107,269,419.21</w:t>
            </w:r>
          </w:p>
        </w:tc>
        <w:tc>
          <w:tcPr>
            <w:tcW w:w="78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83.16</w:t>
            </w:r>
          </w:p>
        </w:tc>
        <w:tc>
          <w:tcPr>
            <w:tcW w:w="153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32,584,297.82</w:t>
            </w:r>
          </w:p>
        </w:tc>
        <w:tc>
          <w:tcPr>
            <w:tcW w:w="91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30.38</w:t>
            </w:r>
          </w:p>
        </w:tc>
        <w:tc>
          <w:tcPr>
            <w:tcW w:w="147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74,685,121.39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szCs w:val="21"/>
              </w:rPr>
            </w:pPr>
            <w:r>
              <w:rPr>
                <w:rFonts w:hint="eastAsia"/>
                <w:szCs w:val="21"/>
              </w:rPr>
              <w:t>合计</w:t>
            </w:r>
          </w:p>
        </w:tc>
        <w:tc>
          <w:tcPr>
            <w:tcW w:w="166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161,318,699.81</w:t>
            </w:r>
          </w:p>
        </w:tc>
        <w:tc>
          <w:tcPr>
            <w:tcW w:w="731"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w:t>
            </w:r>
          </w:p>
        </w:tc>
        <w:tc>
          <w:tcPr>
            <w:tcW w:w="150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54,012,599.43</w:t>
            </w:r>
          </w:p>
        </w:tc>
        <w:tc>
          <w:tcPr>
            <w:tcW w:w="95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w:t>
            </w:r>
          </w:p>
        </w:tc>
        <w:tc>
          <w:tcPr>
            <w:tcW w:w="1570" w:type="dxa"/>
            <w:tcBorders>
              <w:top w:val="single" w:color="auto" w:sz="4" w:space="0"/>
              <w:left w:val="single" w:color="auto" w:sz="4" w:space="0"/>
              <w:bottom w:val="single" w:color="auto" w:sz="4" w:space="0"/>
              <w:right w:val="single" w:color="auto" w:sz="4" w:space="0"/>
            </w:tcBorders>
            <w:vAlign w:val="center"/>
          </w:tcPr>
          <w:p>
            <w:pPr>
              <w:jc w:val="right"/>
              <w:rPr>
                <w:rFonts w:hint="eastAsia" w:eastAsia="宋体"/>
                <w:szCs w:val="21"/>
                <w:lang w:eastAsia="zh-CN"/>
              </w:rPr>
            </w:pPr>
            <w:r>
              <w:rPr>
                <w:rFonts w:hint="eastAsia"/>
                <w:color w:val="auto"/>
                <w:lang w:eastAsia="zh-CN"/>
              </w:rPr>
              <w:t>107,306,100.38</w:t>
            </w:r>
          </w:p>
        </w:tc>
        <w:tc>
          <w:tcPr>
            <w:tcW w:w="163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128,997,117.22</w:t>
            </w:r>
          </w:p>
        </w:tc>
        <w:tc>
          <w:tcPr>
            <w:tcW w:w="78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w:t>
            </w:r>
          </w:p>
        </w:tc>
        <w:tc>
          <w:tcPr>
            <w:tcW w:w="153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54,311,995.83</w:t>
            </w:r>
          </w:p>
        </w:tc>
        <w:tc>
          <w:tcPr>
            <w:tcW w:w="91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w:t>
            </w:r>
          </w:p>
        </w:tc>
        <w:tc>
          <w:tcPr>
            <w:tcW w:w="147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74,685,121.39</w:t>
            </w:r>
          </w:p>
        </w:tc>
      </w:tr>
      <w:bookmarkEnd w:id="224"/>
    </w:tbl>
    <w:p>
      <w:pPr>
        <w:pStyle w:val="17"/>
        <w:sectPr>
          <w:pgSz w:w="16838" w:h="11906" w:orient="landscape"/>
          <w:pgMar w:top="1276" w:right="1440" w:bottom="1797" w:left="1525" w:header="856" w:footer="992" w:gutter="0"/>
          <w:cols w:space="425" w:num="1"/>
          <w:docGrid w:linePitch="312" w:charSpace="0"/>
        </w:sectPr>
      </w:pPr>
    </w:p>
    <w:p>
      <w:pPr>
        <w:pStyle w:val="18"/>
        <w:ind w:left="0" w:leftChars="0" w:firstLine="0" w:firstLineChars="0"/>
        <w:sectPr>
          <w:type w:val="continuous"/>
          <w:pgSz w:w="16838" w:h="11906" w:orient="landscape"/>
          <w:pgMar w:top="1276" w:right="1440" w:bottom="1797" w:left="1525" w:header="856" w:footer="992" w:gutter="0"/>
          <w:cols w:space="425" w:num="1"/>
          <w:docGrid w:linePitch="312" w:charSpace="0"/>
        </w:sectPr>
      </w:pPr>
    </w:p>
    <w:p/>
    <w:bookmarkEnd w:id="223"/>
    <w:p>
      <w:pPr>
        <w:rPr>
          <w:szCs w:val="21"/>
        </w:rPr>
      </w:pPr>
      <w:bookmarkStart w:id="225" w:name="_Hlk533606785"/>
      <w:r>
        <w:rPr>
          <w:rFonts w:hint="eastAsia"/>
          <w:szCs w:val="21"/>
        </w:rPr>
        <w:t>按单项计提坏账准备：</w:t>
      </w:r>
    </w:p>
    <w:sdt>
      <w:sdtPr>
        <w:rPr>
          <w:rFonts w:hint="eastAsia"/>
        </w:rPr>
        <w:alias w:val="是否适用：按单项计提坏账准备的应收账款详细情况[双击切换]"/>
        <w:tag w:val="_GBC_1add32cead514597854ff8ba7f5bf59e"/>
        <w:id w:val="6757"/>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autoSpaceDE w:val="0"/>
        <w:autoSpaceDN w:val="0"/>
        <w:adjustRightInd w:val="0"/>
        <w:ind w:left="5880" w:right="105"/>
        <w:jc w:val="right"/>
        <w:rPr>
          <w:szCs w:val="21"/>
        </w:rPr>
      </w:pPr>
      <w:r>
        <w:rPr>
          <w:rFonts w:hint="eastAsia"/>
          <w:szCs w:val="21"/>
        </w:rPr>
        <w:t>单位：</w:t>
      </w:r>
      <w:sdt>
        <w:sdtPr>
          <w:rPr>
            <w:rFonts w:hint="eastAsia"/>
            <w:szCs w:val="21"/>
          </w:rPr>
          <w:alias w:val="单位：按单项计提坏账准备的应收账款详细情况"/>
          <w:tag w:val="_GBC_895a0edb0a3a4e12b8b3c0e2c547284e"/>
          <w:id w:val="675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按单项计提坏账准备的应收账款详细情况"/>
          <w:tag w:val="_GBC_ceb9b753925d4115a51bdbcf043dc1b2"/>
          <w:id w:val="675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9"/>
        <w:gridCol w:w="1699"/>
        <w:gridCol w:w="1701"/>
        <w:gridCol w:w="1334"/>
        <w:gridCol w:w="2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vMerge w:val="restart"/>
            <w:vAlign w:val="center"/>
          </w:tcPr>
          <w:sdt>
            <w:sdtPr>
              <w:tag w:val="_PLD_97fa41067b8749859d9b8b001dab9dde"/>
              <w:id w:val="6760"/>
            </w:sdtPr>
            <w:sdtContent>
              <w:p>
                <w:pPr>
                  <w:jc w:val="center"/>
                  <w:rPr>
                    <w:szCs w:val="21"/>
                  </w:rPr>
                </w:pPr>
                <w:r>
                  <w:rPr>
                    <w:rFonts w:hint="eastAsia"/>
                    <w:szCs w:val="21"/>
                  </w:rPr>
                  <w:t>名称</w:t>
                </w:r>
              </w:p>
            </w:sdtContent>
          </w:sdt>
        </w:tc>
        <w:tc>
          <w:tcPr>
            <w:tcW w:w="6950" w:type="dxa"/>
            <w:gridSpan w:val="4"/>
            <w:vAlign w:val="center"/>
          </w:tcPr>
          <w:sdt>
            <w:sdtPr>
              <w:tag w:val="_PLD_53121e07f76046af9290059d0b8136d4"/>
              <w:id w:val="6761"/>
            </w:sdtPr>
            <w:sdtContent>
              <w:p>
                <w:pPr>
                  <w:jc w:val="center"/>
                  <w:rPr>
                    <w:szCs w:val="21"/>
                  </w:rPr>
                </w:pPr>
                <w:r>
                  <w:rPr>
                    <w:rFonts w:hint="eastAsia"/>
                    <w:szCs w:val="21"/>
                  </w:rPr>
                  <w:t>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vMerge w:val="continue"/>
            <w:vAlign w:val="center"/>
          </w:tcPr>
          <w:p>
            <w:pPr>
              <w:jc w:val="center"/>
              <w:rPr>
                <w:szCs w:val="21"/>
              </w:rPr>
            </w:pPr>
          </w:p>
        </w:tc>
        <w:tc>
          <w:tcPr>
            <w:tcW w:w="1699" w:type="dxa"/>
            <w:vAlign w:val="center"/>
          </w:tcPr>
          <w:sdt>
            <w:sdtPr>
              <w:tag w:val="_PLD_89b2d64d2083464fae141734d17523d3"/>
              <w:id w:val="6762"/>
            </w:sdtPr>
            <w:sdtContent>
              <w:p>
                <w:pPr>
                  <w:jc w:val="center"/>
                  <w:rPr>
                    <w:szCs w:val="21"/>
                  </w:rPr>
                </w:pPr>
                <w:r>
                  <w:rPr>
                    <w:rFonts w:hint="eastAsia"/>
                    <w:szCs w:val="21"/>
                  </w:rPr>
                  <w:t>账面余额</w:t>
                </w:r>
              </w:p>
            </w:sdtContent>
          </w:sdt>
        </w:tc>
        <w:tc>
          <w:tcPr>
            <w:tcW w:w="1701" w:type="dxa"/>
            <w:vAlign w:val="center"/>
          </w:tcPr>
          <w:sdt>
            <w:sdtPr>
              <w:tag w:val="_PLD_ace529544c544606915552a352f0e13b"/>
              <w:id w:val="6763"/>
            </w:sdtPr>
            <w:sdtContent>
              <w:p>
                <w:pPr>
                  <w:jc w:val="center"/>
                  <w:rPr>
                    <w:szCs w:val="21"/>
                  </w:rPr>
                </w:pPr>
                <w:r>
                  <w:rPr>
                    <w:rFonts w:hint="eastAsia"/>
                    <w:szCs w:val="21"/>
                  </w:rPr>
                  <w:t>坏账准备</w:t>
                </w:r>
              </w:p>
            </w:sdtContent>
          </w:sdt>
        </w:tc>
        <w:tc>
          <w:tcPr>
            <w:tcW w:w="1334" w:type="dxa"/>
            <w:vAlign w:val="center"/>
          </w:tcPr>
          <w:sdt>
            <w:sdtPr>
              <w:tag w:val="_PLD_8fd7658c68a540cf9892f97231c626d7"/>
              <w:id w:val="6764"/>
            </w:sdtPr>
            <w:sdtContent>
              <w:p>
                <w:pPr>
                  <w:jc w:val="center"/>
                  <w:rPr>
                    <w:szCs w:val="21"/>
                  </w:rPr>
                </w:pPr>
                <w:r>
                  <w:rPr>
                    <w:szCs w:val="21"/>
                  </w:rPr>
                  <w:t>计提比例</w:t>
                </w:r>
                <w:r>
                  <w:rPr>
                    <w:rFonts w:hint="eastAsia"/>
                    <w:szCs w:val="21"/>
                  </w:rPr>
                  <w:t>（%）</w:t>
                </w:r>
              </w:p>
            </w:sdtContent>
          </w:sdt>
        </w:tc>
        <w:tc>
          <w:tcPr>
            <w:tcW w:w="2216" w:type="dxa"/>
            <w:vAlign w:val="center"/>
          </w:tcPr>
          <w:sdt>
            <w:sdtPr>
              <w:tag w:val="_PLD_e9726e8171bb463ba9719bc643c14988"/>
              <w:id w:val="6765"/>
            </w:sdtPr>
            <w:sdtContent>
              <w:p>
                <w:pPr>
                  <w:jc w:val="center"/>
                  <w:rPr>
                    <w:szCs w:val="21"/>
                  </w:rPr>
                </w:pPr>
                <w:r>
                  <w:rPr>
                    <w:rFonts w:hint="eastAsia"/>
                    <w:szCs w:val="21"/>
                  </w:rPr>
                  <w:t>计提理由</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vAlign w:val="center"/>
          </w:tcPr>
          <w:p>
            <w:pPr>
              <w:rPr>
                <w:szCs w:val="21"/>
              </w:rPr>
            </w:pPr>
            <w:r>
              <w:rPr>
                <w:rFonts w:hint="eastAsia"/>
                <w:color w:val="auto"/>
              </w:rPr>
              <w:t>上海诗玛尔家居用品有限公司</w:t>
            </w:r>
          </w:p>
        </w:tc>
        <w:tc>
          <w:tcPr>
            <w:tcW w:w="1699" w:type="dxa"/>
            <w:vAlign w:val="center"/>
          </w:tcPr>
          <w:p>
            <w:pPr>
              <w:jc w:val="right"/>
              <w:rPr>
                <w:szCs w:val="21"/>
              </w:rPr>
            </w:pPr>
            <w:r>
              <w:rPr>
                <w:rFonts w:hint="eastAsia"/>
                <w:color w:val="auto"/>
              </w:rPr>
              <w:t>15,609,244.47</w:t>
            </w:r>
          </w:p>
        </w:tc>
        <w:tc>
          <w:tcPr>
            <w:tcW w:w="1701" w:type="dxa"/>
            <w:vAlign w:val="center"/>
          </w:tcPr>
          <w:p>
            <w:pPr>
              <w:jc w:val="right"/>
              <w:rPr>
                <w:szCs w:val="21"/>
              </w:rPr>
            </w:pPr>
            <w:r>
              <w:rPr>
                <w:rFonts w:hint="eastAsia"/>
                <w:color w:val="auto"/>
              </w:rPr>
              <w:t>15,609,244.47</w:t>
            </w:r>
          </w:p>
        </w:tc>
        <w:tc>
          <w:tcPr>
            <w:tcW w:w="1334" w:type="dxa"/>
            <w:vAlign w:val="center"/>
          </w:tcPr>
          <w:p>
            <w:pPr>
              <w:jc w:val="right"/>
              <w:rPr>
                <w:szCs w:val="21"/>
              </w:rPr>
            </w:pPr>
            <w:r>
              <w:rPr>
                <w:rFonts w:hint="eastAsia"/>
                <w:color w:val="auto"/>
              </w:rPr>
              <w:t>100</w:t>
            </w:r>
          </w:p>
        </w:tc>
        <w:tc>
          <w:tcPr>
            <w:tcW w:w="2216" w:type="dxa"/>
            <w:vAlign w:val="center"/>
          </w:tcPr>
          <w:p>
            <w:pPr>
              <w:jc w:val="right"/>
              <w:rPr>
                <w:szCs w:val="21"/>
              </w:rPr>
            </w:pPr>
            <w:r>
              <w:rPr>
                <w:rFonts w:hint="eastAsia"/>
                <w:color w:val="auto"/>
              </w:rPr>
              <w:t>预计收回可能性较小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vAlign w:val="center"/>
          </w:tcPr>
          <w:p>
            <w:pPr>
              <w:rPr>
                <w:szCs w:val="21"/>
              </w:rPr>
            </w:pPr>
            <w:r>
              <w:rPr>
                <w:rFonts w:hint="eastAsia"/>
                <w:color w:val="auto"/>
              </w:rPr>
              <w:t>广西民族印刷厂</w:t>
            </w:r>
          </w:p>
        </w:tc>
        <w:tc>
          <w:tcPr>
            <w:tcW w:w="1699" w:type="dxa"/>
            <w:vAlign w:val="center"/>
          </w:tcPr>
          <w:p>
            <w:pPr>
              <w:jc w:val="right"/>
              <w:rPr>
                <w:szCs w:val="21"/>
              </w:rPr>
            </w:pPr>
            <w:r>
              <w:rPr>
                <w:rFonts w:hint="eastAsia"/>
                <w:color w:val="auto"/>
              </w:rPr>
              <w:t>2,079,197.55</w:t>
            </w:r>
          </w:p>
        </w:tc>
        <w:tc>
          <w:tcPr>
            <w:tcW w:w="1701" w:type="dxa"/>
            <w:vAlign w:val="center"/>
          </w:tcPr>
          <w:p>
            <w:pPr>
              <w:jc w:val="right"/>
              <w:rPr>
                <w:szCs w:val="21"/>
              </w:rPr>
            </w:pPr>
            <w:r>
              <w:rPr>
                <w:rFonts w:hint="eastAsia"/>
                <w:color w:val="auto"/>
              </w:rPr>
              <w:t>2,079,197.55</w:t>
            </w:r>
          </w:p>
        </w:tc>
        <w:tc>
          <w:tcPr>
            <w:tcW w:w="1334" w:type="dxa"/>
            <w:vAlign w:val="center"/>
          </w:tcPr>
          <w:p>
            <w:pPr>
              <w:jc w:val="right"/>
              <w:rPr>
                <w:szCs w:val="21"/>
              </w:rPr>
            </w:pPr>
            <w:r>
              <w:rPr>
                <w:rFonts w:hint="eastAsia"/>
                <w:color w:val="auto"/>
              </w:rPr>
              <w:t>100</w:t>
            </w:r>
          </w:p>
        </w:tc>
        <w:tc>
          <w:tcPr>
            <w:tcW w:w="2216" w:type="dxa"/>
            <w:vAlign w:val="center"/>
          </w:tcPr>
          <w:p>
            <w:pPr>
              <w:jc w:val="right"/>
              <w:rPr>
                <w:szCs w:val="21"/>
              </w:rPr>
            </w:pPr>
            <w:r>
              <w:rPr>
                <w:rFonts w:hint="eastAsia"/>
                <w:color w:val="auto"/>
              </w:rPr>
              <w:t>预计收回可能性较小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vAlign w:val="center"/>
          </w:tcPr>
          <w:p>
            <w:pPr>
              <w:rPr>
                <w:szCs w:val="21"/>
              </w:rPr>
            </w:pPr>
            <w:r>
              <w:rPr>
                <w:rFonts w:hint="eastAsia"/>
                <w:color w:val="auto"/>
              </w:rPr>
              <w:t>柳州市泓博纸业有限公司</w:t>
            </w:r>
          </w:p>
        </w:tc>
        <w:tc>
          <w:tcPr>
            <w:tcW w:w="1699" w:type="dxa"/>
            <w:vAlign w:val="center"/>
          </w:tcPr>
          <w:p>
            <w:pPr>
              <w:jc w:val="right"/>
              <w:rPr>
                <w:szCs w:val="21"/>
              </w:rPr>
            </w:pPr>
            <w:r>
              <w:rPr>
                <w:rFonts w:hint="eastAsia"/>
                <w:color w:val="auto"/>
              </w:rPr>
              <w:t>727,457.93</w:t>
            </w:r>
          </w:p>
        </w:tc>
        <w:tc>
          <w:tcPr>
            <w:tcW w:w="1701" w:type="dxa"/>
            <w:vAlign w:val="center"/>
          </w:tcPr>
          <w:p>
            <w:pPr>
              <w:jc w:val="right"/>
              <w:rPr>
                <w:szCs w:val="21"/>
              </w:rPr>
            </w:pPr>
            <w:r>
              <w:rPr>
                <w:rFonts w:hint="eastAsia"/>
                <w:color w:val="auto"/>
              </w:rPr>
              <w:t>727,457.93</w:t>
            </w:r>
          </w:p>
        </w:tc>
        <w:tc>
          <w:tcPr>
            <w:tcW w:w="1334" w:type="dxa"/>
            <w:vAlign w:val="center"/>
          </w:tcPr>
          <w:p>
            <w:pPr>
              <w:jc w:val="right"/>
              <w:rPr>
                <w:szCs w:val="21"/>
              </w:rPr>
            </w:pPr>
            <w:r>
              <w:rPr>
                <w:rFonts w:hint="eastAsia"/>
                <w:color w:val="auto"/>
              </w:rPr>
              <w:t>100</w:t>
            </w:r>
          </w:p>
        </w:tc>
        <w:tc>
          <w:tcPr>
            <w:tcW w:w="2216" w:type="dxa"/>
            <w:vAlign w:val="center"/>
          </w:tcPr>
          <w:p>
            <w:pPr>
              <w:jc w:val="right"/>
              <w:rPr>
                <w:szCs w:val="21"/>
              </w:rPr>
            </w:pPr>
            <w:r>
              <w:rPr>
                <w:rFonts w:hint="eastAsia"/>
                <w:color w:val="auto"/>
              </w:rPr>
              <w:t>预计收回可能性较小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vAlign w:val="center"/>
          </w:tcPr>
          <w:p>
            <w:pPr>
              <w:rPr>
                <w:szCs w:val="21"/>
              </w:rPr>
            </w:pPr>
            <w:r>
              <w:rPr>
                <w:rFonts w:hint="eastAsia"/>
                <w:color w:val="auto"/>
              </w:rPr>
              <w:t>玉林日用品经营部</w:t>
            </w:r>
          </w:p>
        </w:tc>
        <w:tc>
          <w:tcPr>
            <w:tcW w:w="1699" w:type="dxa"/>
            <w:vAlign w:val="center"/>
          </w:tcPr>
          <w:p>
            <w:pPr>
              <w:jc w:val="right"/>
              <w:rPr>
                <w:szCs w:val="21"/>
              </w:rPr>
            </w:pPr>
            <w:r>
              <w:rPr>
                <w:rFonts w:hint="eastAsia"/>
                <w:color w:val="auto"/>
              </w:rPr>
              <w:t>616,115.30</w:t>
            </w:r>
          </w:p>
        </w:tc>
        <w:tc>
          <w:tcPr>
            <w:tcW w:w="1701" w:type="dxa"/>
            <w:vAlign w:val="center"/>
          </w:tcPr>
          <w:p>
            <w:pPr>
              <w:jc w:val="right"/>
              <w:rPr>
                <w:szCs w:val="21"/>
              </w:rPr>
            </w:pPr>
            <w:r>
              <w:rPr>
                <w:rFonts w:hint="eastAsia"/>
                <w:color w:val="auto"/>
              </w:rPr>
              <w:t>616,115.30</w:t>
            </w:r>
          </w:p>
        </w:tc>
        <w:tc>
          <w:tcPr>
            <w:tcW w:w="1334" w:type="dxa"/>
            <w:vAlign w:val="center"/>
          </w:tcPr>
          <w:p>
            <w:pPr>
              <w:jc w:val="right"/>
              <w:rPr>
                <w:szCs w:val="21"/>
              </w:rPr>
            </w:pPr>
            <w:r>
              <w:rPr>
                <w:rFonts w:hint="eastAsia"/>
                <w:color w:val="auto"/>
              </w:rPr>
              <w:t>100</w:t>
            </w:r>
          </w:p>
        </w:tc>
        <w:tc>
          <w:tcPr>
            <w:tcW w:w="2216" w:type="dxa"/>
            <w:vAlign w:val="center"/>
          </w:tcPr>
          <w:p>
            <w:pPr>
              <w:jc w:val="right"/>
              <w:rPr>
                <w:szCs w:val="21"/>
              </w:rPr>
            </w:pPr>
            <w:r>
              <w:rPr>
                <w:rFonts w:hint="eastAsia"/>
                <w:color w:val="auto"/>
              </w:rPr>
              <w:t>预计收回可能性较小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vAlign w:val="center"/>
          </w:tcPr>
          <w:p>
            <w:pPr>
              <w:rPr>
                <w:szCs w:val="21"/>
              </w:rPr>
            </w:pPr>
            <w:r>
              <w:rPr>
                <w:rFonts w:hint="eastAsia"/>
                <w:color w:val="auto"/>
              </w:rPr>
              <w:t>长春市粤惠洗涤化妆品公司</w:t>
            </w:r>
          </w:p>
        </w:tc>
        <w:tc>
          <w:tcPr>
            <w:tcW w:w="1699" w:type="dxa"/>
            <w:vAlign w:val="center"/>
          </w:tcPr>
          <w:p>
            <w:pPr>
              <w:jc w:val="right"/>
              <w:rPr>
                <w:szCs w:val="21"/>
              </w:rPr>
            </w:pPr>
            <w:r>
              <w:rPr>
                <w:rFonts w:hint="eastAsia"/>
                <w:color w:val="auto"/>
              </w:rPr>
              <w:t>554,277.71</w:t>
            </w:r>
          </w:p>
        </w:tc>
        <w:tc>
          <w:tcPr>
            <w:tcW w:w="1701" w:type="dxa"/>
            <w:vAlign w:val="center"/>
          </w:tcPr>
          <w:p>
            <w:pPr>
              <w:jc w:val="right"/>
              <w:rPr>
                <w:szCs w:val="21"/>
              </w:rPr>
            </w:pPr>
            <w:r>
              <w:rPr>
                <w:rFonts w:hint="eastAsia"/>
                <w:color w:val="auto"/>
              </w:rPr>
              <w:t>554,277.71</w:t>
            </w:r>
          </w:p>
        </w:tc>
        <w:tc>
          <w:tcPr>
            <w:tcW w:w="1334" w:type="dxa"/>
            <w:vAlign w:val="center"/>
          </w:tcPr>
          <w:p>
            <w:pPr>
              <w:jc w:val="right"/>
              <w:rPr>
                <w:szCs w:val="21"/>
              </w:rPr>
            </w:pPr>
            <w:r>
              <w:rPr>
                <w:rFonts w:hint="eastAsia"/>
                <w:color w:val="auto"/>
              </w:rPr>
              <w:t>100</w:t>
            </w:r>
          </w:p>
        </w:tc>
        <w:tc>
          <w:tcPr>
            <w:tcW w:w="2216" w:type="dxa"/>
            <w:vAlign w:val="center"/>
          </w:tcPr>
          <w:p>
            <w:pPr>
              <w:jc w:val="right"/>
              <w:rPr>
                <w:szCs w:val="21"/>
              </w:rPr>
            </w:pPr>
            <w:r>
              <w:rPr>
                <w:rFonts w:hint="eastAsia"/>
                <w:color w:val="auto"/>
              </w:rPr>
              <w:t>预计收回可能性较小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vAlign w:val="center"/>
          </w:tcPr>
          <w:p>
            <w:pPr>
              <w:rPr>
                <w:szCs w:val="21"/>
              </w:rPr>
            </w:pPr>
            <w:r>
              <w:rPr>
                <w:rFonts w:hint="eastAsia"/>
                <w:color w:val="auto"/>
              </w:rPr>
              <w:t>其他客户汇总</w:t>
            </w:r>
          </w:p>
        </w:tc>
        <w:tc>
          <w:tcPr>
            <w:tcW w:w="1699" w:type="dxa"/>
            <w:vAlign w:val="center"/>
          </w:tcPr>
          <w:p>
            <w:pPr>
              <w:jc w:val="right"/>
              <w:rPr>
                <w:szCs w:val="21"/>
              </w:rPr>
            </w:pPr>
            <w:r>
              <w:rPr>
                <w:rFonts w:hint="eastAsia"/>
                <w:color w:val="auto"/>
              </w:rPr>
              <w:t>2,133,964.11</w:t>
            </w:r>
          </w:p>
        </w:tc>
        <w:tc>
          <w:tcPr>
            <w:tcW w:w="1701" w:type="dxa"/>
            <w:vAlign w:val="center"/>
          </w:tcPr>
          <w:p>
            <w:pPr>
              <w:jc w:val="right"/>
              <w:rPr>
                <w:szCs w:val="21"/>
              </w:rPr>
            </w:pPr>
            <w:r>
              <w:rPr>
                <w:rFonts w:hint="eastAsia"/>
                <w:color w:val="auto"/>
              </w:rPr>
              <w:t>2,133,964.11</w:t>
            </w:r>
          </w:p>
        </w:tc>
        <w:tc>
          <w:tcPr>
            <w:tcW w:w="1334" w:type="dxa"/>
            <w:vAlign w:val="center"/>
          </w:tcPr>
          <w:p>
            <w:pPr>
              <w:jc w:val="right"/>
              <w:rPr>
                <w:szCs w:val="21"/>
              </w:rPr>
            </w:pPr>
            <w:r>
              <w:rPr>
                <w:rFonts w:hint="eastAsia"/>
                <w:color w:val="auto"/>
              </w:rPr>
              <w:t>100</w:t>
            </w:r>
          </w:p>
        </w:tc>
        <w:tc>
          <w:tcPr>
            <w:tcW w:w="2216" w:type="dxa"/>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vAlign w:val="center"/>
          </w:tcPr>
          <w:p>
            <w:pPr>
              <w:jc w:val="center"/>
              <w:rPr>
                <w:szCs w:val="21"/>
              </w:rPr>
            </w:pPr>
            <w:r>
              <w:rPr>
                <w:rFonts w:hint="eastAsia"/>
                <w:szCs w:val="21"/>
              </w:rPr>
              <w:t>合计</w:t>
            </w:r>
          </w:p>
        </w:tc>
        <w:tc>
          <w:tcPr>
            <w:tcW w:w="1699" w:type="dxa"/>
            <w:vAlign w:val="center"/>
          </w:tcPr>
          <w:p>
            <w:pPr>
              <w:jc w:val="right"/>
              <w:rPr>
                <w:szCs w:val="21"/>
              </w:rPr>
            </w:pPr>
            <w:r>
              <w:rPr>
                <w:rFonts w:hint="eastAsia"/>
                <w:color w:val="auto"/>
              </w:rPr>
              <w:t>21,720,257.07</w:t>
            </w:r>
          </w:p>
        </w:tc>
        <w:tc>
          <w:tcPr>
            <w:tcW w:w="1701" w:type="dxa"/>
            <w:vAlign w:val="center"/>
          </w:tcPr>
          <w:p>
            <w:pPr>
              <w:jc w:val="right"/>
              <w:rPr>
                <w:szCs w:val="21"/>
              </w:rPr>
            </w:pPr>
            <w:r>
              <w:rPr>
                <w:rFonts w:hint="eastAsia"/>
                <w:color w:val="auto"/>
              </w:rPr>
              <w:t>21,720,257.07</w:t>
            </w:r>
          </w:p>
        </w:tc>
        <w:tc>
          <w:tcPr>
            <w:tcW w:w="1334" w:type="dxa"/>
            <w:vAlign w:val="center"/>
          </w:tcPr>
          <w:p>
            <w:pPr>
              <w:jc w:val="right"/>
              <w:rPr>
                <w:szCs w:val="21"/>
              </w:rPr>
            </w:pPr>
            <w:r>
              <w:rPr>
                <w:rFonts w:hint="eastAsia"/>
                <w:color w:val="auto"/>
              </w:rPr>
              <w:t>100</w:t>
            </w:r>
          </w:p>
        </w:tc>
        <w:tc>
          <w:tcPr>
            <w:tcW w:w="2216" w:type="dxa"/>
            <w:vAlign w:val="center"/>
          </w:tcPr>
          <w:p>
            <w:pPr>
              <w:jc w:val="center"/>
              <w:rPr>
                <w:szCs w:val="21"/>
              </w:rPr>
            </w:pPr>
            <w:r>
              <w:rPr>
                <w:rFonts w:hint="eastAsia"/>
                <w:szCs w:val="21"/>
              </w:rPr>
              <w:t>/</w:t>
            </w:r>
          </w:p>
        </w:tc>
      </w:tr>
    </w:tbl>
    <w:p>
      <w:pPr>
        <w:rPr>
          <w:szCs w:val="21"/>
        </w:rPr>
      </w:pPr>
      <w:r>
        <w:rPr>
          <w:rFonts w:hint="eastAsia"/>
          <w:szCs w:val="21"/>
        </w:rPr>
        <w:t>按单项计提坏账准备的说明：</w:t>
      </w:r>
    </w:p>
    <w:sdt>
      <w:sdtPr>
        <w:rPr>
          <w:szCs w:val="21"/>
        </w:rPr>
        <w:alias w:val="是否适用：按单项计提坏账准备的应收账款说明[双击切换]"/>
        <w:tag w:val="_GBC_e665d0e996124f458355f06bf32118ca"/>
        <w:id w:val="6766"/>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szCs w:val="21"/>
        </w:rPr>
        <w:alias w:val="按单项计提坏账准备的应收账款说明"/>
        <w:tag w:val="_GBC_e84ce8e80c6d48c9b6a025f469e3ce11"/>
        <w:id w:val="6767"/>
        <w:placeholder>
          <w:docPart w:val="GBC22222222222222222222222222222"/>
        </w:placeholder>
      </w:sdtPr>
      <w:sdtEndPr>
        <w:rPr>
          <w:szCs w:val="21"/>
        </w:rPr>
      </w:sdtEndPr>
      <w:sdtContent>
        <w:p>
          <w:pPr>
            <w:rPr>
              <w:szCs w:val="21"/>
            </w:rPr>
          </w:pPr>
          <w:r>
            <w:rPr>
              <w:rFonts w:hint="eastAsia"/>
              <w:szCs w:val="21"/>
            </w:rPr>
            <w:t>无</w:t>
          </w:r>
        </w:p>
      </w:sdtContent>
    </w:sdt>
    <w:p/>
    <w:bookmarkEnd w:id="225"/>
    <w:sdt>
      <w:sdtPr>
        <w:tag w:val="_PLD_21b31dda4e9f44bd901ccb9e126e1392"/>
        <w:id w:val="6768"/>
      </w:sdtPr>
      <w:sdtContent>
        <w:p>
          <w:pPr>
            <w:rPr>
              <w:szCs w:val="21"/>
            </w:rPr>
          </w:pPr>
          <w:r>
            <w:rPr>
              <w:rFonts w:hint="eastAsia"/>
              <w:szCs w:val="21"/>
            </w:rPr>
            <w:t>按组合计提坏账准备：</w:t>
          </w:r>
        </w:p>
      </w:sdtContent>
    </w:sdt>
    <w:sdt>
      <w:sdtPr>
        <w:rPr>
          <w:rFonts w:hint="eastAsia"/>
        </w:rPr>
        <w:alias w:val="是否适用：按组合计提坏账准备的应收账款详细情况[双击切换]"/>
        <w:tag w:val="_GBC_600909a2591c4c1187685fb640783e4a"/>
        <w:id w:val="6769"/>
        <w:lock w:val="contentLocked"/>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szCs w:val="21"/>
        </w:rPr>
        <w:alias w:val="模块:按组合计提坏账准备"/>
        <w:tag w:val="_SEC_04cea84e35a1467eb05df185ad69482a"/>
        <w:id w:val="6770"/>
        <w:placeholder>
          <w:docPart w:val="GBC22222222222222222222222222222"/>
        </w:placeholder>
      </w:sdtPr>
      <w:sdtEndPr>
        <w:rPr>
          <w:rFonts w:hint="default"/>
          <w:szCs w:val="20"/>
        </w:rPr>
      </w:sdtEndPr>
      <w:sdtContent>
        <w:p>
          <w:pPr>
            <w:rPr>
              <w:szCs w:val="21"/>
            </w:rPr>
          </w:pPr>
          <w:bookmarkStart w:id="226" w:name="_Hlk533607573"/>
          <w:r>
            <w:rPr>
              <w:rFonts w:hint="eastAsia"/>
              <w:szCs w:val="21"/>
            </w:rPr>
            <w:t>组合计提项目：</w:t>
          </w:r>
          <w:sdt>
            <w:sdtPr>
              <w:rPr>
                <w:rFonts w:hint="eastAsia"/>
                <w:szCs w:val="21"/>
              </w:rPr>
              <w:alias w:val="按组合计提坏账准备的应收账款明细-组合名称"/>
              <w:tag w:val="_GBC_a99af83acd7e492a99d5eed2536b8adb"/>
              <w:id w:val="6771"/>
              <w:placeholder>
                <w:docPart w:val="GBC22222222222222222222222222222"/>
              </w:placeholder>
              <w:comboBox/>
            </w:sdtPr>
            <w:sdtEndPr>
              <w:rPr>
                <w:rFonts w:hint="eastAsia"/>
                <w:szCs w:val="21"/>
              </w:rPr>
            </w:sdtEndPr>
            <w:sdtContent>
              <w:r>
                <w:rPr>
                  <w:rFonts w:hint="eastAsia"/>
                  <w:szCs w:val="21"/>
                </w:rPr>
                <w:t>按账龄组合</w:t>
              </w:r>
            </w:sdtContent>
          </w:sdt>
        </w:p>
        <w:p>
          <w:pPr>
            <w:autoSpaceDE w:val="0"/>
            <w:autoSpaceDN w:val="0"/>
            <w:adjustRightInd w:val="0"/>
            <w:ind w:left="5880" w:right="105"/>
            <w:jc w:val="right"/>
            <w:rPr>
              <w:szCs w:val="21"/>
            </w:rPr>
          </w:pPr>
          <w:r>
            <w:rPr>
              <w:rFonts w:hint="eastAsia"/>
              <w:szCs w:val="21"/>
            </w:rPr>
            <w:t>单位：</w:t>
          </w:r>
          <w:sdt>
            <w:sdtPr>
              <w:rPr>
                <w:rFonts w:hint="eastAsia"/>
                <w:szCs w:val="21"/>
              </w:rPr>
              <w:alias w:val="单位：按组合计提坏账准备的应收账款详细情况"/>
              <w:tag w:val="_GBC_048426f3fbc6488d9ff13660d47dce88"/>
              <w:id w:val="677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按组合计提坏账准备的应收账款详细情况"/>
              <w:tag w:val="_GBC_2a89eacddb4842daa40a2883ae740824"/>
              <w:id w:val="677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5"/>
            <w:gridCol w:w="2309"/>
            <w:gridCol w:w="2350"/>
            <w:gridCol w:w="2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5" w:type="dxa"/>
                <w:vMerge w:val="restart"/>
                <w:vAlign w:val="center"/>
              </w:tcPr>
              <w:sdt>
                <w:sdtPr>
                  <w:tag w:val="_PLD_76fac25a376f4d4b884d95c8c8b4cdbd"/>
                  <w:id w:val="6774"/>
                </w:sdtPr>
                <w:sdtContent>
                  <w:p>
                    <w:pPr>
                      <w:jc w:val="center"/>
                      <w:rPr>
                        <w:szCs w:val="21"/>
                      </w:rPr>
                    </w:pPr>
                    <w:r>
                      <w:rPr>
                        <w:rFonts w:hint="eastAsia"/>
                        <w:szCs w:val="21"/>
                      </w:rPr>
                      <w:t>名称</w:t>
                    </w:r>
                  </w:p>
                </w:sdtContent>
              </w:sdt>
            </w:tc>
            <w:tc>
              <w:tcPr>
                <w:tcW w:w="6953" w:type="dxa"/>
                <w:gridSpan w:val="3"/>
                <w:vAlign w:val="center"/>
              </w:tcPr>
              <w:sdt>
                <w:sdtPr>
                  <w:tag w:val="_PLD_2ea73da2ba22410090605fad4228c06a"/>
                  <w:id w:val="6775"/>
                </w:sdtPr>
                <w:sdtContent>
                  <w:p>
                    <w:pPr>
                      <w:jc w:val="center"/>
                      <w:rPr>
                        <w:szCs w:val="21"/>
                      </w:rPr>
                    </w:pPr>
                    <w:r>
                      <w:rPr>
                        <w:rFonts w:hint="eastAsia"/>
                        <w:szCs w:val="21"/>
                      </w:rPr>
                      <w:t>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5" w:type="dxa"/>
                <w:vMerge w:val="continue"/>
                <w:vAlign w:val="center"/>
              </w:tcPr>
              <w:p>
                <w:pPr>
                  <w:jc w:val="center"/>
                  <w:rPr>
                    <w:szCs w:val="21"/>
                  </w:rPr>
                </w:pPr>
              </w:p>
            </w:tc>
            <w:tc>
              <w:tcPr>
                <w:tcW w:w="2309" w:type="dxa"/>
                <w:vAlign w:val="center"/>
              </w:tcPr>
              <w:sdt>
                <w:sdtPr>
                  <w:tag w:val="_PLD_841eb33e3b60464dbe6b3cefac602503"/>
                  <w:id w:val="6776"/>
                </w:sdtPr>
                <w:sdtContent>
                  <w:p>
                    <w:pPr>
                      <w:jc w:val="center"/>
                      <w:rPr>
                        <w:szCs w:val="21"/>
                      </w:rPr>
                    </w:pPr>
                    <w:r>
                      <w:rPr>
                        <w:rFonts w:hint="eastAsia"/>
                      </w:rPr>
                      <w:t>账面余额</w:t>
                    </w:r>
                  </w:p>
                </w:sdtContent>
              </w:sdt>
            </w:tc>
            <w:tc>
              <w:tcPr>
                <w:tcW w:w="2350" w:type="dxa"/>
                <w:vAlign w:val="center"/>
              </w:tcPr>
              <w:sdt>
                <w:sdtPr>
                  <w:tag w:val="_PLD_b28da65f0aac478c80ab20a817d350ac"/>
                  <w:id w:val="6777"/>
                </w:sdtPr>
                <w:sdtContent>
                  <w:p>
                    <w:pPr>
                      <w:jc w:val="center"/>
                      <w:rPr>
                        <w:szCs w:val="21"/>
                      </w:rPr>
                    </w:pPr>
                    <w:r>
                      <w:rPr>
                        <w:rFonts w:hint="eastAsia"/>
                        <w:szCs w:val="21"/>
                      </w:rPr>
                      <w:t>坏账准备</w:t>
                    </w:r>
                  </w:p>
                </w:sdtContent>
              </w:sdt>
            </w:tc>
            <w:tc>
              <w:tcPr>
                <w:tcW w:w="2293" w:type="dxa"/>
                <w:vAlign w:val="center"/>
              </w:tcPr>
              <w:sdt>
                <w:sdtPr>
                  <w:tag w:val="_PLD_98321f537bf94701b17705eae6c543e2"/>
                  <w:id w:val="6778"/>
                </w:sdtPr>
                <w:sdtContent>
                  <w:p>
                    <w:pPr>
                      <w:jc w:val="center"/>
                      <w:rPr>
                        <w:szCs w:val="21"/>
                      </w:rPr>
                    </w:pPr>
                    <w:r>
                      <w:rPr>
                        <w:szCs w:val="21"/>
                      </w:rPr>
                      <w:t>计提比例</w:t>
                    </w:r>
                    <w:r>
                      <w:rPr>
                        <w:rFonts w:hint="eastAsia"/>
                        <w:szCs w:val="21"/>
                      </w:rPr>
                      <w:t>（%）</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5" w:type="dxa"/>
                <w:vAlign w:val="center"/>
              </w:tcPr>
              <w:p>
                <w:pPr>
                  <w:rPr>
                    <w:szCs w:val="21"/>
                  </w:rPr>
                </w:pPr>
                <w:r>
                  <w:rPr>
                    <w:rFonts w:hint="eastAsia"/>
                    <w:color w:val="auto"/>
                  </w:rPr>
                  <w:t>0.5年以内</w:t>
                </w:r>
              </w:p>
            </w:tc>
            <w:tc>
              <w:tcPr>
                <w:tcW w:w="2309" w:type="dxa"/>
                <w:vAlign w:val="center"/>
              </w:tcPr>
              <w:p>
                <w:pPr>
                  <w:jc w:val="right"/>
                  <w:rPr>
                    <w:szCs w:val="21"/>
                  </w:rPr>
                </w:pPr>
                <w:r>
                  <w:rPr>
                    <w:rFonts w:hint="eastAsia"/>
                    <w:color w:val="auto"/>
                  </w:rPr>
                  <w:t>97,880,232.24</w:t>
                </w:r>
              </w:p>
            </w:tc>
            <w:tc>
              <w:tcPr>
                <w:tcW w:w="2350" w:type="dxa"/>
                <w:vAlign w:val="center"/>
              </w:tcPr>
              <w:p>
                <w:pPr>
                  <w:jc w:val="right"/>
                  <w:rPr>
                    <w:szCs w:val="21"/>
                  </w:rPr>
                </w:pPr>
              </w:p>
            </w:tc>
            <w:tc>
              <w:tcPr>
                <w:tcW w:w="2293" w:type="dxa"/>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5" w:type="dxa"/>
                <w:vAlign w:val="center"/>
              </w:tcPr>
              <w:p>
                <w:pPr>
                  <w:rPr>
                    <w:szCs w:val="21"/>
                  </w:rPr>
                </w:pPr>
                <w:r>
                  <w:rPr>
                    <w:rFonts w:hint="eastAsia"/>
                    <w:color w:val="auto"/>
                  </w:rPr>
                  <w:t>0.5年至1年</w:t>
                </w:r>
              </w:p>
            </w:tc>
            <w:tc>
              <w:tcPr>
                <w:tcW w:w="2309" w:type="dxa"/>
                <w:vAlign w:val="center"/>
              </w:tcPr>
              <w:p>
                <w:pPr>
                  <w:jc w:val="right"/>
                  <w:rPr>
                    <w:szCs w:val="21"/>
                  </w:rPr>
                </w:pPr>
                <w:r>
                  <w:rPr>
                    <w:rFonts w:hint="eastAsia"/>
                    <w:color w:val="auto"/>
                  </w:rPr>
                  <w:t>2,880,086.82</w:t>
                </w:r>
              </w:p>
            </w:tc>
            <w:tc>
              <w:tcPr>
                <w:tcW w:w="2350" w:type="dxa"/>
                <w:vAlign w:val="center"/>
              </w:tcPr>
              <w:p>
                <w:pPr>
                  <w:jc w:val="right"/>
                  <w:rPr>
                    <w:szCs w:val="21"/>
                  </w:rPr>
                </w:pPr>
                <w:r>
                  <w:rPr>
                    <w:rFonts w:hint="eastAsia"/>
                    <w:color w:val="auto"/>
                  </w:rPr>
                  <w:t>144,004.34</w:t>
                </w:r>
              </w:p>
            </w:tc>
            <w:tc>
              <w:tcPr>
                <w:tcW w:w="2293" w:type="dxa"/>
                <w:vAlign w:val="center"/>
              </w:tcPr>
              <w:p>
                <w:pPr>
                  <w:jc w:val="right"/>
                  <w:rPr>
                    <w:szCs w:val="21"/>
                  </w:rPr>
                </w:pPr>
                <w:r>
                  <w:rPr>
                    <w:rFonts w:hint="eastAsia"/>
                    <w:color w:val="auto"/>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5" w:type="dxa"/>
                <w:vAlign w:val="center"/>
              </w:tcPr>
              <w:p>
                <w:pPr>
                  <w:rPr>
                    <w:szCs w:val="21"/>
                  </w:rPr>
                </w:pPr>
                <w:r>
                  <w:rPr>
                    <w:rFonts w:hint="eastAsia"/>
                    <w:color w:val="auto"/>
                  </w:rPr>
                  <w:t>1－2年</w:t>
                </w:r>
              </w:p>
            </w:tc>
            <w:tc>
              <w:tcPr>
                <w:tcW w:w="2309" w:type="dxa"/>
                <w:vAlign w:val="center"/>
              </w:tcPr>
              <w:p>
                <w:pPr>
                  <w:jc w:val="right"/>
                  <w:rPr>
                    <w:szCs w:val="21"/>
                  </w:rPr>
                </w:pPr>
                <w:r>
                  <w:rPr>
                    <w:rFonts w:hint="eastAsia"/>
                    <w:color w:val="auto"/>
                  </w:rPr>
                  <w:t>1,885,988.62</w:t>
                </w:r>
              </w:p>
            </w:tc>
            <w:tc>
              <w:tcPr>
                <w:tcW w:w="2350" w:type="dxa"/>
                <w:vAlign w:val="center"/>
              </w:tcPr>
              <w:p>
                <w:pPr>
                  <w:jc w:val="right"/>
                  <w:rPr>
                    <w:szCs w:val="21"/>
                  </w:rPr>
                </w:pPr>
                <w:r>
                  <w:rPr>
                    <w:rFonts w:hint="eastAsia"/>
                    <w:color w:val="auto"/>
                  </w:rPr>
                  <w:t>188,598.86</w:t>
                </w:r>
              </w:p>
            </w:tc>
            <w:tc>
              <w:tcPr>
                <w:tcW w:w="2293" w:type="dxa"/>
                <w:vAlign w:val="center"/>
              </w:tcPr>
              <w:p>
                <w:pPr>
                  <w:jc w:val="right"/>
                  <w:rPr>
                    <w:szCs w:val="21"/>
                  </w:rPr>
                </w:pPr>
                <w:r>
                  <w:rPr>
                    <w:rFonts w:hint="eastAsia"/>
                    <w:color w:val="auto"/>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5" w:type="dxa"/>
                <w:vAlign w:val="center"/>
              </w:tcPr>
              <w:p>
                <w:pPr>
                  <w:rPr>
                    <w:szCs w:val="21"/>
                  </w:rPr>
                </w:pPr>
                <w:r>
                  <w:rPr>
                    <w:rFonts w:hint="eastAsia"/>
                    <w:color w:val="auto"/>
                  </w:rPr>
                  <w:t>2－3年</w:t>
                </w:r>
              </w:p>
            </w:tc>
            <w:tc>
              <w:tcPr>
                <w:tcW w:w="2309" w:type="dxa"/>
                <w:vAlign w:val="center"/>
              </w:tcPr>
              <w:p>
                <w:pPr>
                  <w:jc w:val="right"/>
                  <w:rPr>
                    <w:szCs w:val="21"/>
                  </w:rPr>
                </w:pPr>
                <w:r>
                  <w:rPr>
                    <w:rFonts w:hint="eastAsia"/>
                    <w:color w:val="auto"/>
                  </w:rPr>
                  <w:t>2,204,001.75</w:t>
                </w:r>
              </w:p>
            </w:tc>
            <w:tc>
              <w:tcPr>
                <w:tcW w:w="2350" w:type="dxa"/>
                <w:vAlign w:val="center"/>
              </w:tcPr>
              <w:p>
                <w:pPr>
                  <w:jc w:val="right"/>
                  <w:rPr>
                    <w:szCs w:val="21"/>
                  </w:rPr>
                </w:pPr>
                <w:r>
                  <w:rPr>
                    <w:rFonts w:hint="eastAsia"/>
                    <w:color w:val="auto"/>
                  </w:rPr>
                  <w:t>440,800.35</w:t>
                </w:r>
              </w:p>
            </w:tc>
            <w:tc>
              <w:tcPr>
                <w:tcW w:w="2293" w:type="dxa"/>
                <w:vAlign w:val="center"/>
              </w:tcPr>
              <w:p>
                <w:pPr>
                  <w:jc w:val="right"/>
                  <w:rPr>
                    <w:szCs w:val="21"/>
                  </w:rPr>
                </w:pPr>
                <w:r>
                  <w:rPr>
                    <w:rFonts w:hint="eastAsia"/>
                    <w:color w:val="auto"/>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5" w:type="dxa"/>
                <w:vAlign w:val="center"/>
              </w:tcPr>
              <w:p>
                <w:pPr>
                  <w:rPr>
                    <w:szCs w:val="21"/>
                  </w:rPr>
                </w:pPr>
                <w:r>
                  <w:rPr>
                    <w:rFonts w:hint="eastAsia"/>
                    <w:color w:val="auto"/>
                  </w:rPr>
                  <w:t>3－5年</w:t>
                </w:r>
              </w:p>
            </w:tc>
            <w:tc>
              <w:tcPr>
                <w:tcW w:w="2309" w:type="dxa"/>
                <w:vAlign w:val="center"/>
              </w:tcPr>
              <w:p>
                <w:pPr>
                  <w:jc w:val="right"/>
                  <w:rPr>
                    <w:szCs w:val="21"/>
                  </w:rPr>
                </w:pPr>
                <w:r>
                  <w:rPr>
                    <w:rFonts w:hint="eastAsia"/>
                    <w:color w:val="auto"/>
                  </w:rPr>
                  <w:t>5,381,990.84</w:t>
                </w:r>
              </w:p>
            </w:tc>
            <w:tc>
              <w:tcPr>
                <w:tcW w:w="2350" w:type="dxa"/>
                <w:vAlign w:val="center"/>
              </w:tcPr>
              <w:p>
                <w:pPr>
                  <w:jc w:val="right"/>
                  <w:rPr>
                    <w:szCs w:val="21"/>
                  </w:rPr>
                </w:pPr>
                <w:r>
                  <w:rPr>
                    <w:rFonts w:hint="eastAsia"/>
                    <w:color w:val="auto"/>
                  </w:rPr>
                  <w:t>2,152,796.34</w:t>
                </w:r>
              </w:p>
            </w:tc>
            <w:tc>
              <w:tcPr>
                <w:tcW w:w="2293" w:type="dxa"/>
                <w:vAlign w:val="center"/>
              </w:tcPr>
              <w:p>
                <w:pPr>
                  <w:jc w:val="right"/>
                  <w:rPr>
                    <w:szCs w:val="21"/>
                  </w:rPr>
                </w:pPr>
                <w:r>
                  <w:rPr>
                    <w:rFonts w:hint="eastAsia"/>
                    <w:color w:val="auto"/>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5" w:type="dxa"/>
                <w:vAlign w:val="center"/>
              </w:tcPr>
              <w:p>
                <w:pPr>
                  <w:rPr>
                    <w:szCs w:val="21"/>
                  </w:rPr>
                </w:pPr>
                <w:r>
                  <w:rPr>
                    <w:rFonts w:hint="eastAsia"/>
                    <w:color w:val="auto"/>
                  </w:rPr>
                  <w:t>5年以上</w:t>
                </w:r>
              </w:p>
            </w:tc>
            <w:tc>
              <w:tcPr>
                <w:tcW w:w="2309" w:type="dxa"/>
                <w:vAlign w:val="center"/>
              </w:tcPr>
              <w:p>
                <w:pPr>
                  <w:jc w:val="right"/>
                  <w:rPr>
                    <w:szCs w:val="21"/>
                  </w:rPr>
                </w:pPr>
                <w:r>
                  <w:rPr>
                    <w:rFonts w:hint="eastAsia"/>
                    <w:color w:val="auto"/>
                  </w:rPr>
                  <w:t>29,366,142.47</w:t>
                </w:r>
              </w:p>
            </w:tc>
            <w:tc>
              <w:tcPr>
                <w:tcW w:w="2350" w:type="dxa"/>
                <w:vAlign w:val="center"/>
              </w:tcPr>
              <w:p>
                <w:pPr>
                  <w:jc w:val="right"/>
                  <w:rPr>
                    <w:szCs w:val="21"/>
                  </w:rPr>
                </w:pPr>
                <w:r>
                  <w:rPr>
                    <w:rFonts w:hint="eastAsia"/>
                    <w:color w:val="auto"/>
                  </w:rPr>
                  <w:t>29,366,142.47</w:t>
                </w:r>
              </w:p>
            </w:tc>
            <w:tc>
              <w:tcPr>
                <w:tcW w:w="2293" w:type="dxa"/>
                <w:vAlign w:val="center"/>
              </w:tcPr>
              <w:p>
                <w:pPr>
                  <w:jc w:val="right"/>
                  <w:rPr>
                    <w:szCs w:val="21"/>
                  </w:rPr>
                </w:pPr>
                <w:r>
                  <w:rPr>
                    <w:rFonts w:hint="eastAsia"/>
                    <w:color w:val="auto"/>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5" w:type="dxa"/>
                <w:vAlign w:val="center"/>
              </w:tcPr>
              <w:p>
                <w:pPr>
                  <w:jc w:val="center"/>
                  <w:rPr>
                    <w:szCs w:val="21"/>
                  </w:rPr>
                </w:pPr>
                <w:r>
                  <w:rPr>
                    <w:rFonts w:hint="eastAsia"/>
                    <w:szCs w:val="21"/>
                  </w:rPr>
                  <w:t>合计</w:t>
                </w:r>
              </w:p>
            </w:tc>
            <w:tc>
              <w:tcPr>
                <w:tcW w:w="2309" w:type="dxa"/>
                <w:vAlign w:val="center"/>
              </w:tcPr>
              <w:p>
                <w:pPr>
                  <w:jc w:val="right"/>
                  <w:rPr>
                    <w:szCs w:val="21"/>
                  </w:rPr>
                </w:pPr>
                <w:r>
                  <w:rPr>
                    <w:rFonts w:hint="eastAsia"/>
                    <w:color w:val="auto"/>
                  </w:rPr>
                  <w:t>139,598,442.74</w:t>
                </w:r>
              </w:p>
            </w:tc>
            <w:tc>
              <w:tcPr>
                <w:tcW w:w="2350" w:type="dxa"/>
                <w:vAlign w:val="center"/>
              </w:tcPr>
              <w:p>
                <w:pPr>
                  <w:jc w:val="right"/>
                  <w:rPr>
                    <w:szCs w:val="21"/>
                  </w:rPr>
                </w:pPr>
                <w:r>
                  <w:rPr>
                    <w:rFonts w:hint="eastAsia"/>
                    <w:color w:val="auto"/>
                  </w:rPr>
                  <w:t>32,292,342.36</w:t>
                </w:r>
              </w:p>
            </w:tc>
            <w:tc>
              <w:tcPr>
                <w:tcW w:w="2293" w:type="dxa"/>
                <w:vAlign w:val="center"/>
              </w:tcPr>
              <w:p>
                <w:pPr>
                  <w:jc w:val="right"/>
                  <w:rPr>
                    <w:szCs w:val="21"/>
                  </w:rPr>
                </w:pPr>
                <w:r>
                  <w:rPr>
                    <w:rFonts w:hint="eastAsia"/>
                    <w:color w:val="auto"/>
                  </w:rPr>
                  <w:t>23.13</w:t>
                </w:r>
              </w:p>
            </w:tc>
          </w:tr>
        </w:tbl>
        <w:p>
          <w:pPr>
            <w:rPr>
              <w:szCs w:val="21"/>
            </w:rPr>
          </w:pPr>
          <w:r>
            <w:rPr>
              <w:rFonts w:hint="eastAsia"/>
              <w:szCs w:val="21"/>
            </w:rPr>
            <w:t>按组合计提坏账准备的说明：</w:t>
          </w:r>
        </w:p>
        <w:sdt>
          <w:sdtPr>
            <w:rPr>
              <w:szCs w:val="21"/>
            </w:rPr>
            <w:alias w:val="是否适用：按组合计提坏账准备的应收账款确认标准[双击切换]"/>
            <w:tag w:val="_GBC_d256dc36994548098f599f5c34cca3f5"/>
            <w:id w:val="6779"/>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sdtContent>
    </w:sdt>
    <w:bookmarkEnd w:id="226"/>
    <w:p>
      <w:pPr>
        <w:keepNext w:val="0"/>
        <w:keepLines w:val="0"/>
        <w:pageBreakBefore w:val="0"/>
        <w:kinsoku/>
        <w:wordWrap/>
        <w:overflowPunct/>
        <w:topLinePunct w:val="0"/>
        <w:bidi w:val="0"/>
        <w:snapToGrid/>
        <w:spacing w:line="400" w:lineRule="exact"/>
        <w:textAlignment w:val="auto"/>
        <w:rPr>
          <w:rFonts w:cstheme="minorBidi"/>
          <w:bCs/>
          <w:szCs w:val="22"/>
        </w:rPr>
      </w:pPr>
      <w:bookmarkStart w:id="227" w:name="_Hlk153357523"/>
      <w:bookmarkStart w:id="228" w:name="_Hlk154134618"/>
      <w:r>
        <w:rPr>
          <w:rFonts w:hint="eastAsia" w:cstheme="minorBidi"/>
          <w:bCs/>
          <w:szCs w:val="22"/>
        </w:rPr>
        <w:t>按预期信用损失一般模型计提坏账准备</w:t>
      </w:r>
    </w:p>
    <w:sdt>
      <w:sdtPr>
        <w:rPr>
          <w:rFonts w:cstheme="minorBidi"/>
          <w:bCs/>
          <w:szCs w:val="22"/>
        </w:rPr>
        <w:alias w:val="是否适用：按预期信用损失一般模型计提坏账准备[双击切换]"/>
        <w:tag w:val="_GBC_8d4cb2336033407eaff135a13955b32a"/>
        <w:id w:val="6780"/>
        <w:placeholder>
          <w:docPart w:val="GBC22222222222222222222222222222"/>
        </w:placeholder>
      </w:sdtPr>
      <w:sdtEndPr>
        <w:rPr>
          <w:rFonts w:cstheme="minorBidi"/>
          <w:bCs/>
          <w:szCs w:val="22"/>
        </w:rPr>
      </w:sdtEndPr>
      <w:sdtContent>
        <w:p>
          <w:pPr>
            <w:keepNext w:val="0"/>
            <w:keepLines w:val="0"/>
            <w:pageBreakBefore w:val="0"/>
            <w:kinsoku/>
            <w:wordWrap/>
            <w:overflowPunct/>
            <w:topLinePunct w:val="0"/>
            <w:bidi w:val="0"/>
            <w:snapToGrid/>
            <w:spacing w:line="400" w:lineRule="exact"/>
            <w:textAlignment w:val="auto"/>
            <w:rPr>
              <w:rFonts w:cstheme="minorBidi"/>
              <w:bCs/>
              <w:szCs w:val="22"/>
            </w:rPr>
          </w:pPr>
          <w:r>
            <w:rPr>
              <w:rFonts w:ascii="宋体" w:hAnsi="宋体" w:cstheme="minorBidi"/>
              <w:bCs/>
              <w:szCs w:val="22"/>
            </w:rPr>
            <w:fldChar w:fldCharType="begin"/>
          </w:r>
          <w:r>
            <w:rPr>
              <w:rFonts w:ascii="宋体" w:hAnsi="宋体" w:cstheme="minorBidi"/>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Pr>
              <w:rFonts w:ascii="宋体" w:hAnsi="宋体" w:cstheme="minorBidi"/>
              <w:bCs/>
              <w:szCs w:val="22"/>
            </w:rPr>
            <w:instrText xml:space="preserve"> MACROBUTTON  SnrToggleCheckbox √不适用 </w:instrText>
          </w:r>
          <w:r>
            <w:rPr>
              <w:rFonts w:ascii="宋体" w:hAnsi="宋体" w:cstheme="minorBidi"/>
              <w:bCs/>
              <w:szCs w:val="22"/>
            </w:rPr>
            <w:fldChar w:fldCharType="end"/>
          </w:r>
        </w:p>
      </w:sdtContent>
    </w:sdt>
    <w:p>
      <w:pPr>
        <w:keepNext w:val="0"/>
        <w:keepLines w:val="0"/>
        <w:pageBreakBefore w:val="0"/>
        <w:kinsoku/>
        <w:wordWrap/>
        <w:overflowPunct/>
        <w:topLinePunct w:val="0"/>
        <w:autoSpaceDE w:val="0"/>
        <w:autoSpaceDN w:val="0"/>
        <w:bidi w:val="0"/>
        <w:adjustRightInd w:val="0"/>
        <w:snapToGrid/>
        <w:spacing w:line="400" w:lineRule="exact"/>
        <w:ind w:right="105" w:rightChars="50"/>
        <w:textAlignment w:val="auto"/>
        <w:rPr>
          <w:szCs w:val="21"/>
        </w:rPr>
      </w:pPr>
    </w:p>
    <w:p>
      <w:pPr>
        <w:keepNext w:val="0"/>
        <w:keepLines w:val="0"/>
        <w:pageBreakBefore w:val="0"/>
        <w:kinsoku/>
        <w:wordWrap/>
        <w:overflowPunct/>
        <w:topLinePunct w:val="0"/>
        <w:autoSpaceDE w:val="0"/>
        <w:autoSpaceDN w:val="0"/>
        <w:bidi w:val="0"/>
        <w:adjustRightInd w:val="0"/>
        <w:snapToGrid/>
        <w:spacing w:line="400" w:lineRule="exact"/>
        <w:ind w:right="105" w:rightChars="50"/>
        <w:textAlignment w:val="auto"/>
        <w:rPr>
          <w:szCs w:val="21"/>
        </w:rPr>
      </w:pPr>
      <w:r>
        <w:rPr>
          <w:rFonts w:hint="eastAsia"/>
          <w:szCs w:val="21"/>
        </w:rPr>
        <w:t>各阶段划分依据和坏账准备计提比例</w:t>
      </w:r>
    </w:p>
    <w:sdt>
      <w:sdtPr>
        <w:rPr>
          <w:bCs/>
          <w:szCs w:val="22"/>
        </w:rPr>
        <w:alias w:val="各阶段划分依据和坏账准备计提比例"/>
        <w:tag w:val="_GBC_fefa2e57cd9349fba804e9f0aa553bb9"/>
        <w:id w:val="6781"/>
        <w:placeholder>
          <w:docPart w:val="GBC22222222222222222222222222222"/>
        </w:placeholder>
      </w:sdtPr>
      <w:sdtEndPr>
        <w:rPr>
          <w:bCs/>
          <w:szCs w:val="22"/>
        </w:rPr>
      </w:sdtEndPr>
      <w:sdtContent>
        <w:p>
          <w:pPr>
            <w:keepNext w:val="0"/>
            <w:keepLines w:val="0"/>
            <w:pageBreakBefore w:val="0"/>
            <w:kinsoku/>
            <w:wordWrap/>
            <w:overflowPunct/>
            <w:topLinePunct w:val="0"/>
            <w:bidi w:val="0"/>
            <w:snapToGrid/>
            <w:spacing w:line="400" w:lineRule="exact"/>
            <w:textAlignment w:val="auto"/>
            <w:rPr>
              <w:bCs/>
              <w:szCs w:val="22"/>
            </w:rPr>
          </w:pPr>
          <w:r>
            <w:rPr>
              <w:rFonts w:hint="eastAsia"/>
              <w:bCs/>
              <w:szCs w:val="22"/>
            </w:rPr>
            <w:t>无</w:t>
          </w:r>
        </w:p>
      </w:sdtContent>
    </w:sdt>
    <w:p>
      <w:pPr>
        <w:pStyle w:val="73"/>
        <w:keepNext w:val="0"/>
        <w:keepLines w:val="0"/>
        <w:pageBreakBefore w:val="0"/>
        <w:kinsoku/>
        <w:wordWrap/>
        <w:overflowPunct/>
        <w:topLinePunct w:val="0"/>
        <w:bidi w:val="0"/>
        <w:snapToGrid/>
        <w:spacing w:line="400" w:lineRule="exact"/>
        <w:textAlignment w:val="auto"/>
      </w:pPr>
      <w:r>
        <w:rPr>
          <w:rFonts w:hint="eastAsia"/>
        </w:rPr>
        <w:t>对本期发生损失准备变动的应收账款账面余额显著变动的情况说明：</w:t>
      </w:r>
    </w:p>
    <w:sdt>
      <w:sdtPr>
        <w:rPr>
          <w:szCs w:val="21"/>
        </w:rPr>
        <w:alias w:val="是否适用：对本期发生损失准备变动的账面余额显著变动的情况说明[双击切换]"/>
        <w:tag w:val="_GBC_253db3108f924621ad49e8a14b359867"/>
        <w:id w:val="6782"/>
        <w:placeholder>
          <w:docPart w:val="GBC22222222222222222222222222222"/>
        </w:placeholder>
      </w:sdtPr>
      <w:sdtEndPr>
        <w:rPr>
          <w:szCs w:val="21"/>
        </w:rPr>
      </w:sdtEndPr>
      <w:sdtContent>
        <w:p>
          <w:pPr>
            <w:keepNext w:val="0"/>
            <w:keepLines w:val="0"/>
            <w:pageBreakBefore w:val="0"/>
            <w:kinsoku/>
            <w:wordWrap/>
            <w:overflowPunct/>
            <w:topLinePunct w:val="0"/>
            <w:autoSpaceDE w:val="0"/>
            <w:autoSpaceDN w:val="0"/>
            <w:bidi w:val="0"/>
            <w:adjustRightInd w:val="0"/>
            <w:snapToGrid/>
            <w:spacing w:line="400" w:lineRule="exact"/>
            <w:ind w:right="105" w:rightChars="50"/>
            <w:textAlignment w:val="auto"/>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rFonts w:asciiTheme="minorHAnsi" w:hAnsiTheme="minorHAnsi" w:cstheme="minorBidi"/>
          <w:b/>
          <w:bCs/>
          <w:szCs w:val="22"/>
        </w:rPr>
      </w:pPr>
    </w:p>
    <w:bookmarkEnd w:id="227"/>
    <w:bookmarkEnd w:id="228"/>
    <w:p>
      <w:pPr>
        <w:pStyle w:val="5"/>
        <w:numPr>
          <w:ilvl w:val="3"/>
          <w:numId w:val="64"/>
        </w:numPr>
        <w:ind w:left="426" w:hanging="426"/>
        <w:rPr>
          <w:rFonts w:hint="eastAsia"/>
        </w:rPr>
      </w:pPr>
      <w:bookmarkStart w:id="229" w:name="_Hlk532991911"/>
      <w:r>
        <w:rPr>
          <w:rFonts w:hint="eastAsia"/>
        </w:rPr>
        <w:t>坏账准备的情况</w:t>
      </w:r>
    </w:p>
    <w:sdt>
      <w:sdtPr>
        <w:alias w:val="是否适用：应收账款坏账准备[双击切换]"/>
        <w:tag w:val="_GBC_9f417fa21150444abc4efab15ee99d53"/>
        <w:id w:val="6783"/>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pStyle w:val="56"/>
        <w:snapToGrid w:val="0"/>
        <w:spacing w:line="240" w:lineRule="atLeast"/>
        <w:ind w:left="425" w:firstLine="0" w:firstLineChars="0"/>
        <w:jc w:val="right"/>
        <w:rPr>
          <w:szCs w:val="21"/>
        </w:rPr>
      </w:pPr>
      <w:r>
        <w:rPr>
          <w:rFonts w:hint="eastAsia"/>
          <w:szCs w:val="21"/>
        </w:rPr>
        <w:t>单位：</w:t>
      </w:r>
      <w:sdt>
        <w:sdtPr>
          <w:rPr>
            <w:rFonts w:hint="eastAsia"/>
            <w:szCs w:val="21"/>
          </w:rPr>
          <w:alias w:val="单位：应收账款坏账准备"/>
          <w:tag w:val="_GBC_c27d9b760b54449682d5a777e36369c3"/>
          <w:id w:val="678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应收账款坏账准备"/>
          <w:tag w:val="_GBC_0ea3ceddf10d4313a5111e5088ac98cf"/>
          <w:id w:val="678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1482"/>
        <w:gridCol w:w="1440"/>
        <w:gridCol w:w="1392"/>
        <w:gridCol w:w="1007"/>
        <w:gridCol w:w="937"/>
        <w:gridCol w:w="1260"/>
        <w:gridCol w:w="1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482" w:type="dxa"/>
            <w:vMerge w:val="restart"/>
            <w:shd w:val="clear" w:color="auto" w:fill="FFFFFF"/>
            <w:vAlign w:val="center"/>
          </w:tcPr>
          <w:sdt>
            <w:sdtPr>
              <w:tag w:val="_PLD_4744c2787819466dad3d228aea9d34a1"/>
              <w:id w:val="147454284"/>
            </w:sdtPr>
            <w:sdtContent>
              <w:p>
                <w:pPr>
                  <w:widowControl w:val="0"/>
                  <w:jc w:val="center"/>
                </w:pPr>
                <w:r>
                  <w:t>类别</w:t>
                </w:r>
              </w:p>
            </w:sdtContent>
          </w:sdt>
        </w:tc>
        <w:tc>
          <w:tcPr>
            <w:tcW w:w="1440" w:type="dxa"/>
            <w:vMerge w:val="restart"/>
            <w:shd w:val="clear" w:color="auto" w:fill="FFFFFF"/>
            <w:vAlign w:val="center"/>
          </w:tcPr>
          <w:sdt>
            <w:sdtPr>
              <w:tag w:val="_PLD_c730e797b90345869cdb1a0f449d27c4"/>
              <w:id w:val="147478858"/>
            </w:sdtPr>
            <w:sdtContent>
              <w:p>
                <w:pPr>
                  <w:widowControl w:val="0"/>
                  <w:jc w:val="center"/>
                </w:pPr>
                <w:r>
                  <w:t>期初余额</w:t>
                </w:r>
              </w:p>
            </w:sdtContent>
          </w:sdt>
        </w:tc>
        <w:tc>
          <w:tcPr>
            <w:tcW w:w="4596" w:type="dxa"/>
            <w:gridSpan w:val="4"/>
            <w:shd w:val="clear" w:color="auto" w:fill="FFFFFF"/>
            <w:vAlign w:val="center"/>
          </w:tcPr>
          <w:sdt>
            <w:sdtPr>
              <w:tag w:val="_PLD_b648ee5a72ff43aabfa5e5467354f612"/>
              <w:id w:val="147465582"/>
            </w:sdtPr>
            <w:sdtContent>
              <w:p>
                <w:pPr>
                  <w:widowControl w:val="0"/>
                  <w:jc w:val="center"/>
                </w:pPr>
                <w:r>
                  <w:rPr>
                    <w:rFonts w:hint="eastAsia"/>
                  </w:rPr>
                  <w:t>本期变动</w:t>
                </w:r>
                <w:r>
                  <w:t>金额</w:t>
                </w:r>
              </w:p>
            </w:sdtContent>
          </w:sdt>
        </w:tc>
        <w:tc>
          <w:tcPr>
            <w:tcW w:w="1536" w:type="dxa"/>
            <w:vMerge w:val="restart"/>
            <w:shd w:val="clear" w:color="auto" w:fill="FFFFFF"/>
            <w:vAlign w:val="center"/>
          </w:tcPr>
          <w:sdt>
            <w:sdtPr>
              <w:tag w:val="_PLD_670842119a0446778c0343318379e7bb"/>
              <w:id w:val="147477177"/>
            </w:sdtPr>
            <w:sdtContent>
              <w:p>
                <w:pPr>
                  <w:widowControl w:val="0"/>
                  <w:jc w:val="center"/>
                </w:pPr>
                <w:r>
                  <w:t>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482" w:type="dxa"/>
            <w:vMerge w:val="continue"/>
            <w:shd w:val="clear" w:color="auto" w:fill="FFFFFF"/>
            <w:vAlign w:val="center"/>
          </w:tcPr>
          <w:p>
            <w:pPr>
              <w:widowControl w:val="0"/>
              <w:jc w:val="center"/>
            </w:pPr>
          </w:p>
        </w:tc>
        <w:tc>
          <w:tcPr>
            <w:tcW w:w="1440" w:type="dxa"/>
            <w:vMerge w:val="continue"/>
            <w:shd w:val="clear" w:color="auto" w:fill="FFFFFF"/>
            <w:vAlign w:val="center"/>
          </w:tcPr>
          <w:p>
            <w:pPr>
              <w:widowControl w:val="0"/>
              <w:jc w:val="center"/>
            </w:pPr>
          </w:p>
        </w:tc>
        <w:tc>
          <w:tcPr>
            <w:tcW w:w="1392" w:type="dxa"/>
            <w:shd w:val="clear" w:color="auto" w:fill="FFFFFF"/>
            <w:vAlign w:val="center"/>
          </w:tcPr>
          <w:sdt>
            <w:sdtPr>
              <w:tag w:val="_PLD_9f89b7b6eb974ea9b6438eecb96ab8d7"/>
              <w:id w:val="147477384"/>
            </w:sdtPr>
            <w:sdtContent>
              <w:p>
                <w:pPr>
                  <w:widowControl w:val="0"/>
                  <w:jc w:val="center"/>
                </w:pPr>
                <w:r>
                  <w:t>计提</w:t>
                </w:r>
              </w:p>
            </w:sdtContent>
          </w:sdt>
        </w:tc>
        <w:tc>
          <w:tcPr>
            <w:tcW w:w="1007" w:type="dxa"/>
            <w:shd w:val="clear" w:color="auto" w:fill="FFFFFF"/>
            <w:vAlign w:val="center"/>
          </w:tcPr>
          <w:sdt>
            <w:sdtPr>
              <w:tag w:val="_PLD_d83025520e1c49cb905bac81a5fe67a9"/>
              <w:id w:val="147471769"/>
            </w:sdtPr>
            <w:sdtContent>
              <w:p>
                <w:pPr>
                  <w:widowControl w:val="0"/>
                  <w:jc w:val="center"/>
                </w:pPr>
                <w:r>
                  <w:rPr>
                    <w:rFonts w:hint="eastAsia"/>
                  </w:rPr>
                  <w:t>收回或转回</w:t>
                </w:r>
              </w:p>
            </w:sdtContent>
          </w:sdt>
        </w:tc>
        <w:tc>
          <w:tcPr>
            <w:tcW w:w="937" w:type="dxa"/>
            <w:shd w:val="clear" w:color="auto" w:fill="FFFFFF"/>
            <w:vAlign w:val="center"/>
          </w:tcPr>
          <w:sdt>
            <w:sdtPr>
              <w:tag w:val="_PLD_43341cdf094c434589f9f5a4eeb8fb4a"/>
              <w:id w:val="147482170"/>
            </w:sdtPr>
            <w:sdtContent>
              <w:p>
                <w:pPr>
                  <w:widowControl w:val="0"/>
                  <w:jc w:val="center"/>
                </w:pPr>
                <w:r>
                  <w:rPr>
                    <w:rFonts w:hint="eastAsia"/>
                  </w:rPr>
                  <w:t>转销或核销</w:t>
                </w:r>
              </w:p>
            </w:sdtContent>
          </w:sdt>
        </w:tc>
        <w:tc>
          <w:tcPr>
            <w:tcW w:w="1260" w:type="dxa"/>
            <w:shd w:val="clear" w:color="auto" w:fill="FFFFFF"/>
            <w:vAlign w:val="center"/>
          </w:tcPr>
          <w:sdt>
            <w:sdtPr>
              <w:tag w:val="_PLD_4105509cd7cf412981897dd91879a014"/>
              <w:id w:val="147452653"/>
            </w:sdtPr>
            <w:sdtContent>
              <w:p>
                <w:pPr>
                  <w:widowControl w:val="0"/>
                  <w:jc w:val="center"/>
                </w:pPr>
                <w:r>
                  <w:rPr>
                    <w:rFonts w:hint="eastAsia"/>
                  </w:rPr>
                  <w:t>其他变动</w:t>
                </w:r>
              </w:p>
            </w:sdtContent>
          </w:sdt>
        </w:tc>
        <w:tc>
          <w:tcPr>
            <w:tcW w:w="1536" w:type="dxa"/>
            <w:vMerge w:val="continue"/>
            <w:shd w:val="clear" w:color="auto" w:fill="FFFFFF"/>
            <w:vAlign w:val="center"/>
          </w:tcPr>
          <w:p>
            <w:pPr>
              <w:widowControl w:val="0"/>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482" w:type="dxa"/>
            <w:vAlign w:val="center"/>
          </w:tcPr>
          <w:p>
            <w:pPr>
              <w:widowControl w:val="0"/>
            </w:pPr>
            <w:r>
              <w:rPr>
                <w:rFonts w:hint="eastAsia"/>
                <w:color w:val="auto"/>
              </w:rPr>
              <w:t>应收账款坏账准备</w:t>
            </w:r>
          </w:p>
        </w:tc>
        <w:tc>
          <w:tcPr>
            <w:tcW w:w="1440" w:type="dxa"/>
            <w:vAlign w:val="center"/>
          </w:tcPr>
          <w:p>
            <w:pPr>
              <w:widowControl w:val="0"/>
              <w:jc w:val="right"/>
            </w:pPr>
            <w:r>
              <w:rPr>
                <w:rFonts w:hint="eastAsia"/>
                <w:color w:val="auto"/>
              </w:rPr>
              <w:t>54,311,995.83</w:t>
            </w:r>
          </w:p>
        </w:tc>
        <w:tc>
          <w:tcPr>
            <w:tcW w:w="1392" w:type="dxa"/>
            <w:vAlign w:val="center"/>
          </w:tcPr>
          <w:p>
            <w:pPr>
              <w:widowControl w:val="0"/>
              <w:jc w:val="right"/>
            </w:pPr>
            <w:r>
              <w:rPr>
                <w:rFonts w:hint="eastAsia"/>
                <w:color w:val="auto"/>
              </w:rPr>
              <w:t>154,411.38</w:t>
            </w:r>
          </w:p>
        </w:tc>
        <w:tc>
          <w:tcPr>
            <w:tcW w:w="1007" w:type="dxa"/>
            <w:vAlign w:val="center"/>
          </w:tcPr>
          <w:p>
            <w:pPr>
              <w:widowControl w:val="0"/>
              <w:jc w:val="right"/>
              <w:rPr>
                <w:rFonts w:hint="eastAsia"/>
                <w:color w:val="auto"/>
              </w:rPr>
            </w:pPr>
            <w:r>
              <w:rPr>
                <w:rFonts w:hint="eastAsia"/>
                <w:color w:val="auto"/>
              </w:rPr>
              <w:t>7,440.94</w:t>
            </w:r>
          </w:p>
        </w:tc>
        <w:tc>
          <w:tcPr>
            <w:tcW w:w="937" w:type="dxa"/>
            <w:vAlign w:val="center"/>
          </w:tcPr>
          <w:p>
            <w:pPr>
              <w:widowControl w:val="0"/>
              <w:jc w:val="right"/>
            </w:pPr>
          </w:p>
        </w:tc>
        <w:tc>
          <w:tcPr>
            <w:tcW w:w="1260" w:type="dxa"/>
            <w:shd w:val="clear" w:color="auto" w:fill="auto"/>
            <w:vAlign w:val="center"/>
          </w:tcPr>
          <w:p>
            <w:pPr>
              <w:widowControl w:val="0"/>
              <w:jc w:val="right"/>
              <w:rPr>
                <w:rFonts w:hint="eastAsia"/>
                <w:color w:val="auto"/>
                <w:lang w:val="en-US" w:eastAsia="zh-CN"/>
              </w:rPr>
            </w:pPr>
            <w:r>
              <w:rPr>
                <w:rFonts w:hint="eastAsia"/>
                <w:color w:val="auto"/>
              </w:rPr>
              <w:t>-446,366.84</w:t>
            </w:r>
          </w:p>
        </w:tc>
        <w:tc>
          <w:tcPr>
            <w:tcW w:w="1536" w:type="dxa"/>
            <w:vAlign w:val="center"/>
          </w:tcPr>
          <w:p>
            <w:pPr>
              <w:widowControl w:val="0"/>
              <w:jc w:val="right"/>
              <w:rPr>
                <w:rFonts w:hint="eastAsia"/>
                <w:color w:val="auto"/>
              </w:rPr>
            </w:pPr>
            <w:r>
              <w:rPr>
                <w:rFonts w:hint="eastAsia"/>
                <w:color w:val="auto"/>
              </w:rPr>
              <w:t>54,012,599.43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482" w:type="dxa"/>
            <w:vAlign w:val="center"/>
          </w:tcPr>
          <w:p>
            <w:pPr>
              <w:widowControl w:val="0"/>
              <w:jc w:val="center"/>
            </w:pPr>
            <w:r>
              <w:rPr>
                <w:rFonts w:hint="eastAsia"/>
              </w:rPr>
              <w:t>合计</w:t>
            </w:r>
          </w:p>
        </w:tc>
        <w:tc>
          <w:tcPr>
            <w:tcW w:w="1440" w:type="dxa"/>
            <w:vAlign w:val="center"/>
          </w:tcPr>
          <w:p>
            <w:pPr>
              <w:widowControl w:val="0"/>
              <w:jc w:val="right"/>
            </w:pPr>
            <w:r>
              <w:rPr>
                <w:rFonts w:hint="eastAsia"/>
                <w:color w:val="auto"/>
              </w:rPr>
              <w:t>54,311,995.83</w:t>
            </w:r>
          </w:p>
        </w:tc>
        <w:tc>
          <w:tcPr>
            <w:tcW w:w="1392" w:type="dxa"/>
            <w:vAlign w:val="center"/>
          </w:tcPr>
          <w:p>
            <w:pPr>
              <w:widowControl w:val="0"/>
              <w:jc w:val="right"/>
            </w:pPr>
            <w:r>
              <w:rPr>
                <w:rFonts w:hint="eastAsia"/>
                <w:color w:val="auto"/>
              </w:rPr>
              <w:t>154,411.38</w:t>
            </w:r>
          </w:p>
        </w:tc>
        <w:tc>
          <w:tcPr>
            <w:tcW w:w="1007" w:type="dxa"/>
            <w:vAlign w:val="center"/>
          </w:tcPr>
          <w:p>
            <w:pPr>
              <w:widowControl w:val="0"/>
              <w:jc w:val="right"/>
              <w:rPr>
                <w:rFonts w:hint="eastAsia"/>
                <w:color w:val="auto"/>
              </w:rPr>
            </w:pPr>
            <w:r>
              <w:rPr>
                <w:rFonts w:hint="eastAsia"/>
                <w:color w:val="auto"/>
              </w:rPr>
              <w:t>7,440.94</w:t>
            </w:r>
          </w:p>
        </w:tc>
        <w:tc>
          <w:tcPr>
            <w:tcW w:w="937" w:type="dxa"/>
            <w:vAlign w:val="center"/>
          </w:tcPr>
          <w:p>
            <w:pPr>
              <w:widowControl w:val="0"/>
              <w:jc w:val="right"/>
            </w:pPr>
          </w:p>
        </w:tc>
        <w:tc>
          <w:tcPr>
            <w:tcW w:w="1260" w:type="dxa"/>
            <w:shd w:val="clear" w:color="auto" w:fill="auto"/>
            <w:vAlign w:val="center"/>
          </w:tcPr>
          <w:p>
            <w:pPr>
              <w:widowControl w:val="0"/>
              <w:jc w:val="right"/>
              <w:rPr>
                <w:rFonts w:hint="eastAsia"/>
                <w:color w:val="auto"/>
                <w:lang w:val="en-US" w:eastAsia="zh-CN"/>
              </w:rPr>
            </w:pPr>
            <w:r>
              <w:rPr>
                <w:rFonts w:hint="eastAsia"/>
                <w:color w:val="auto"/>
              </w:rPr>
              <w:t>-446,366.84</w:t>
            </w:r>
          </w:p>
        </w:tc>
        <w:tc>
          <w:tcPr>
            <w:tcW w:w="1536" w:type="dxa"/>
            <w:vAlign w:val="center"/>
          </w:tcPr>
          <w:p>
            <w:pPr>
              <w:widowControl w:val="0"/>
              <w:jc w:val="right"/>
              <w:rPr>
                <w:rFonts w:hint="eastAsia"/>
                <w:color w:val="auto"/>
              </w:rPr>
            </w:pPr>
            <w:r>
              <w:rPr>
                <w:rFonts w:hint="eastAsia"/>
                <w:color w:val="auto"/>
              </w:rPr>
              <w:t>54,012,599.43</w:t>
            </w:r>
          </w:p>
        </w:tc>
      </w:tr>
    </w:tbl>
    <w:p/>
    <w:p>
      <w:pPr>
        <w:pStyle w:val="73"/>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sz w:val="21"/>
        </w:rPr>
      </w:pPr>
      <w:r>
        <w:rPr>
          <w:rFonts w:hint="eastAsia"/>
          <w:sz w:val="21"/>
          <w:lang w:val="en-US" w:eastAsia="zh-CN"/>
        </w:rPr>
        <w:t>广</w:t>
      </w:r>
      <w:r>
        <w:rPr>
          <w:rFonts w:hint="eastAsia"/>
          <w:sz w:val="21"/>
        </w:rPr>
        <w:t>西南城百货有限责任公司（以下简称“南城百货”）为步步高商业连锁股份有限公司（以下简称“</w:t>
      </w:r>
      <w:r>
        <w:rPr>
          <w:rFonts w:hint="eastAsia"/>
          <w:sz w:val="21"/>
          <w:lang w:val="en-US" w:eastAsia="zh-CN"/>
        </w:rPr>
        <w:t>步步高</w:t>
      </w:r>
      <w:r>
        <w:rPr>
          <w:rFonts w:hint="eastAsia"/>
          <w:sz w:val="21"/>
        </w:rPr>
        <w:t>”）子公司，</w:t>
      </w:r>
      <w:r>
        <w:rPr>
          <w:rFonts w:hint="eastAsia"/>
          <w:sz w:val="21"/>
          <w:lang w:val="en-US" w:eastAsia="zh-CN"/>
        </w:rPr>
        <w:t>步步高</w:t>
      </w:r>
      <w:r>
        <w:rPr>
          <w:rFonts w:hint="eastAsia"/>
          <w:sz w:val="21"/>
        </w:rPr>
        <w:t>经湘潭中级人民法院裁定债务重整，本公司账面应收广西南城百货有限责任公司原值1,935,445.74元、已提坏账准备453,807.78元，南城百货债转股后，本公司获得172,736股</w:t>
      </w:r>
      <w:r>
        <w:rPr>
          <w:rFonts w:hint="eastAsia"/>
          <w:sz w:val="21"/>
          <w:lang w:val="en-US" w:eastAsia="zh-CN"/>
        </w:rPr>
        <w:t>步步高</w:t>
      </w:r>
      <w:r>
        <w:rPr>
          <w:rFonts w:hint="eastAsia"/>
          <w:sz w:val="21"/>
        </w:rPr>
        <w:t>股份。</w:t>
      </w:r>
    </w:p>
    <w:bookmarkEnd w:id="229"/>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t>其中本期坏账准备收回或转回金额重要的：</w:t>
      </w:r>
    </w:p>
    <w:sdt>
      <w:sdtPr>
        <w:alias w:val="是否适用：其中本期坏账准备收回或转回金额重要的[双击切换]"/>
        <w:tag w:val="_GBC_6da74212535e450f9d1465f00dddd00b"/>
        <w:id w:val="6794"/>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400" w:lineRule="exact"/>
            <w:textAlignment w:val="auto"/>
          </w:pPr>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t>其他说明：</w:t>
      </w:r>
    </w:p>
    <w:sdt>
      <w:sdtPr>
        <w:alias w:val="应收账款坏账准备情况的说明"/>
        <w:tag w:val="_GBC_497841b0d4bf4697928b74836200c0fa"/>
        <w:id w:val="6795"/>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400" w:lineRule="exact"/>
            <w:ind w:right="42" w:rightChars="20"/>
            <w:textAlignment w:val="auto"/>
          </w:pPr>
          <w:r>
            <w:t>无</w:t>
          </w:r>
        </w:p>
      </w:sdtContent>
    </w:sdt>
    <w:p>
      <w:pPr>
        <w:pStyle w:val="5"/>
        <w:numPr>
          <w:ilvl w:val="3"/>
          <w:numId w:val="64"/>
        </w:numPr>
        <w:ind w:left="426" w:hanging="426"/>
        <w:rPr>
          <w:rFonts w:hint="eastAsia"/>
        </w:rPr>
      </w:pPr>
      <w:r>
        <w:t>本期实际核销的应收</w:t>
      </w:r>
      <w:r>
        <w:rPr>
          <w:rFonts w:hint="eastAsia"/>
        </w:rPr>
        <w:t>账款</w:t>
      </w:r>
      <w:r>
        <w:t>情况</w:t>
      </w:r>
    </w:p>
    <w:sdt>
      <w:sdtPr>
        <w:alias w:val="是否适用：本期实际核销的应收账款情况[双击切换]"/>
        <w:tag w:val="_GBC_a6ff40b990b34b00968a4938eac82a74"/>
        <w:id w:val="6796"/>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t>其中重要的应收账款核销情况</w:t>
      </w:r>
    </w:p>
    <w:sdt>
      <w:sdtPr>
        <w:rPr>
          <w:rFonts w:hint="eastAsia"/>
        </w:rPr>
        <w:alias w:val="是否适用：其中重要的应收账款核销情况[双击切换]"/>
        <w:tag w:val="_GBC_3c12c3e5b4fd4acda2beb7a5cacacd97"/>
        <w:id w:val="6797"/>
        <w:placeholder>
          <w:docPart w:val="GBC22222222222222222222222222222"/>
        </w:placeholder>
      </w:sdtPr>
      <w:sdtEndPr>
        <w:rPr>
          <w:rFonts w:hint="eastAsia"/>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fldChar w:fldCharType="begin"/>
          </w:r>
          <w:r>
            <w:rPr>
              <w:rFonts w:hint="eastAsia"/>
            </w:rPr>
            <w:instrText xml:space="preserve">MACROBUTTON  SnrToggleCheckbox □适用 </w:instrText>
          </w:r>
          <w:r>
            <w:rPr>
              <w:rFonts w:hint="eastAsia"/>
            </w:rPr>
            <w:fldChar w:fldCharType="end"/>
          </w:r>
          <w:r>
            <w:rPr>
              <w:rFonts w:hint="eastAsia"/>
            </w:rPr>
            <w:fldChar w:fldCharType="begin"/>
          </w:r>
          <w:r>
            <w:rPr>
              <w:rFonts w:hint="eastAsia"/>
            </w:rPr>
            <w:instrText xml:space="preserve"> MACROBUTTON  SnrToggleCheckbox √不适用 </w:instrText>
          </w:r>
          <w:r>
            <w:rPr>
              <w:rFonts w:hint="eastAsia"/>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p>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t>应收账款核销说明：</w:t>
      </w:r>
    </w:p>
    <w:sdt>
      <w:sdtPr>
        <w:rPr>
          <w:rFonts w:hint="eastAsia"/>
        </w:rPr>
        <w:alias w:val="是否适用：应收账款核销说明[双击切换]"/>
        <w:tag w:val="_GBC_e00d0b458c1b4b5f99d670e3f2a2b2e2"/>
        <w:id w:val="6798"/>
        <w:placeholder>
          <w:docPart w:val="GBC22222222222222222222222222222"/>
        </w:placeholder>
      </w:sdtPr>
      <w:sdtEndPr>
        <w:rPr>
          <w:rFonts w:hint="eastAsia"/>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fldChar w:fldCharType="begin"/>
          </w:r>
          <w:r>
            <w:rPr>
              <w:rFonts w:hint="eastAsia"/>
            </w:rPr>
            <w:instrText xml:space="preserve">MACROBUTTON  SnrToggleCheckbox □适用 </w:instrText>
          </w:r>
          <w:r>
            <w:rPr>
              <w:rFonts w:hint="eastAsia"/>
            </w:rPr>
            <w:fldChar w:fldCharType="end"/>
          </w:r>
          <w:r>
            <w:rPr>
              <w:rFonts w:hint="eastAsia"/>
            </w:rPr>
            <w:fldChar w:fldCharType="begin"/>
          </w:r>
          <w:r>
            <w:rPr>
              <w:rFonts w:hint="eastAsia"/>
            </w:rPr>
            <w:instrText xml:space="preserve"> MACROBUTTON  SnrToggleCheckbox √不适用 </w:instrText>
          </w:r>
          <w:r>
            <w:rPr>
              <w:rFonts w:hint="eastAsia"/>
            </w:rPr>
            <w:fldChar w:fldCharType="end"/>
          </w:r>
        </w:p>
      </w:sdtContent>
    </w:sdt>
    <w:p/>
    <w:p>
      <w:pPr>
        <w:pStyle w:val="5"/>
        <w:numPr>
          <w:ilvl w:val="3"/>
          <w:numId w:val="64"/>
        </w:numPr>
        <w:ind w:left="426" w:hanging="426"/>
        <w:rPr>
          <w:rFonts w:hint="eastAsia"/>
        </w:rPr>
      </w:pPr>
      <w:r>
        <w:rPr>
          <w:rFonts w:hint="eastAsia"/>
        </w:rPr>
        <w:t>按欠款方归集的期末余额前五名的应收账款和合同资产情况</w:t>
      </w:r>
    </w:p>
    <w:sdt>
      <w:sdtPr>
        <w:rPr>
          <w:rFonts w:hint="eastAsia"/>
          <w:szCs w:val="21"/>
        </w:rPr>
        <w:alias w:val="是否适用：按欠款方归集的期末余额前五名的应收账款情况[双击切换]"/>
        <w:tag w:val="_GBC_384d0a1c7eac41bb9693117cbe9c7e5b"/>
        <w:id w:val="6799"/>
        <w:placeholder>
          <w:docPart w:val="GBC22222222222222222222222222222"/>
        </w:placeholder>
      </w:sdtPr>
      <w:sdtEndPr>
        <w:rPr>
          <w:rFonts w:hint="eastAsia"/>
          <w:szCs w:val="21"/>
        </w:rPr>
      </w:sdtEndPr>
      <w:sdtContent>
        <w:p>
          <w:pPr>
            <w:snapToGrid w:val="0"/>
            <w:spacing w:line="240" w:lineRule="atLeast"/>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snapToGrid w:val="0"/>
        <w:spacing w:line="240" w:lineRule="atLeast"/>
        <w:jc w:val="right"/>
        <w:rPr>
          <w:szCs w:val="21"/>
        </w:rPr>
      </w:pPr>
      <w:r>
        <w:rPr>
          <w:rFonts w:hint="eastAsia"/>
          <w:szCs w:val="21"/>
        </w:rPr>
        <w:t>单位：</w:t>
      </w:r>
      <w:sdt>
        <w:sdtPr>
          <w:rPr>
            <w:szCs w:val="21"/>
          </w:rPr>
          <w:alias w:val="单位：财务附注：应收账款前五名欠款情况"/>
          <w:tag w:val="_GBC_95040abe54a0489f8b830082545a50f5"/>
          <w:id w:val="680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szCs w:val="21"/>
          </w:rPr>
        </w:sdtEndPr>
        <w:sdtContent>
          <w:r>
            <w:rPr>
              <w:szCs w:val="21"/>
            </w:rPr>
            <w:t>元</w:t>
          </w:r>
        </w:sdtContent>
      </w:sdt>
      <w:r>
        <w:rPr>
          <w:rFonts w:hint="eastAsia"/>
          <w:szCs w:val="21"/>
        </w:rPr>
        <w:t xml:space="preserve">  币种：</w:t>
      </w:r>
      <w:sdt>
        <w:sdtPr>
          <w:rPr>
            <w:rFonts w:hint="eastAsia"/>
            <w:szCs w:val="21"/>
          </w:rPr>
          <w:alias w:val="币种：财务附注：应收账款前五名欠款情况"/>
          <w:tag w:val="_GBC_2e7ff062f76c406d86d744597244f24c"/>
          <w:id w:val="6801"/>
          <w:placeholder>
            <w:docPart w:val="GBC22222222222222222222222222222"/>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1"/>
        <w:gridCol w:w="1584"/>
        <w:gridCol w:w="1196"/>
        <w:gridCol w:w="1507"/>
        <w:gridCol w:w="1507"/>
        <w:gridCol w:w="1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41" w:type="dxa"/>
            <w:vAlign w:val="center"/>
          </w:tcPr>
          <w:sdt>
            <w:sdtPr>
              <w:tag w:val="_PLD_393da722a1e6440ebfe654baf23b690e"/>
              <w:id w:val="6802"/>
            </w:sdtPr>
            <w:sdtContent>
              <w:p>
                <w:pPr>
                  <w:ind w:right="105"/>
                  <w:jc w:val="center"/>
                  <w:rPr>
                    <w:szCs w:val="21"/>
                  </w:rPr>
                </w:pPr>
                <w:r>
                  <w:rPr>
                    <w:rFonts w:hint="eastAsia"/>
                    <w:szCs w:val="21"/>
                  </w:rPr>
                  <w:t>单位名称</w:t>
                </w:r>
              </w:p>
            </w:sdtContent>
          </w:sdt>
        </w:tc>
        <w:tc>
          <w:tcPr>
            <w:tcW w:w="1584" w:type="dxa"/>
            <w:vAlign w:val="center"/>
          </w:tcPr>
          <w:sdt>
            <w:sdtPr>
              <w:tag w:val="_PLD_e14b89c8ccbc4e1fbb83ed437d4f7c27"/>
              <w:id w:val="6803"/>
            </w:sdtPr>
            <w:sdtContent>
              <w:p>
                <w:pPr>
                  <w:ind w:right="73"/>
                  <w:jc w:val="center"/>
                  <w:rPr>
                    <w:szCs w:val="21"/>
                  </w:rPr>
                </w:pPr>
                <w:r>
                  <w:rPr>
                    <w:rFonts w:hint="eastAsia"/>
                    <w:szCs w:val="21"/>
                  </w:rPr>
                  <w:t>应收账款期末余额</w:t>
                </w:r>
              </w:p>
            </w:sdtContent>
          </w:sdt>
        </w:tc>
        <w:tc>
          <w:tcPr>
            <w:tcW w:w="1196" w:type="dxa"/>
            <w:vAlign w:val="center"/>
          </w:tcPr>
          <w:sdt>
            <w:sdtPr>
              <w:tag w:val="_PLD_9e781bfbeaa241238adba8f92d150259"/>
              <w:id w:val="6804"/>
            </w:sdtPr>
            <w:sdtContent>
              <w:p>
                <w:pPr>
                  <w:jc w:val="center"/>
                  <w:rPr>
                    <w:szCs w:val="21"/>
                  </w:rPr>
                </w:pPr>
                <w:r>
                  <w:rPr>
                    <w:rFonts w:hint="eastAsia"/>
                    <w:szCs w:val="21"/>
                  </w:rPr>
                  <w:t>合同资产期末余额</w:t>
                </w:r>
              </w:p>
            </w:sdtContent>
          </w:sdt>
        </w:tc>
        <w:tc>
          <w:tcPr>
            <w:tcW w:w="1507" w:type="dxa"/>
            <w:vAlign w:val="center"/>
          </w:tcPr>
          <w:sdt>
            <w:sdtPr>
              <w:tag w:val="_PLD_666c0ccb3f21467e9e36a3c674bf8485"/>
              <w:id w:val="6805"/>
            </w:sdtPr>
            <w:sdtContent>
              <w:p>
                <w:pPr>
                  <w:jc w:val="center"/>
                  <w:rPr>
                    <w:szCs w:val="21"/>
                  </w:rPr>
                </w:pPr>
                <w:r>
                  <w:rPr>
                    <w:rFonts w:hint="eastAsia"/>
                    <w:szCs w:val="21"/>
                  </w:rPr>
                  <w:t>应收账款和合同资产期末余额</w:t>
                </w:r>
              </w:p>
            </w:sdtContent>
          </w:sdt>
        </w:tc>
        <w:tc>
          <w:tcPr>
            <w:tcW w:w="1507" w:type="dxa"/>
            <w:vAlign w:val="center"/>
          </w:tcPr>
          <w:sdt>
            <w:sdtPr>
              <w:tag w:val="_PLD_8b734501e3a344dda6644cb9d228c237"/>
              <w:id w:val="6806"/>
            </w:sdtPr>
            <w:sdtContent>
              <w:p>
                <w:pPr>
                  <w:jc w:val="center"/>
                  <w:rPr>
                    <w:szCs w:val="21"/>
                  </w:rPr>
                </w:pPr>
                <w:r>
                  <w:rPr>
                    <w:rFonts w:hint="eastAsia"/>
                    <w:szCs w:val="21"/>
                  </w:rPr>
                  <w:t>占应收账款和合同资产期末余额合计数的比例（%）</w:t>
                </w:r>
              </w:p>
            </w:sdtContent>
          </w:sdt>
        </w:tc>
        <w:tc>
          <w:tcPr>
            <w:tcW w:w="1507" w:type="dxa"/>
            <w:vAlign w:val="center"/>
          </w:tcPr>
          <w:sdt>
            <w:sdtPr>
              <w:tag w:val="_PLD_e198f1b6108c4fccacfc45ea46e8ff41"/>
              <w:id w:val="6807"/>
            </w:sdtPr>
            <w:sdtContent>
              <w:p>
                <w:pPr>
                  <w:jc w:val="center"/>
                  <w:rPr>
                    <w:szCs w:val="21"/>
                  </w:rPr>
                </w:pPr>
                <w:r>
                  <w:rPr>
                    <w:rFonts w:hint="eastAsia"/>
                    <w:szCs w:val="21"/>
                  </w:rPr>
                  <w:t>坏账准备期末余额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41" w:type="dxa"/>
            <w:vAlign w:val="center"/>
          </w:tcPr>
          <w:p>
            <w:pPr>
              <w:ind w:right="45" w:rightChars="0"/>
              <w:rPr>
                <w:szCs w:val="21"/>
              </w:rPr>
            </w:pPr>
            <w:r>
              <w:rPr>
                <w:rFonts w:hint="eastAsia"/>
                <w:color w:val="auto"/>
              </w:rPr>
              <w:t>上海匠朵信息科技有限责任公司</w:t>
            </w:r>
          </w:p>
        </w:tc>
        <w:tc>
          <w:tcPr>
            <w:tcW w:w="1584" w:type="dxa"/>
            <w:vAlign w:val="center"/>
          </w:tcPr>
          <w:p>
            <w:pPr>
              <w:ind w:right="73"/>
              <w:jc w:val="right"/>
              <w:rPr>
                <w:szCs w:val="21"/>
              </w:rPr>
            </w:pPr>
            <w:r>
              <w:rPr>
                <w:rFonts w:hint="eastAsia"/>
                <w:color w:val="auto"/>
              </w:rPr>
              <w:t>15,823,743.00</w:t>
            </w:r>
          </w:p>
        </w:tc>
        <w:tc>
          <w:tcPr>
            <w:tcW w:w="1196" w:type="dxa"/>
            <w:vAlign w:val="center"/>
          </w:tcPr>
          <w:p>
            <w:pPr>
              <w:jc w:val="right"/>
              <w:rPr>
                <w:szCs w:val="21"/>
              </w:rPr>
            </w:pPr>
            <w:r>
              <w:rPr>
                <w:rFonts w:hint="eastAsia"/>
                <w:color w:val="auto"/>
              </w:rPr>
              <w:t>0.00</w:t>
            </w:r>
          </w:p>
        </w:tc>
        <w:tc>
          <w:tcPr>
            <w:tcW w:w="1507" w:type="dxa"/>
            <w:vAlign w:val="center"/>
          </w:tcPr>
          <w:p>
            <w:pPr>
              <w:jc w:val="right"/>
              <w:rPr>
                <w:szCs w:val="21"/>
              </w:rPr>
            </w:pPr>
            <w:r>
              <w:rPr>
                <w:rFonts w:hint="eastAsia"/>
                <w:color w:val="auto"/>
              </w:rPr>
              <w:t>15,823,743.00</w:t>
            </w:r>
          </w:p>
        </w:tc>
        <w:tc>
          <w:tcPr>
            <w:tcW w:w="1507" w:type="dxa"/>
            <w:vAlign w:val="center"/>
          </w:tcPr>
          <w:p>
            <w:pPr>
              <w:jc w:val="right"/>
              <w:rPr>
                <w:szCs w:val="21"/>
              </w:rPr>
            </w:pPr>
            <w:r>
              <w:rPr>
                <w:rFonts w:hint="eastAsia"/>
                <w:color w:val="auto"/>
              </w:rPr>
              <w:t>9.81</w:t>
            </w:r>
          </w:p>
        </w:tc>
        <w:tc>
          <w:tcPr>
            <w:tcW w:w="1507" w:type="dxa"/>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41" w:type="dxa"/>
            <w:vAlign w:val="center"/>
          </w:tcPr>
          <w:p>
            <w:pPr>
              <w:ind w:right="45" w:rightChars="0"/>
              <w:rPr>
                <w:szCs w:val="21"/>
              </w:rPr>
            </w:pPr>
            <w:r>
              <w:rPr>
                <w:rFonts w:hint="eastAsia"/>
                <w:color w:val="auto"/>
              </w:rPr>
              <w:t>上海诗玛尔家居用品有限公司</w:t>
            </w:r>
          </w:p>
        </w:tc>
        <w:tc>
          <w:tcPr>
            <w:tcW w:w="1584" w:type="dxa"/>
            <w:vAlign w:val="center"/>
          </w:tcPr>
          <w:p>
            <w:pPr>
              <w:ind w:right="73"/>
              <w:jc w:val="right"/>
              <w:rPr>
                <w:szCs w:val="21"/>
              </w:rPr>
            </w:pPr>
            <w:r>
              <w:rPr>
                <w:rFonts w:hint="eastAsia"/>
                <w:color w:val="auto"/>
              </w:rPr>
              <w:t>15,609,244.47</w:t>
            </w:r>
          </w:p>
        </w:tc>
        <w:tc>
          <w:tcPr>
            <w:tcW w:w="1196" w:type="dxa"/>
            <w:vAlign w:val="center"/>
          </w:tcPr>
          <w:p>
            <w:pPr>
              <w:jc w:val="right"/>
              <w:rPr>
                <w:szCs w:val="21"/>
              </w:rPr>
            </w:pPr>
            <w:r>
              <w:rPr>
                <w:rFonts w:hint="eastAsia"/>
                <w:color w:val="auto"/>
              </w:rPr>
              <w:t>0.00</w:t>
            </w:r>
          </w:p>
        </w:tc>
        <w:tc>
          <w:tcPr>
            <w:tcW w:w="1507" w:type="dxa"/>
            <w:vAlign w:val="center"/>
          </w:tcPr>
          <w:p>
            <w:pPr>
              <w:jc w:val="right"/>
              <w:rPr>
                <w:szCs w:val="21"/>
              </w:rPr>
            </w:pPr>
            <w:r>
              <w:rPr>
                <w:rFonts w:hint="eastAsia"/>
                <w:color w:val="auto"/>
              </w:rPr>
              <w:t>15,609,244.47</w:t>
            </w:r>
          </w:p>
        </w:tc>
        <w:tc>
          <w:tcPr>
            <w:tcW w:w="1507" w:type="dxa"/>
            <w:vAlign w:val="center"/>
          </w:tcPr>
          <w:p>
            <w:pPr>
              <w:jc w:val="right"/>
              <w:rPr>
                <w:szCs w:val="21"/>
              </w:rPr>
            </w:pPr>
            <w:r>
              <w:rPr>
                <w:rFonts w:hint="eastAsia"/>
                <w:color w:val="auto"/>
              </w:rPr>
              <w:t>9.68</w:t>
            </w:r>
          </w:p>
        </w:tc>
        <w:tc>
          <w:tcPr>
            <w:tcW w:w="1507" w:type="dxa"/>
            <w:vAlign w:val="center"/>
          </w:tcPr>
          <w:p>
            <w:pPr>
              <w:jc w:val="right"/>
              <w:rPr>
                <w:szCs w:val="21"/>
              </w:rPr>
            </w:pPr>
            <w:r>
              <w:rPr>
                <w:rFonts w:hint="eastAsia"/>
                <w:color w:val="auto"/>
              </w:rPr>
              <w:t>15,609,244.47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41" w:type="dxa"/>
            <w:vAlign w:val="center"/>
          </w:tcPr>
          <w:p>
            <w:pPr>
              <w:ind w:right="105"/>
              <w:rPr>
                <w:szCs w:val="21"/>
              </w:rPr>
            </w:pPr>
            <w:r>
              <w:rPr>
                <w:rFonts w:hint="eastAsia"/>
                <w:color w:val="auto"/>
              </w:rPr>
              <w:t>华住购（上海）贸易有限公司</w:t>
            </w:r>
          </w:p>
        </w:tc>
        <w:tc>
          <w:tcPr>
            <w:tcW w:w="1584" w:type="dxa"/>
            <w:vAlign w:val="center"/>
          </w:tcPr>
          <w:p>
            <w:pPr>
              <w:ind w:right="73"/>
              <w:jc w:val="right"/>
              <w:rPr>
                <w:szCs w:val="21"/>
              </w:rPr>
            </w:pPr>
            <w:r>
              <w:rPr>
                <w:rFonts w:hint="eastAsia"/>
                <w:color w:val="auto"/>
              </w:rPr>
              <w:t>10,797,769.49</w:t>
            </w:r>
          </w:p>
        </w:tc>
        <w:tc>
          <w:tcPr>
            <w:tcW w:w="1196" w:type="dxa"/>
            <w:vAlign w:val="center"/>
          </w:tcPr>
          <w:p>
            <w:pPr>
              <w:jc w:val="right"/>
              <w:rPr>
                <w:szCs w:val="21"/>
              </w:rPr>
            </w:pPr>
            <w:r>
              <w:rPr>
                <w:rFonts w:hint="eastAsia"/>
                <w:color w:val="auto"/>
              </w:rPr>
              <w:t>0.00</w:t>
            </w:r>
          </w:p>
        </w:tc>
        <w:tc>
          <w:tcPr>
            <w:tcW w:w="1507" w:type="dxa"/>
            <w:vAlign w:val="center"/>
          </w:tcPr>
          <w:p>
            <w:pPr>
              <w:jc w:val="right"/>
              <w:rPr>
                <w:szCs w:val="21"/>
              </w:rPr>
            </w:pPr>
            <w:r>
              <w:rPr>
                <w:rFonts w:hint="eastAsia"/>
                <w:color w:val="auto"/>
              </w:rPr>
              <w:t>10,797,769.49</w:t>
            </w:r>
          </w:p>
        </w:tc>
        <w:tc>
          <w:tcPr>
            <w:tcW w:w="1507" w:type="dxa"/>
            <w:vAlign w:val="center"/>
          </w:tcPr>
          <w:p>
            <w:pPr>
              <w:jc w:val="right"/>
              <w:rPr>
                <w:szCs w:val="21"/>
              </w:rPr>
            </w:pPr>
            <w:r>
              <w:rPr>
                <w:rFonts w:hint="eastAsia"/>
                <w:color w:val="auto"/>
              </w:rPr>
              <w:t>6.69</w:t>
            </w:r>
          </w:p>
        </w:tc>
        <w:tc>
          <w:tcPr>
            <w:tcW w:w="1507" w:type="dxa"/>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741" w:type="dxa"/>
            <w:vAlign w:val="center"/>
          </w:tcPr>
          <w:p>
            <w:pPr>
              <w:ind w:right="105"/>
              <w:rPr>
                <w:szCs w:val="21"/>
              </w:rPr>
            </w:pPr>
            <w:r>
              <w:rPr>
                <w:rFonts w:hint="eastAsia"/>
                <w:color w:val="auto"/>
              </w:rPr>
              <w:t>深圳小阔科技股份有限公司</w:t>
            </w:r>
          </w:p>
        </w:tc>
        <w:tc>
          <w:tcPr>
            <w:tcW w:w="1584" w:type="dxa"/>
            <w:vAlign w:val="center"/>
          </w:tcPr>
          <w:p>
            <w:pPr>
              <w:ind w:right="73"/>
              <w:jc w:val="right"/>
              <w:rPr>
                <w:szCs w:val="21"/>
              </w:rPr>
            </w:pPr>
            <w:r>
              <w:rPr>
                <w:rFonts w:hint="eastAsia"/>
                <w:color w:val="auto"/>
              </w:rPr>
              <w:t>9,590,700.77</w:t>
            </w:r>
          </w:p>
        </w:tc>
        <w:tc>
          <w:tcPr>
            <w:tcW w:w="1196" w:type="dxa"/>
            <w:vAlign w:val="center"/>
          </w:tcPr>
          <w:p>
            <w:pPr>
              <w:jc w:val="right"/>
              <w:rPr>
                <w:szCs w:val="21"/>
              </w:rPr>
            </w:pPr>
            <w:r>
              <w:rPr>
                <w:rFonts w:hint="eastAsia"/>
                <w:color w:val="auto"/>
              </w:rPr>
              <w:t>0.00</w:t>
            </w:r>
          </w:p>
        </w:tc>
        <w:tc>
          <w:tcPr>
            <w:tcW w:w="1507" w:type="dxa"/>
            <w:vAlign w:val="center"/>
          </w:tcPr>
          <w:p>
            <w:pPr>
              <w:jc w:val="right"/>
              <w:rPr>
                <w:szCs w:val="21"/>
              </w:rPr>
            </w:pPr>
            <w:r>
              <w:rPr>
                <w:rFonts w:hint="eastAsia"/>
                <w:color w:val="auto"/>
              </w:rPr>
              <w:t>9,590,700.77</w:t>
            </w:r>
          </w:p>
        </w:tc>
        <w:tc>
          <w:tcPr>
            <w:tcW w:w="1507" w:type="dxa"/>
            <w:vAlign w:val="center"/>
          </w:tcPr>
          <w:p>
            <w:pPr>
              <w:jc w:val="right"/>
              <w:rPr>
                <w:szCs w:val="21"/>
              </w:rPr>
            </w:pPr>
            <w:r>
              <w:rPr>
                <w:rFonts w:hint="eastAsia"/>
                <w:color w:val="auto"/>
              </w:rPr>
              <w:t>5.95</w:t>
            </w:r>
          </w:p>
        </w:tc>
        <w:tc>
          <w:tcPr>
            <w:tcW w:w="1507" w:type="dxa"/>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41" w:type="dxa"/>
            <w:vAlign w:val="center"/>
          </w:tcPr>
          <w:p>
            <w:pPr>
              <w:ind w:right="105"/>
              <w:rPr>
                <w:szCs w:val="21"/>
              </w:rPr>
            </w:pPr>
            <w:r>
              <w:rPr>
                <w:rFonts w:hint="eastAsia"/>
                <w:color w:val="auto"/>
              </w:rPr>
              <w:t>广西九州通医药有限公司</w:t>
            </w:r>
          </w:p>
        </w:tc>
        <w:tc>
          <w:tcPr>
            <w:tcW w:w="1584" w:type="dxa"/>
            <w:vAlign w:val="center"/>
          </w:tcPr>
          <w:p>
            <w:pPr>
              <w:ind w:right="73"/>
              <w:jc w:val="right"/>
              <w:rPr>
                <w:szCs w:val="21"/>
              </w:rPr>
            </w:pPr>
            <w:r>
              <w:rPr>
                <w:rFonts w:hint="eastAsia"/>
                <w:color w:val="auto"/>
              </w:rPr>
              <w:t>7,195,750.80</w:t>
            </w:r>
          </w:p>
        </w:tc>
        <w:tc>
          <w:tcPr>
            <w:tcW w:w="1196" w:type="dxa"/>
            <w:vAlign w:val="center"/>
          </w:tcPr>
          <w:p>
            <w:pPr>
              <w:jc w:val="right"/>
              <w:rPr>
                <w:szCs w:val="21"/>
              </w:rPr>
            </w:pPr>
            <w:r>
              <w:rPr>
                <w:rFonts w:hint="eastAsia"/>
                <w:color w:val="auto"/>
              </w:rPr>
              <w:t>0.00</w:t>
            </w:r>
          </w:p>
        </w:tc>
        <w:tc>
          <w:tcPr>
            <w:tcW w:w="1507" w:type="dxa"/>
            <w:vAlign w:val="center"/>
          </w:tcPr>
          <w:p>
            <w:pPr>
              <w:jc w:val="right"/>
              <w:rPr>
                <w:szCs w:val="21"/>
              </w:rPr>
            </w:pPr>
            <w:r>
              <w:rPr>
                <w:rFonts w:hint="eastAsia"/>
                <w:color w:val="auto"/>
              </w:rPr>
              <w:t>7,195,750.80</w:t>
            </w:r>
          </w:p>
        </w:tc>
        <w:tc>
          <w:tcPr>
            <w:tcW w:w="1507" w:type="dxa"/>
            <w:vAlign w:val="center"/>
          </w:tcPr>
          <w:p>
            <w:pPr>
              <w:jc w:val="right"/>
              <w:rPr>
                <w:szCs w:val="21"/>
              </w:rPr>
            </w:pPr>
            <w:r>
              <w:rPr>
                <w:rFonts w:hint="eastAsia"/>
                <w:color w:val="auto"/>
              </w:rPr>
              <w:t>4.46</w:t>
            </w:r>
          </w:p>
        </w:tc>
        <w:tc>
          <w:tcPr>
            <w:tcW w:w="1507" w:type="dxa"/>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41" w:type="dxa"/>
            <w:vAlign w:val="center"/>
          </w:tcPr>
          <w:p>
            <w:pPr>
              <w:ind w:right="105"/>
              <w:jc w:val="center"/>
              <w:rPr>
                <w:szCs w:val="21"/>
              </w:rPr>
            </w:pPr>
            <w:r>
              <w:rPr>
                <w:rFonts w:hint="eastAsia"/>
                <w:szCs w:val="21"/>
              </w:rPr>
              <w:t>合计</w:t>
            </w:r>
          </w:p>
        </w:tc>
        <w:tc>
          <w:tcPr>
            <w:tcW w:w="1584" w:type="dxa"/>
            <w:vAlign w:val="center"/>
          </w:tcPr>
          <w:p>
            <w:pPr>
              <w:ind w:right="73"/>
              <w:jc w:val="right"/>
              <w:rPr>
                <w:szCs w:val="21"/>
              </w:rPr>
            </w:pPr>
            <w:r>
              <w:rPr>
                <w:rFonts w:hint="eastAsia"/>
                <w:color w:val="auto"/>
              </w:rPr>
              <w:t>59,017,208.53</w:t>
            </w:r>
          </w:p>
        </w:tc>
        <w:tc>
          <w:tcPr>
            <w:tcW w:w="1196" w:type="dxa"/>
            <w:vAlign w:val="center"/>
          </w:tcPr>
          <w:p>
            <w:pPr>
              <w:jc w:val="right"/>
              <w:rPr>
                <w:szCs w:val="21"/>
              </w:rPr>
            </w:pPr>
            <w:r>
              <w:rPr>
                <w:rFonts w:hint="eastAsia"/>
                <w:color w:val="auto"/>
              </w:rPr>
              <w:t>0.00</w:t>
            </w:r>
          </w:p>
        </w:tc>
        <w:tc>
          <w:tcPr>
            <w:tcW w:w="1507" w:type="dxa"/>
            <w:vAlign w:val="center"/>
          </w:tcPr>
          <w:p>
            <w:pPr>
              <w:jc w:val="right"/>
              <w:rPr>
                <w:szCs w:val="21"/>
              </w:rPr>
            </w:pPr>
            <w:r>
              <w:rPr>
                <w:rFonts w:hint="eastAsia"/>
                <w:color w:val="auto"/>
              </w:rPr>
              <w:t>59,017,208.53</w:t>
            </w:r>
          </w:p>
        </w:tc>
        <w:tc>
          <w:tcPr>
            <w:tcW w:w="1507" w:type="dxa"/>
            <w:vAlign w:val="center"/>
          </w:tcPr>
          <w:p>
            <w:pPr>
              <w:jc w:val="right"/>
              <w:rPr>
                <w:szCs w:val="21"/>
              </w:rPr>
            </w:pPr>
            <w:r>
              <w:rPr>
                <w:rFonts w:hint="eastAsia"/>
                <w:color w:val="auto"/>
              </w:rPr>
              <w:t>36.59</w:t>
            </w:r>
          </w:p>
        </w:tc>
        <w:tc>
          <w:tcPr>
            <w:tcW w:w="1507" w:type="dxa"/>
            <w:vAlign w:val="center"/>
          </w:tcPr>
          <w:p>
            <w:pPr>
              <w:jc w:val="right"/>
              <w:rPr>
                <w:szCs w:val="21"/>
              </w:rPr>
            </w:pPr>
            <w:r>
              <w:rPr>
                <w:rFonts w:hint="eastAsia"/>
                <w:color w:val="auto"/>
              </w:rPr>
              <w:t>15,609,244.47</w:t>
            </w:r>
          </w:p>
        </w:tc>
      </w:tr>
    </w:tbl>
    <w:p/>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t>其他说明：</w:t>
      </w:r>
    </w:p>
    <w:sdt>
      <w:sdtPr>
        <w:rPr>
          <w:rFonts w:hint="eastAsia"/>
        </w:rPr>
        <w:alias w:val="按欠款方归集的期末余额前五名的应收账款情况的说明"/>
        <w:tag w:val="_GBC_c00993263f034b6b95498635f166760d"/>
        <w:id w:val="6808"/>
        <w:placeholder>
          <w:docPart w:val="GBC22222222222222222222222222222"/>
        </w:placeholder>
      </w:sdtPr>
      <w:sdtEndPr>
        <w:rPr>
          <w:rFonts w:hint="eastAsia"/>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t>无</w:t>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p>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t>其他说明：</w:t>
      </w:r>
    </w:p>
    <w:sdt>
      <w:sdtPr>
        <w:rPr>
          <w:rFonts w:hint="eastAsia"/>
        </w:rPr>
        <w:alias w:val="是否适用：应收账款其他说明[双击切换]"/>
        <w:tag w:val="_GBC_c8da833d28234be8913330da9ab8f46c"/>
        <w:id w:val="6809"/>
        <w:placeholder>
          <w:docPart w:val="GBC22222222222222222222222222222"/>
        </w:placeholder>
      </w:sdtPr>
      <w:sdtEndPr>
        <w:rPr>
          <w:rFonts w:hint="eastAsia"/>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fldChar w:fldCharType="begin"/>
          </w:r>
          <w:r>
            <w:rPr>
              <w:rFonts w:hint="eastAsia"/>
            </w:rPr>
            <w:instrText xml:space="preserve"> MACROBUTTON  SnrToggleCheckbox □适用 </w:instrText>
          </w:r>
          <w:r>
            <w:rPr>
              <w:rFonts w:hint="eastAsia"/>
            </w:rPr>
            <w:fldChar w:fldCharType="end"/>
          </w:r>
          <w:r>
            <w:rPr>
              <w:rFonts w:hint="eastAsia"/>
            </w:rPr>
            <w:fldChar w:fldCharType="begin"/>
          </w:r>
          <w:r>
            <w:rPr>
              <w:rFonts w:hint="eastAsia"/>
            </w:rPr>
            <w:instrText xml:space="preserve"> MACROBUTTON  SnrToggleCheckbox √不适用 </w:instrText>
          </w:r>
          <w:r>
            <w:rPr>
              <w:rFonts w:hint="eastAsia"/>
            </w:rPr>
            <w:fldChar w:fldCharType="end"/>
          </w:r>
        </w:p>
      </w:sdtContent>
    </w:sdt>
    <w:p>
      <w:pPr>
        <w:rPr>
          <w:szCs w:val="21"/>
        </w:rPr>
      </w:pPr>
    </w:p>
    <w:sdt>
      <w:sdtPr>
        <w:tag w:val="_PLD_0c99dfa577ca486ea629e63eed33694d"/>
        <w:id w:val="6810"/>
      </w:sdtPr>
      <w:sdtEndPr>
        <w:rPr>
          <w:rFonts w:ascii="Calibri" w:hAnsi="Calibri" w:cs="Times New Roman"/>
          <w:b/>
          <w:bCs/>
          <w:kern w:val="2"/>
          <w:szCs w:val="32"/>
        </w:rPr>
      </w:sdtEndPr>
      <w:sdtContent>
        <w:p>
          <w:pPr>
            <w:pStyle w:val="4"/>
            <w:numPr>
              <w:ilvl w:val="0"/>
              <w:numId w:val="62"/>
            </w:numPr>
            <w:tabs>
              <w:tab w:val="left" w:pos="504"/>
            </w:tabs>
          </w:pPr>
          <w:bookmarkStart w:id="230" w:name="_Hlk533409560"/>
          <w:r>
            <w:rPr>
              <w:rFonts w:hint="eastAsia"/>
            </w:rPr>
            <w:t>合同资产</w:t>
          </w:r>
        </w:p>
      </w:sdtContent>
    </w:sdt>
    <w:p>
      <w:pPr>
        <w:pStyle w:val="5"/>
        <w:numPr>
          <w:ilvl w:val="3"/>
          <w:numId w:val="65"/>
        </w:numPr>
        <w:ind w:left="426" w:hanging="426"/>
        <w:rPr>
          <w:rFonts w:hint="eastAsia"/>
        </w:rPr>
      </w:pPr>
      <w:bookmarkStart w:id="231" w:name="_Hlk532992678"/>
      <w:r>
        <w:rPr>
          <w:rFonts w:hint="eastAsia"/>
        </w:rPr>
        <w:t>合同资产情况</w:t>
      </w:r>
    </w:p>
    <w:sdt>
      <w:sdtPr>
        <w:alias w:val="是否适用：合同资产情况[双击切换]"/>
        <w:tag w:val="_GBC_71da29cd2c0f4ec4a2849d6760e0ec90"/>
        <w:id w:val="6811"/>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bookmarkEnd w:id="230"/>
    <w:bookmarkEnd w:id="231"/>
    <w:p>
      <w:pPr>
        <w:pStyle w:val="5"/>
        <w:numPr>
          <w:ilvl w:val="3"/>
          <w:numId w:val="65"/>
        </w:numPr>
        <w:ind w:left="426" w:hanging="426"/>
        <w:rPr>
          <w:rFonts w:hint="eastAsia"/>
        </w:rPr>
      </w:pPr>
      <w:bookmarkStart w:id="232" w:name="_Hlk532993169"/>
      <w:r>
        <w:rPr>
          <w:rFonts w:hint="eastAsia"/>
        </w:rPr>
        <w:t>报告期内账面价值发生重大变动的金额和原因</w:t>
      </w:r>
    </w:p>
    <w:sdt>
      <w:sdtPr>
        <w:rPr>
          <w:szCs w:val="21"/>
        </w:rPr>
        <w:alias w:val="是否适用：合同资产账面价值发生重大变动[双击切换]"/>
        <w:tag w:val="_GBC_d707053a57f34cbab810279b617bfcc7"/>
        <w:id w:val="6812"/>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Pr>
        <w:pStyle w:val="5"/>
        <w:numPr>
          <w:ilvl w:val="3"/>
          <w:numId w:val="65"/>
        </w:numPr>
        <w:ind w:left="426" w:hanging="426"/>
        <w:rPr>
          <w:rFonts w:hint="eastAsia" w:ascii="宋体" w:hAnsi="宋体" w:eastAsia="宋体" w:cs="宋体"/>
          <w:kern w:val="0"/>
          <w:szCs w:val="24"/>
        </w:rPr>
      </w:pPr>
      <w:bookmarkStart w:id="233" w:name="_Hlk153378989"/>
      <w:r>
        <w:rPr>
          <w:rFonts w:hint="eastAsia" w:ascii="宋体" w:hAnsi="宋体" w:eastAsia="宋体" w:cs="宋体"/>
          <w:kern w:val="0"/>
          <w:szCs w:val="24"/>
        </w:rPr>
        <w:t>按</w:t>
      </w:r>
      <w:r>
        <w:rPr>
          <w:rFonts w:ascii="宋体" w:hAnsi="宋体" w:eastAsia="宋体" w:cs="宋体"/>
          <w:kern w:val="0"/>
          <w:szCs w:val="24"/>
        </w:rPr>
        <w:t>坏账计提方法分类披露</w:t>
      </w:r>
    </w:p>
    <w:sdt>
      <w:sdtPr>
        <w:alias w:val="是否适用：按坏账计提方法分类披露[双击切换]"/>
        <w:tag w:val="_GBC_6dd4a97ab67f497ba65822d927d1d29e"/>
        <w:id w:val="6813"/>
        <w:placeholder>
          <w:docPart w:val="GBC22222222222222222222222222222"/>
        </w:placeholder>
      </w:sdtPr>
      <w:sdtEndPr>
        <w:rPr>
          <w:rFonts w:hint="eastAsia"/>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fldChar w:fldCharType="begin"/>
          </w:r>
          <w:r>
            <w:rPr>
              <w:rFonts w:hint="eastAsia"/>
            </w:rPr>
            <w:instrText xml:space="preserve"> MACROBUTTON  SnrToggleCheckbox □适用 </w:instrText>
          </w:r>
          <w:r>
            <w:rPr>
              <w:rFonts w:hint="eastAsia"/>
            </w:rPr>
            <w:fldChar w:fldCharType="end"/>
          </w:r>
          <w:r>
            <w:rPr>
              <w:rFonts w:hint="eastAsia"/>
            </w:rPr>
            <w:fldChar w:fldCharType="begin"/>
          </w:r>
          <w:r>
            <w:rPr>
              <w:rFonts w:hint="eastAsia"/>
            </w:rPr>
            <w:instrText xml:space="preserve"> MACROBUTTON  SnrToggleCheckbox √不适用 </w:instrText>
          </w:r>
          <w:r>
            <w:rPr>
              <w:rFonts w:hint="eastAsia"/>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p>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t>按单项计提坏账准备：</w:t>
      </w:r>
    </w:p>
    <w:sdt>
      <w:sdtPr>
        <w:rPr>
          <w:rFonts w:hint="eastAsia"/>
        </w:rPr>
        <w:alias w:val="是否适用：按单项计提坏账准备的详细情况[双击切换]"/>
        <w:tag w:val="_GBC_0ab170ec63fb435387c8b835e9d77a54"/>
        <w:id w:val="6814"/>
        <w:placeholder>
          <w:docPart w:val="GBC22222222222222222222222222222"/>
        </w:placeholder>
      </w:sdtPr>
      <w:sdtEndPr>
        <w:rPr>
          <w:rFonts w:hint="eastAsia"/>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fldChar w:fldCharType="begin"/>
          </w:r>
          <w:r>
            <w:rPr>
              <w:rFonts w:hint="eastAsia"/>
            </w:rPr>
            <w:instrText xml:space="preserve"> MACROBUTTON  SnrToggleCheckbox □适用 </w:instrText>
          </w:r>
          <w:r>
            <w:rPr>
              <w:rFonts w:hint="eastAsia"/>
            </w:rPr>
            <w:fldChar w:fldCharType="end"/>
          </w:r>
          <w:r>
            <w:rPr>
              <w:rFonts w:hint="eastAsia"/>
            </w:rPr>
            <w:fldChar w:fldCharType="begin"/>
          </w:r>
          <w:r>
            <w:rPr>
              <w:rFonts w:hint="eastAsia"/>
            </w:rPr>
            <w:instrText xml:space="preserve"> MACROBUTTON  SnrToggleCheckbox √不适用 </w:instrText>
          </w:r>
          <w:r>
            <w:rPr>
              <w:rFonts w:hint="eastAsia"/>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t>按单项计提坏账准备的说明：</w:t>
      </w:r>
    </w:p>
    <w:sdt>
      <w:sdtPr>
        <w:rPr>
          <w:rFonts w:hint="eastAsia"/>
        </w:rPr>
        <w:alias w:val="是否适用：按单项计提坏账准备的说明[双击切换]"/>
        <w:tag w:val="_GBC_0aa7517d534e4bfeae4b430fe21b3412"/>
        <w:id w:val="6815"/>
        <w:placeholder>
          <w:docPart w:val="GBC22222222222222222222222222222"/>
        </w:placeholder>
      </w:sdtPr>
      <w:sdtEndPr>
        <w:rPr>
          <w:rFonts w:hint="eastAsia"/>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fldChar w:fldCharType="begin"/>
          </w:r>
          <w:r>
            <w:rPr>
              <w:rFonts w:hint="eastAsia"/>
            </w:rPr>
            <w:instrText xml:space="preserve"> MACROBUTTON  SnrToggleCheckbox □适用 </w:instrText>
          </w:r>
          <w:r>
            <w:rPr>
              <w:rFonts w:hint="eastAsia"/>
            </w:rPr>
            <w:fldChar w:fldCharType="end"/>
          </w:r>
          <w:r>
            <w:rPr>
              <w:rFonts w:hint="eastAsia"/>
            </w:rPr>
            <w:fldChar w:fldCharType="begin"/>
          </w:r>
          <w:r>
            <w:rPr>
              <w:rFonts w:hint="eastAsia"/>
            </w:rPr>
            <w:instrText xml:space="preserve"> MACROBUTTON  SnrToggleCheckbox √不适用 </w:instrText>
          </w:r>
          <w:r>
            <w:rPr>
              <w:rFonts w:hint="eastAsia"/>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p>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t>按组合计提坏账准备：</w:t>
      </w:r>
    </w:p>
    <w:sdt>
      <w:sdtPr>
        <w:rPr>
          <w:rFonts w:hint="eastAsia"/>
        </w:rPr>
        <w:alias w:val="是否适用：按组合计提坏账准备的详细情况[双击切换]"/>
        <w:tag w:val="_GBC_dd62dad60e90472bb2ac73e80b2edb97"/>
        <w:id w:val="6816"/>
        <w:placeholder>
          <w:docPart w:val="GBC22222222222222222222222222222"/>
        </w:placeholder>
      </w:sdtPr>
      <w:sdtEndPr>
        <w:rPr>
          <w:rFonts w:hint="eastAsia"/>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fldChar w:fldCharType="begin"/>
          </w:r>
          <w:r>
            <w:rPr>
              <w:rFonts w:hint="eastAsia"/>
            </w:rPr>
            <w:instrText xml:space="preserve"> MACROBUTTON  SnrToggleCheckbox □适用 </w:instrText>
          </w:r>
          <w:r>
            <w:rPr>
              <w:rFonts w:hint="eastAsia"/>
            </w:rPr>
            <w:fldChar w:fldCharType="end"/>
          </w:r>
          <w:r>
            <w:rPr>
              <w:rFonts w:hint="eastAsia"/>
            </w:rPr>
            <w:fldChar w:fldCharType="begin"/>
          </w:r>
          <w:r>
            <w:rPr>
              <w:rFonts w:hint="eastAsia"/>
            </w:rPr>
            <w:instrText xml:space="preserve"> MACROBUTTON  SnrToggleCheckbox √不适用 </w:instrText>
          </w:r>
          <w:r>
            <w:rPr>
              <w:rFonts w:hint="eastAsia"/>
            </w:rPr>
            <w:fldChar w:fldCharType="end"/>
          </w:r>
        </w:p>
      </w:sdtContent>
    </w:sdt>
    <w:bookmarkEnd w:id="233"/>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bookmarkStart w:id="234" w:name="_Hlk153379126"/>
      <w:bookmarkStart w:id="235" w:name="_Hlk154135145"/>
      <w:r>
        <w:rPr>
          <w:rFonts w:hint="eastAsia"/>
        </w:rPr>
        <w:t>按预期信用损失一般模型计提坏账准备</w:t>
      </w:r>
    </w:p>
    <w:sdt>
      <w:sdtPr>
        <w:rPr>
          <w:rFonts w:hint="eastAsia"/>
        </w:rPr>
        <w:alias w:val="是否适用：按预期信用损失一般模型计提坏账准备[双击切换]"/>
        <w:tag w:val="_GBC_af66bce1fada4aaa845a8f566731a4cf"/>
        <w:id w:val="6817"/>
        <w:placeholder>
          <w:docPart w:val="GBC22222222222222222222222222222"/>
        </w:placeholder>
      </w:sdtPr>
      <w:sdtEndPr>
        <w:rPr>
          <w:rFonts w:hint="eastAsia"/>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fldChar w:fldCharType="begin"/>
          </w:r>
          <w:r>
            <w:rPr>
              <w:rFonts w:hint="eastAsia"/>
            </w:rPr>
            <w:instrText xml:space="preserve"> MACROBUTTON  SnrToggleCheckbox □适用 </w:instrText>
          </w:r>
          <w:r>
            <w:rPr>
              <w:rFonts w:hint="eastAsia"/>
            </w:rPr>
            <w:fldChar w:fldCharType="end"/>
          </w:r>
          <w:r>
            <w:rPr>
              <w:rFonts w:hint="eastAsia"/>
            </w:rPr>
            <w:fldChar w:fldCharType="begin"/>
          </w:r>
          <w:r>
            <w:rPr>
              <w:rFonts w:hint="eastAsia"/>
            </w:rPr>
            <w:instrText xml:space="preserve"> MACROBUTTON  SnrToggleCheckbox √不适用 </w:instrText>
          </w:r>
          <w:r>
            <w:rPr>
              <w:rFonts w:hint="eastAsia"/>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p>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t>各阶段划分依据和坏账准备计提比例</w:t>
      </w:r>
    </w:p>
    <w:sdt>
      <w:sdtPr>
        <w:rPr>
          <w:rFonts w:hint="eastAsia"/>
        </w:rPr>
        <w:alias w:val="各阶段划分依据和坏账准备计提比例"/>
        <w:tag w:val="_GBC_a54eb55cbb24473b8392e013b4be1c8a"/>
        <w:id w:val="6818"/>
        <w:placeholder>
          <w:docPart w:val="GBC22222222222222222222222222222"/>
        </w:placeholder>
      </w:sdtPr>
      <w:sdtEndPr>
        <w:rPr>
          <w:rFonts w:hint="eastAsia"/>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t>无</w:t>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p>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t>对本期发生损失准备变动的合同资产账面余额显著变动的情况说明：</w:t>
      </w:r>
    </w:p>
    <w:sdt>
      <w:sdtPr>
        <w:rPr>
          <w:rFonts w:hint="eastAsia"/>
        </w:rPr>
        <w:alias w:val="是否适用：对本期发生损失准备变动的账面余额显著变动的情况说明[双击切换]"/>
        <w:tag w:val="_GBC_5d2109eaa8194f47bcc2f4bbd6c081ae"/>
        <w:id w:val="6819"/>
        <w:placeholder>
          <w:docPart w:val="GBC22222222222222222222222222222"/>
        </w:placeholder>
      </w:sdtPr>
      <w:sdtEndPr>
        <w:rPr>
          <w:rFonts w:hint="eastAsia"/>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fldChar w:fldCharType="begin"/>
          </w:r>
          <w:r>
            <w:rPr>
              <w:rFonts w:hint="eastAsia"/>
            </w:rPr>
            <w:instrText xml:space="preserve"> MACROBUTTON  SnrToggleCheckbox □适用 </w:instrText>
          </w:r>
          <w:r>
            <w:rPr>
              <w:rFonts w:hint="eastAsia"/>
            </w:rPr>
            <w:fldChar w:fldCharType="end"/>
          </w:r>
          <w:r>
            <w:rPr>
              <w:rFonts w:hint="eastAsia"/>
            </w:rPr>
            <w:fldChar w:fldCharType="begin"/>
          </w:r>
          <w:r>
            <w:rPr>
              <w:rFonts w:hint="eastAsia"/>
            </w:rPr>
            <w:instrText xml:space="preserve"> MACROBUTTON  SnrToggleCheckbox √不适用 </w:instrText>
          </w:r>
          <w:r>
            <w:rPr>
              <w:rFonts w:hint="eastAsia"/>
            </w:rPr>
            <w:fldChar w:fldCharType="end"/>
          </w:r>
        </w:p>
      </w:sdtContent>
    </w:sdt>
    <w:p>
      <w:pPr>
        <w:rPr>
          <w:rFonts w:asciiTheme="minorHAnsi" w:hAnsiTheme="minorHAnsi" w:cstheme="minorBidi"/>
          <w:b/>
          <w:bCs/>
          <w:szCs w:val="22"/>
        </w:rPr>
      </w:pPr>
    </w:p>
    <w:bookmarkEnd w:id="232"/>
    <w:bookmarkEnd w:id="234"/>
    <w:bookmarkEnd w:id="235"/>
    <w:p>
      <w:pPr>
        <w:pStyle w:val="5"/>
        <w:numPr>
          <w:ilvl w:val="3"/>
          <w:numId w:val="65"/>
        </w:numPr>
        <w:ind w:left="426" w:hanging="426"/>
        <w:rPr>
          <w:rFonts w:hint="eastAsia"/>
          <w:szCs w:val="21"/>
        </w:rPr>
      </w:pPr>
      <w:bookmarkStart w:id="236" w:name="_Hlk533847869"/>
      <w:r>
        <w:rPr>
          <w:rFonts w:hint="eastAsia"/>
          <w:szCs w:val="21"/>
        </w:rPr>
        <w:t>本期合同资产计提坏账准备情况</w:t>
      </w:r>
    </w:p>
    <w:sdt>
      <w:sdtPr>
        <w:rPr>
          <w:szCs w:val="21"/>
        </w:rPr>
        <w:alias w:val="是否适用：合同资产减值准备[双击切换]"/>
        <w:tag w:val="_GBC_7a32a2cf2788460d8c760b8ac21cef48"/>
        <w:id w:val="6820"/>
        <w:placeholder>
          <w:docPart w:val="GBC22222222222222222222222222222"/>
        </w:placeholder>
      </w:sdtPr>
      <w:sdtEndPr>
        <w:rPr>
          <w:szCs w:val="21"/>
        </w:rPr>
      </w:sdtEndPr>
      <w:sdtContent>
        <w:p>
          <w:pPr>
            <w:autoSpaceDE w:val="0"/>
            <w:autoSpaceDN w:val="0"/>
            <w:adjustRightInd w:val="0"/>
            <w:ind w:right="105" w:rightChars="50"/>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autoSpaceDE w:val="0"/>
        <w:autoSpaceDN w:val="0"/>
        <w:adjustRightInd w:val="0"/>
        <w:ind w:right="105" w:rightChars="50"/>
        <w:rPr>
          <w:szCs w:val="21"/>
        </w:rPr>
      </w:pPr>
    </w:p>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bookmarkStart w:id="237" w:name="_Hlk153379287"/>
      <w:r>
        <w:rPr>
          <w:rFonts w:hint="eastAsia"/>
        </w:rPr>
        <w:t>其中本期坏账准备收回或转回金额重要的：</w:t>
      </w:r>
    </w:p>
    <w:sdt>
      <w:sdtPr>
        <w:rPr>
          <w:rFonts w:hint="eastAsia"/>
        </w:rPr>
        <w:alias w:val="是否适用：本期坏账准备收回或转回金额重要的[双击切换]"/>
        <w:tag w:val="_GBC_40c6e5cd3d9b48fa9d8ddf51159f73e3"/>
        <w:id w:val="6821"/>
        <w:placeholder>
          <w:docPart w:val="GBC22222222222222222222222222222"/>
        </w:placeholder>
      </w:sdtPr>
      <w:sdtEndPr>
        <w:rPr>
          <w:rFonts w:hint="eastAsia"/>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fldChar w:fldCharType="begin"/>
          </w:r>
          <w:r>
            <w:rPr>
              <w:rFonts w:hint="eastAsia"/>
            </w:rPr>
            <w:instrText xml:space="preserve"> MACROBUTTON  SnrToggleCheckbox □适用 </w:instrText>
          </w:r>
          <w:r>
            <w:rPr>
              <w:rFonts w:hint="eastAsia"/>
            </w:rPr>
            <w:fldChar w:fldCharType="end"/>
          </w:r>
          <w:r>
            <w:rPr>
              <w:rFonts w:hint="eastAsia"/>
            </w:rPr>
            <w:fldChar w:fldCharType="begin"/>
          </w:r>
          <w:r>
            <w:rPr>
              <w:rFonts w:hint="eastAsia"/>
            </w:rPr>
            <w:instrText xml:space="preserve"> MACROBUTTON  SnrToggleCheckbox √不适用 </w:instrText>
          </w:r>
          <w:r>
            <w:rPr>
              <w:rFonts w:hint="eastAsia"/>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t>其他说明：</w:t>
      </w:r>
    </w:p>
    <w:sdt>
      <w:sdtPr>
        <w:rPr>
          <w:rFonts w:hint="eastAsia"/>
        </w:rPr>
        <w:alias w:val="坏账准备情况的说明"/>
        <w:tag w:val="_GBC_eaa032ce9f4b4651bc1d170afdd0f594"/>
        <w:id w:val="6822"/>
        <w:placeholder>
          <w:docPart w:val="GBC22222222222222222222222222222"/>
        </w:placeholder>
      </w:sdtPr>
      <w:sdtEndPr>
        <w:rPr>
          <w:rFonts w:hint="eastAsia"/>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t>无</w:t>
          </w:r>
        </w:p>
      </w:sdtContent>
    </w:sdt>
    <w:p>
      <w:pPr>
        <w:ind w:right="-1594" w:rightChars="-759"/>
      </w:pPr>
    </w:p>
    <w:bookmarkEnd w:id="237"/>
    <w:p>
      <w:pPr>
        <w:pStyle w:val="5"/>
        <w:numPr>
          <w:ilvl w:val="3"/>
          <w:numId w:val="65"/>
        </w:numPr>
        <w:ind w:left="426" w:hanging="426"/>
        <w:rPr>
          <w:rFonts w:hint="eastAsia"/>
          <w:szCs w:val="21"/>
        </w:rPr>
      </w:pPr>
      <w:bookmarkStart w:id="238" w:name="_Hlk153379426"/>
      <w:r>
        <w:rPr>
          <w:szCs w:val="21"/>
        </w:rPr>
        <w:t>本期实际核销的</w:t>
      </w:r>
      <w:r>
        <w:rPr>
          <w:rFonts w:hint="eastAsia"/>
          <w:szCs w:val="21"/>
        </w:rPr>
        <w:t>合同资产</w:t>
      </w:r>
      <w:r>
        <w:rPr>
          <w:szCs w:val="21"/>
        </w:rPr>
        <w:t>情况</w:t>
      </w:r>
    </w:p>
    <w:sdt>
      <w:sdtPr>
        <w:alias w:val="是否适用：实际核销的情况[双击切换]"/>
        <w:tag w:val="_GBC_d2036f8632c6441bbae156d4fcc0a1bb"/>
        <w:id w:val="6823"/>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keepNext w:val="0"/>
        <w:keepLines w:val="0"/>
        <w:pageBreakBefore w:val="0"/>
        <w:kinsoku/>
        <w:wordWrap/>
        <w:overflowPunct/>
        <w:topLinePunct w:val="0"/>
        <w:bidi w:val="0"/>
        <w:snapToGrid/>
        <w:spacing w:line="400" w:lineRule="exact"/>
        <w:textAlignment w:val="auto"/>
        <w:rPr>
          <w:rFonts w:hint="eastAsia" w:ascii="Times New Roman" w:hAnsi="Times New Roman" w:eastAsia="宋体" w:cs="Times New Roman"/>
        </w:rPr>
      </w:pPr>
    </w:p>
    <w:p>
      <w:pPr>
        <w:keepNext w:val="0"/>
        <w:keepLines w:val="0"/>
        <w:pageBreakBefore w:val="0"/>
        <w:kinsoku/>
        <w:wordWrap/>
        <w:overflowPunct/>
        <w:topLinePunct w:val="0"/>
        <w:bidi w:val="0"/>
        <w:snapToGrid/>
        <w:spacing w:line="400" w:lineRule="exact"/>
        <w:textAlignment w:val="auto"/>
        <w:rPr>
          <w:rFonts w:hint="eastAsia" w:ascii="Times New Roman" w:hAnsi="Times New Roman" w:eastAsia="宋体" w:cs="Times New Roman"/>
        </w:rPr>
      </w:pPr>
      <w:r>
        <w:rPr>
          <w:rFonts w:hint="eastAsia" w:ascii="Times New Roman" w:hAnsi="Times New Roman" w:eastAsia="宋体" w:cs="Times New Roman"/>
        </w:rPr>
        <w:t>其中重要的合同资产核销情况</w:t>
      </w:r>
    </w:p>
    <w:sdt>
      <w:sdtPr>
        <w:rPr>
          <w:rFonts w:hint="eastAsia" w:ascii="Times New Roman" w:hAnsi="Times New Roman" w:eastAsia="宋体" w:cs="Times New Roman"/>
        </w:rPr>
        <w:alias w:val="是否适用：重要的核销情况[双击切换]"/>
        <w:tag w:val="_GBC_a32f8e56eb4941f98078bbae5f9968b0"/>
        <w:id w:val="6824"/>
        <w:placeholder>
          <w:docPart w:val="GBC22222222222222222222222222222"/>
        </w:placeholder>
      </w:sdtPr>
      <w:sdtEndPr>
        <w:rPr>
          <w:rFonts w:hint="eastAsia" w:ascii="Times New Roman" w:hAnsi="Times New Roman" w:eastAsia="宋体" w:cs="Times New Roman"/>
        </w:rPr>
      </w:sdtEndPr>
      <w:sdtContent>
        <w:p>
          <w:pPr>
            <w:keepNext w:val="0"/>
            <w:keepLines w:val="0"/>
            <w:pageBreakBefore w:val="0"/>
            <w:kinsoku/>
            <w:wordWrap/>
            <w:overflowPunct/>
            <w:topLinePunct w:val="0"/>
            <w:bidi w:val="0"/>
            <w:snapToGrid/>
            <w:spacing w:line="400" w:lineRule="exact"/>
            <w:textAlignment w:val="auto"/>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MACROBUTTON  SnrToggleCheckbox □适用</w:instrText>
          </w:r>
          <w:r>
            <w:rPr>
              <w:rFonts w:hint="eastAsia" w:ascii="Times New Roman" w:hAnsi="Times New Roman" w:eastAsia="宋体" w:cs="Times New Roman"/>
            </w:rPr>
            <w:fldChar w:fldCharType="end"/>
          </w: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MACROBUTTON  SnrToggleCheckbox √不适用 </w:instrText>
          </w:r>
          <w:r>
            <w:rPr>
              <w:rFonts w:hint="eastAsia" w:ascii="Times New Roman" w:hAnsi="Times New Roman" w:eastAsia="宋体" w:cs="Times New Roman"/>
            </w:rPr>
            <w:fldChar w:fldCharType="end"/>
          </w:r>
        </w:p>
      </w:sdtContent>
    </w:sdt>
    <w:p>
      <w:pPr>
        <w:keepNext w:val="0"/>
        <w:keepLines w:val="0"/>
        <w:pageBreakBefore w:val="0"/>
        <w:kinsoku/>
        <w:wordWrap/>
        <w:overflowPunct/>
        <w:topLinePunct w:val="0"/>
        <w:bidi w:val="0"/>
        <w:snapToGrid/>
        <w:spacing w:line="400" w:lineRule="exact"/>
        <w:textAlignment w:val="auto"/>
        <w:rPr>
          <w:rFonts w:hint="eastAsia" w:ascii="Times New Roman" w:hAnsi="Times New Roman" w:eastAsia="宋体" w:cs="Times New Roman"/>
        </w:rPr>
      </w:pPr>
    </w:p>
    <w:p>
      <w:pPr>
        <w:keepNext w:val="0"/>
        <w:keepLines w:val="0"/>
        <w:pageBreakBefore w:val="0"/>
        <w:kinsoku/>
        <w:wordWrap/>
        <w:overflowPunct/>
        <w:topLinePunct w:val="0"/>
        <w:bidi w:val="0"/>
        <w:snapToGrid/>
        <w:spacing w:line="400" w:lineRule="exact"/>
        <w:textAlignment w:val="auto"/>
        <w:rPr>
          <w:rFonts w:hint="eastAsia" w:ascii="Times New Roman" w:hAnsi="Times New Roman" w:eastAsia="宋体" w:cs="Times New Roman"/>
        </w:rPr>
      </w:pPr>
      <w:r>
        <w:rPr>
          <w:rFonts w:hint="eastAsia" w:ascii="Times New Roman" w:hAnsi="Times New Roman" w:eastAsia="宋体" w:cs="Times New Roman"/>
        </w:rPr>
        <w:t>合同资产核销说明：</w:t>
      </w:r>
    </w:p>
    <w:sdt>
      <w:sdtPr>
        <w:rPr>
          <w:rFonts w:hint="eastAsia" w:ascii="Times New Roman" w:hAnsi="Times New Roman" w:eastAsia="宋体" w:cs="Times New Roman"/>
        </w:rPr>
        <w:alias w:val="是否适用：核销说明[双击切换]"/>
        <w:tag w:val="_GBC_837b8448d70d489b99f47e83a77e0bef"/>
        <w:id w:val="6825"/>
        <w:placeholder>
          <w:docPart w:val="GBC22222222222222222222222222222"/>
        </w:placeholder>
      </w:sdtPr>
      <w:sdtEndPr>
        <w:rPr>
          <w:rFonts w:hint="eastAsia" w:ascii="Times New Roman" w:hAnsi="Times New Roman" w:eastAsia="宋体" w:cs="Times New Roman"/>
        </w:rPr>
      </w:sdtEndPr>
      <w:sdtContent>
        <w:p>
          <w:pPr>
            <w:keepNext w:val="0"/>
            <w:keepLines w:val="0"/>
            <w:pageBreakBefore w:val="0"/>
            <w:kinsoku/>
            <w:wordWrap/>
            <w:overflowPunct/>
            <w:topLinePunct w:val="0"/>
            <w:bidi w:val="0"/>
            <w:snapToGrid/>
            <w:spacing w:line="400" w:lineRule="exact"/>
            <w:textAlignment w:val="auto"/>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MACROBUTTON  SnrToggleCheckbox □适用 </w:instrText>
          </w:r>
          <w:r>
            <w:rPr>
              <w:rFonts w:hint="eastAsia" w:ascii="Times New Roman" w:hAnsi="Times New Roman" w:eastAsia="宋体" w:cs="Times New Roman"/>
            </w:rPr>
            <w:fldChar w:fldCharType="end"/>
          </w: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MACROBUTTON  SnrToggleCheckbox √不适用 </w:instrText>
          </w:r>
          <w:r>
            <w:rPr>
              <w:rFonts w:hint="eastAsia" w:ascii="Times New Roman" w:hAnsi="Times New Roman" w:eastAsia="宋体" w:cs="Times New Roman"/>
            </w:rPr>
            <w:fldChar w:fldCharType="end"/>
          </w:r>
        </w:p>
      </w:sdtContent>
    </w:sdt>
    <w:p>
      <w:pPr>
        <w:keepNext w:val="0"/>
        <w:keepLines w:val="0"/>
        <w:pageBreakBefore w:val="0"/>
        <w:kinsoku/>
        <w:wordWrap/>
        <w:overflowPunct/>
        <w:topLinePunct w:val="0"/>
        <w:bidi w:val="0"/>
        <w:snapToGrid/>
        <w:spacing w:line="400" w:lineRule="exact"/>
        <w:textAlignment w:val="auto"/>
        <w:rPr>
          <w:rFonts w:hint="eastAsia" w:ascii="Times New Roman" w:hAnsi="Times New Roman" w:eastAsia="宋体" w:cs="Times New Roman"/>
        </w:rPr>
      </w:pPr>
    </w:p>
    <w:bookmarkEnd w:id="236"/>
    <w:bookmarkEnd w:id="238"/>
    <w:p>
      <w:pPr>
        <w:keepNext w:val="0"/>
        <w:keepLines w:val="0"/>
        <w:pageBreakBefore w:val="0"/>
        <w:kinsoku/>
        <w:wordWrap/>
        <w:overflowPunct/>
        <w:topLinePunct w:val="0"/>
        <w:bidi w:val="0"/>
        <w:snapToGrid/>
        <w:spacing w:line="400" w:lineRule="exact"/>
        <w:textAlignment w:val="auto"/>
        <w:rPr>
          <w:rFonts w:hint="eastAsia" w:ascii="Times New Roman" w:hAnsi="Times New Roman" w:eastAsia="宋体" w:cs="Times New Roman"/>
        </w:rPr>
      </w:pPr>
      <w:r>
        <w:rPr>
          <w:rFonts w:hint="eastAsia" w:ascii="Times New Roman" w:hAnsi="Times New Roman" w:eastAsia="宋体" w:cs="Times New Roman"/>
        </w:rPr>
        <w:t>其他说明：</w:t>
      </w:r>
    </w:p>
    <w:sdt>
      <w:sdtPr>
        <w:rPr>
          <w:rFonts w:hint="eastAsia" w:ascii="Times New Roman" w:hAnsi="Times New Roman" w:eastAsia="宋体" w:cs="Times New Roman"/>
        </w:rPr>
        <w:alias w:val="是否适用：合同资产其他说明[双击切换]"/>
        <w:tag w:val="_GBC_92ce0006559b479d93e7dbde6e8efca4"/>
        <w:id w:val="6826"/>
        <w:placeholder>
          <w:docPart w:val="GBC22222222222222222222222222222"/>
        </w:placeholder>
      </w:sdtPr>
      <w:sdtEndPr>
        <w:rPr>
          <w:rFonts w:hint="eastAsia" w:ascii="Times New Roman" w:hAnsi="Times New Roman" w:eastAsia="宋体" w:cs="Times New Roman"/>
          <w:szCs w:val="21"/>
        </w:rPr>
      </w:sdtEndPr>
      <w:sdtContent>
        <w:p>
          <w:pPr>
            <w:keepNext w:val="0"/>
            <w:keepLines w:val="0"/>
            <w:pageBreakBefore w:val="0"/>
            <w:kinsoku/>
            <w:wordWrap/>
            <w:overflowPunct/>
            <w:topLinePunct w:val="0"/>
            <w:bidi w:val="0"/>
            <w:snapToGrid/>
            <w:spacing w:line="400" w:lineRule="exact"/>
            <w:textAlignment w:val="auto"/>
            <w:rPr>
              <w:szCs w:val="21"/>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MACROBUTTON  SnrToggleCheckbox □适用 </w:instrText>
          </w:r>
          <w:r>
            <w:rPr>
              <w:rFonts w:hint="eastAsia" w:ascii="Times New Roman" w:hAnsi="Times New Roman" w:eastAsia="宋体" w:cs="Times New Roman"/>
            </w:rPr>
            <w:fldChar w:fldCharType="end"/>
          </w: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MACROBUTTON  SnrToggleCheckbox √不适用 </w:instrText>
          </w:r>
          <w:r>
            <w:rPr>
              <w:rFonts w:hint="eastAsia" w:ascii="Times New Roman" w:hAnsi="Times New Roman" w:eastAsia="宋体" w:cs="Times New Roman"/>
            </w:rPr>
            <w:fldChar w:fldCharType="end"/>
          </w:r>
        </w:p>
      </w:sdtContent>
    </w:sdt>
    <w:p/>
    <w:sdt>
      <w:sdtPr>
        <w:tag w:val="_PLD_2c0e2dabc9e14232948603e8ec120e4e"/>
        <w:id w:val="6827"/>
      </w:sdtPr>
      <w:sdtContent>
        <w:p>
          <w:pPr>
            <w:pStyle w:val="4"/>
            <w:numPr>
              <w:ilvl w:val="0"/>
              <w:numId w:val="62"/>
            </w:numPr>
            <w:rPr>
              <w:szCs w:val="21"/>
            </w:rPr>
          </w:pPr>
          <w:bookmarkStart w:id="239" w:name="_Hlk24102175"/>
          <w:r>
            <w:rPr>
              <w:rFonts w:hint="eastAsia"/>
              <w:szCs w:val="21"/>
            </w:rPr>
            <w:t>应收款项融资</w:t>
          </w:r>
        </w:p>
      </w:sdtContent>
    </w:sdt>
    <w:p>
      <w:pPr>
        <w:pStyle w:val="5"/>
        <w:numPr>
          <w:ilvl w:val="0"/>
          <w:numId w:val="66"/>
        </w:numPr>
        <w:rPr>
          <w:rFonts w:hint="eastAsia"/>
        </w:rPr>
      </w:pPr>
      <w:r>
        <w:rPr>
          <w:rFonts w:hint="eastAsia"/>
        </w:rPr>
        <w:t>应收款项融资分类列示</w:t>
      </w:r>
    </w:p>
    <w:sdt>
      <w:sdtPr>
        <w:rPr>
          <w:szCs w:val="21"/>
        </w:rPr>
        <w:alias w:val="是否适用：应收款项融资[双击切换]"/>
        <w:tag w:val="_GBC_e38b7d767cdd4e9f8dd5f7f6ea2330da"/>
        <w:id w:val="6828"/>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ind w:left="420" w:right="-98"/>
        <w:jc w:val="right"/>
      </w:pPr>
      <w:r>
        <w:rPr>
          <w:rFonts w:hint="eastAsia"/>
        </w:rPr>
        <w:t xml:space="preserve">  单位：</w:t>
      </w:r>
      <w:sdt>
        <w:sdtPr>
          <w:rPr>
            <w:rFonts w:hint="eastAsia"/>
          </w:rPr>
          <w:alias w:val="单位：应收款项融资"/>
          <w:tag w:val="_GBC_718fb908b95f48ec84742dfac4338fd4"/>
          <w:id w:val="682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rPr>
        </w:sdtEndPr>
        <w:sdtContent>
          <w:r>
            <w:rPr>
              <w:rFonts w:hint="eastAsia"/>
            </w:rPr>
            <w:t>元</w:t>
          </w:r>
        </w:sdtContent>
      </w:sdt>
      <w:r>
        <w:rPr>
          <w:rFonts w:hint="eastAsia"/>
        </w:rPr>
        <w:t xml:space="preserve">  币种：</w:t>
      </w:r>
      <w:sdt>
        <w:sdtPr>
          <w:rPr>
            <w:rFonts w:hint="eastAsia"/>
          </w:rPr>
          <w:alias w:val="币种：应收款项融资"/>
          <w:tag w:val="_GBC_e0c43db94ecc4e51b884c86496138ea2"/>
          <w:id w:val="6830"/>
          <w:placeholder>
            <w:docPart w:val="GBC22222222222222222222222222222"/>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7"/>
        <w:gridCol w:w="2890"/>
        <w:gridCol w:w="2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7" w:type="dxa"/>
            <w:vAlign w:val="center"/>
          </w:tcPr>
          <w:sdt>
            <w:sdtPr>
              <w:tag w:val="_PLD_03e528ffb61e4b53acdd40b3208f06a9"/>
              <w:id w:val="6831"/>
            </w:sdtPr>
            <w:sdtContent>
              <w:p>
                <w:pPr>
                  <w:jc w:val="center"/>
                  <w:rPr>
                    <w:szCs w:val="21"/>
                  </w:rPr>
                </w:pPr>
                <w:bookmarkStart w:id="240" w:name="_Hlk12969247"/>
                <w:bookmarkStart w:id="241" w:name="_Hlk13057555"/>
                <w:r>
                  <w:rPr>
                    <w:rFonts w:hint="eastAsia"/>
                    <w:szCs w:val="21"/>
                  </w:rPr>
                  <w:t>项目</w:t>
                </w:r>
              </w:p>
            </w:sdtContent>
          </w:sdt>
        </w:tc>
        <w:tc>
          <w:tcPr>
            <w:tcW w:w="2890" w:type="dxa"/>
            <w:vAlign w:val="center"/>
          </w:tcPr>
          <w:sdt>
            <w:sdtPr>
              <w:tag w:val="_PLD_8d81c1822e774f6081deb29ea5466dc8"/>
              <w:id w:val="6832"/>
            </w:sdtPr>
            <w:sdtContent>
              <w:p>
                <w:pPr>
                  <w:autoSpaceDE w:val="0"/>
                  <w:autoSpaceDN w:val="0"/>
                  <w:adjustRightInd w:val="0"/>
                  <w:snapToGrid w:val="0"/>
                  <w:spacing w:line="240" w:lineRule="atLeast"/>
                  <w:jc w:val="center"/>
                  <w:rPr>
                    <w:szCs w:val="21"/>
                  </w:rPr>
                </w:pPr>
                <w:r>
                  <w:rPr>
                    <w:rFonts w:hint="eastAsia"/>
                    <w:szCs w:val="21"/>
                  </w:rPr>
                  <w:t>期末余额</w:t>
                </w:r>
              </w:p>
            </w:sdtContent>
          </w:sdt>
        </w:tc>
        <w:tc>
          <w:tcPr>
            <w:tcW w:w="2899" w:type="dxa"/>
            <w:vAlign w:val="center"/>
          </w:tcPr>
          <w:sdt>
            <w:sdtPr>
              <w:tag w:val="_PLD_c1ad8d0386f942b4b74733e3287ad275"/>
              <w:id w:val="6833"/>
            </w:sdtPr>
            <w:sdtContent>
              <w:p>
                <w:pPr>
                  <w:autoSpaceDE w:val="0"/>
                  <w:autoSpaceDN w:val="0"/>
                  <w:adjustRightInd w:val="0"/>
                  <w:snapToGrid w:val="0"/>
                  <w:spacing w:line="240" w:lineRule="atLeast"/>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7" w:type="dxa"/>
            <w:vAlign w:val="center"/>
          </w:tcPr>
          <w:p>
            <w:pPr>
              <w:autoSpaceDE w:val="0"/>
              <w:autoSpaceDN w:val="0"/>
              <w:adjustRightInd w:val="0"/>
              <w:rPr>
                <w:szCs w:val="21"/>
              </w:rPr>
            </w:pPr>
            <w:r>
              <w:rPr>
                <w:rFonts w:hint="eastAsia"/>
                <w:color w:val="auto"/>
              </w:rPr>
              <w:t>以公允价值计量且其变动计入其他综合收益的应收票据</w:t>
            </w:r>
          </w:p>
        </w:tc>
        <w:tc>
          <w:tcPr>
            <w:tcW w:w="2890" w:type="dxa"/>
            <w:vAlign w:val="center"/>
          </w:tcPr>
          <w:p>
            <w:pPr>
              <w:jc w:val="right"/>
              <w:rPr>
                <w:szCs w:val="21"/>
              </w:rPr>
            </w:pPr>
            <w:r>
              <w:rPr>
                <w:rFonts w:hint="eastAsia"/>
                <w:color w:val="auto"/>
              </w:rPr>
              <w:t>10,479,155.61</w:t>
            </w:r>
          </w:p>
        </w:tc>
        <w:tc>
          <w:tcPr>
            <w:tcW w:w="2899" w:type="dxa"/>
            <w:vAlign w:val="center"/>
          </w:tcPr>
          <w:p>
            <w:pPr>
              <w:jc w:val="right"/>
              <w:rPr>
                <w:szCs w:val="21"/>
              </w:rPr>
            </w:pPr>
            <w:r>
              <w:rPr>
                <w:rFonts w:hint="eastAsia"/>
                <w:color w:val="auto"/>
              </w:rPr>
              <w:t>18,188,699.66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37" w:type="dxa"/>
            <w:vAlign w:val="center"/>
          </w:tcPr>
          <w:p>
            <w:pPr>
              <w:jc w:val="center"/>
              <w:rPr>
                <w:szCs w:val="21"/>
              </w:rPr>
            </w:pPr>
            <w:r>
              <w:rPr>
                <w:rFonts w:hint="eastAsia"/>
                <w:szCs w:val="21"/>
              </w:rPr>
              <w:t>合计</w:t>
            </w:r>
          </w:p>
        </w:tc>
        <w:tc>
          <w:tcPr>
            <w:tcW w:w="2890" w:type="dxa"/>
            <w:vAlign w:val="center"/>
          </w:tcPr>
          <w:p>
            <w:pPr>
              <w:jc w:val="right"/>
              <w:rPr>
                <w:szCs w:val="21"/>
              </w:rPr>
            </w:pPr>
            <w:r>
              <w:rPr>
                <w:rFonts w:hint="eastAsia"/>
                <w:color w:val="auto"/>
              </w:rPr>
              <w:t>10,479,155.61</w:t>
            </w:r>
          </w:p>
        </w:tc>
        <w:tc>
          <w:tcPr>
            <w:tcW w:w="2899" w:type="dxa"/>
            <w:vAlign w:val="center"/>
          </w:tcPr>
          <w:p>
            <w:pPr>
              <w:jc w:val="right"/>
              <w:rPr>
                <w:szCs w:val="21"/>
              </w:rPr>
            </w:pPr>
            <w:r>
              <w:rPr>
                <w:rFonts w:hint="eastAsia"/>
                <w:color w:val="auto"/>
              </w:rPr>
              <w:t>18,188,699.66</w:t>
            </w:r>
          </w:p>
        </w:tc>
      </w:tr>
    </w:tbl>
    <w:p/>
    <w:p>
      <w:pPr>
        <w:pStyle w:val="5"/>
        <w:numPr>
          <w:ilvl w:val="0"/>
          <w:numId w:val="66"/>
        </w:numPr>
        <w:rPr>
          <w:rFonts w:hint="eastAsia"/>
        </w:rPr>
      </w:pPr>
      <w:r>
        <w:t>期末公司已</w:t>
      </w:r>
      <w:r>
        <w:rPr>
          <w:rFonts w:hint="eastAsia"/>
        </w:rPr>
        <w:t>质押</w:t>
      </w:r>
      <w:r>
        <w:t>的应收款项融资</w:t>
      </w:r>
    </w:p>
    <w:sdt>
      <w:sdtPr>
        <w:alias w:val="是否适用：期末公司已质押的应收款项融资[双击切换]"/>
        <w:tag w:val="_GBC_31b898cd43844d68932063bb1e6347a8"/>
        <w:id w:val="6834"/>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pStyle w:val="5"/>
        <w:numPr>
          <w:ilvl w:val="0"/>
          <w:numId w:val="66"/>
        </w:numPr>
        <w:rPr>
          <w:rFonts w:hint="eastAsia"/>
        </w:rPr>
      </w:pPr>
      <w:r>
        <w:rPr>
          <w:rFonts w:hint="eastAsia"/>
        </w:rPr>
        <w:t>期末公司已背书或贴现且在资产负债表日尚未到期的应收款项融资</w:t>
      </w:r>
    </w:p>
    <w:sdt>
      <w:sdtPr>
        <w:alias w:val="是否适用：期末公司已背书或贴现且在资产负债表日尚未到期的应收款项融资[双击切换]"/>
        <w:tag w:val="_GBC_6aad06646df44df888f953be7f5703c6"/>
        <w:id w:val="6835"/>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pStyle w:val="5"/>
        <w:numPr>
          <w:ilvl w:val="0"/>
          <w:numId w:val="66"/>
        </w:numPr>
        <w:rPr>
          <w:rFonts w:hint="eastAsia"/>
        </w:rPr>
      </w:pPr>
      <w:r>
        <w:rPr>
          <w:rFonts w:hint="eastAsia"/>
        </w:rPr>
        <w:t>按</w:t>
      </w:r>
      <w:r>
        <w:t>坏账计提方法分类披露</w:t>
      </w:r>
    </w:p>
    <w:sdt>
      <w:sdtPr>
        <w:alias w:val="是否适用：按坏账计提方法分类披露[双击切换]"/>
        <w:tag w:val="_GBC_bb62f97adc6849f2b3d956a701e7fa7d"/>
        <w:id w:val="6836"/>
        <w:placeholder>
          <w:docPart w:val="GBC22222222222222222222222222222"/>
        </w:placeholder>
      </w:sdtPr>
      <w:sdtContent>
        <w:p>
          <w:pPr>
            <w:keepNext w:val="0"/>
            <w:keepLines w:val="0"/>
            <w:pageBreakBefore w:val="0"/>
            <w:kinsoku/>
            <w:wordWrap/>
            <w:overflowPunct/>
            <w:topLinePunct w:val="0"/>
            <w:bidi w:val="0"/>
            <w:snapToGrid/>
            <w:spacing w:line="400" w:lineRule="exact"/>
            <w:textAlignment w:val="auto"/>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keepNext w:val="0"/>
        <w:keepLines w:val="0"/>
        <w:pageBreakBefore w:val="0"/>
        <w:kinsoku/>
        <w:wordWrap/>
        <w:overflowPunct/>
        <w:topLinePunct w:val="0"/>
        <w:bidi w:val="0"/>
        <w:snapToGrid/>
        <w:spacing w:line="400" w:lineRule="exact"/>
        <w:textAlignment w:val="auto"/>
      </w:pPr>
    </w:p>
    <w:p>
      <w:pPr>
        <w:keepNext w:val="0"/>
        <w:keepLines w:val="0"/>
        <w:pageBreakBefore w:val="0"/>
        <w:kinsoku/>
        <w:wordWrap/>
        <w:overflowPunct/>
        <w:topLinePunct w:val="0"/>
        <w:bidi w:val="0"/>
        <w:snapToGrid/>
        <w:spacing w:line="400" w:lineRule="exact"/>
        <w:textAlignment w:val="auto"/>
      </w:pPr>
      <w:r>
        <w:rPr>
          <w:rFonts w:hint="eastAsia"/>
        </w:rPr>
        <w:t>按单项计提坏账准备：</w:t>
      </w:r>
    </w:p>
    <w:sdt>
      <w:sdtPr>
        <w:alias w:val="是否适用：按单项计提坏账准备的详细情况[双击切换]"/>
        <w:tag w:val="_GBC_65f67a26c8854813ab351f644b5cb549"/>
        <w:id w:val="6837"/>
        <w:placeholder>
          <w:docPart w:val="GBC22222222222222222222222222222"/>
        </w:placeholder>
      </w:sdtPr>
      <w:sdtContent>
        <w:p>
          <w:pPr>
            <w:keepNext w:val="0"/>
            <w:keepLines w:val="0"/>
            <w:pageBreakBefore w:val="0"/>
            <w:kinsoku/>
            <w:wordWrap/>
            <w:overflowPunct/>
            <w:topLinePunct w:val="0"/>
            <w:bidi w:val="0"/>
            <w:snapToGrid/>
            <w:spacing w:line="400" w:lineRule="exact"/>
            <w:textAlignment w:val="auto"/>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keepNext w:val="0"/>
        <w:keepLines w:val="0"/>
        <w:pageBreakBefore w:val="0"/>
        <w:kinsoku/>
        <w:wordWrap/>
        <w:overflowPunct/>
        <w:topLinePunct w:val="0"/>
        <w:bidi w:val="0"/>
        <w:snapToGrid/>
        <w:spacing w:line="400" w:lineRule="exact"/>
        <w:textAlignment w:val="auto"/>
        <w:rPr>
          <w:szCs w:val="21"/>
        </w:rPr>
      </w:pPr>
      <w:r>
        <w:rPr>
          <w:rFonts w:hint="eastAsia"/>
          <w:szCs w:val="21"/>
        </w:rPr>
        <w:t>按单项计提坏账准备的说明：</w:t>
      </w:r>
    </w:p>
    <w:sdt>
      <w:sdtPr>
        <w:rPr>
          <w:szCs w:val="21"/>
        </w:rPr>
        <w:alias w:val="是否适用：按单项计提坏账准备的说明[双击切换]"/>
        <w:tag w:val="_GBC_d2e6ec1c09f24f3f8d01b46d2d307db0"/>
        <w:id w:val="6838"/>
        <w:placeholder>
          <w:docPart w:val="GBC22222222222222222222222222222"/>
        </w:placeholder>
      </w:sdtPr>
      <w:sdtEndPr>
        <w:rPr>
          <w:szCs w:val="21"/>
        </w:rPr>
      </w:sdtEndPr>
      <w:sdtContent>
        <w:p>
          <w:pPr>
            <w:keepNext w:val="0"/>
            <w:keepLines w:val="0"/>
            <w:pageBreakBefore w:val="0"/>
            <w:kinsoku/>
            <w:wordWrap/>
            <w:overflowPunct/>
            <w:topLinePunct w:val="0"/>
            <w:bidi w:val="0"/>
            <w:snapToGrid/>
            <w:spacing w:line="400" w:lineRule="exact"/>
            <w:textAlignment w:val="auto"/>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keepNext w:val="0"/>
        <w:keepLines w:val="0"/>
        <w:pageBreakBefore w:val="0"/>
        <w:kinsoku/>
        <w:wordWrap/>
        <w:overflowPunct/>
        <w:topLinePunct w:val="0"/>
        <w:bidi w:val="0"/>
        <w:snapToGrid/>
        <w:spacing w:line="400" w:lineRule="exact"/>
        <w:textAlignment w:val="auto"/>
        <w:rPr>
          <w:szCs w:val="21"/>
        </w:rPr>
      </w:pPr>
    </w:p>
    <w:p>
      <w:pPr>
        <w:keepNext w:val="0"/>
        <w:keepLines w:val="0"/>
        <w:pageBreakBefore w:val="0"/>
        <w:kinsoku/>
        <w:wordWrap/>
        <w:overflowPunct/>
        <w:topLinePunct w:val="0"/>
        <w:bidi w:val="0"/>
        <w:snapToGrid/>
        <w:spacing w:line="400" w:lineRule="exact"/>
        <w:textAlignment w:val="auto"/>
        <w:rPr>
          <w:rFonts w:ascii="Calibri" w:hAnsi="Calibri"/>
          <w:bCs/>
          <w:szCs w:val="22"/>
        </w:rPr>
      </w:pPr>
      <w:r>
        <w:rPr>
          <w:rFonts w:hint="eastAsia" w:ascii="Calibri" w:hAnsi="Calibri"/>
          <w:bCs/>
          <w:szCs w:val="22"/>
        </w:rPr>
        <w:t>按组合计提坏账准备：</w:t>
      </w:r>
    </w:p>
    <w:sdt>
      <w:sdtPr>
        <w:rPr>
          <w:rFonts w:ascii="Calibri" w:hAnsi="Calibri"/>
          <w:bCs/>
          <w:szCs w:val="22"/>
        </w:rPr>
        <w:alias w:val="是否适用：按组合计提坏账准备的详细情况[双击切换]"/>
        <w:tag w:val="_GBC_8f072c0ad15941d789bf25455711e72b"/>
        <w:id w:val="6839"/>
        <w:placeholder>
          <w:docPart w:val="GBC22222222222222222222222222222"/>
        </w:placeholder>
      </w:sdtPr>
      <w:sdtEndPr>
        <w:rPr>
          <w:rFonts w:ascii="Calibri" w:hAnsi="Calibri"/>
          <w:bCs/>
          <w:szCs w:val="22"/>
        </w:rPr>
      </w:sdtEndPr>
      <w:sdtContent>
        <w:p>
          <w:pPr>
            <w:keepNext w:val="0"/>
            <w:keepLines w:val="0"/>
            <w:pageBreakBefore w:val="0"/>
            <w:kinsoku/>
            <w:wordWrap/>
            <w:overflowPunct/>
            <w:topLinePunct w:val="0"/>
            <w:bidi w:val="0"/>
            <w:snapToGrid/>
            <w:spacing w:line="400" w:lineRule="exact"/>
            <w:textAlignment w:val="auto"/>
            <w:rPr>
              <w:rFonts w:ascii="Calibri" w:hAnsi="Calibri"/>
              <w:bCs/>
              <w:szCs w:val="22"/>
            </w:rPr>
          </w:pPr>
          <w:r>
            <w:rPr>
              <w:rFonts w:ascii="宋体" w:hAnsi="宋体"/>
              <w:bCs/>
              <w:szCs w:val="22"/>
            </w:rPr>
            <w:fldChar w:fldCharType="begin"/>
          </w:r>
          <w:r>
            <w:rPr>
              <w:rFonts w:ascii="宋体" w:hAnsi="宋体"/>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Pr>
              <w:rFonts w:ascii="宋体" w:hAnsi="宋体"/>
              <w:bCs/>
              <w:szCs w:val="22"/>
            </w:rPr>
            <w:instrText xml:space="preserve"> MACROBUTTON  SnrToggleCheckbox √不适用 </w:instrText>
          </w:r>
          <w:r>
            <w:rPr>
              <w:rFonts w:ascii="宋体" w:hAnsi="宋体"/>
              <w:bCs/>
              <w:szCs w:val="22"/>
            </w:rPr>
            <w:fldChar w:fldCharType="end"/>
          </w:r>
        </w:p>
      </w:sdtContent>
    </w:sdt>
    <w:p>
      <w:pPr>
        <w:keepNext w:val="0"/>
        <w:keepLines w:val="0"/>
        <w:pageBreakBefore w:val="0"/>
        <w:kinsoku/>
        <w:wordWrap/>
        <w:overflowPunct/>
        <w:topLinePunct w:val="0"/>
        <w:bidi w:val="0"/>
        <w:snapToGrid/>
        <w:spacing w:line="400" w:lineRule="exact"/>
        <w:textAlignment w:val="auto"/>
        <w:rPr>
          <w:rFonts w:cstheme="minorBidi"/>
          <w:bCs/>
          <w:szCs w:val="22"/>
        </w:rPr>
      </w:pPr>
      <w:bookmarkStart w:id="242" w:name="_Hlk154134692"/>
      <w:bookmarkStart w:id="243" w:name="_Hlk153372713"/>
      <w:r>
        <w:rPr>
          <w:rFonts w:hint="eastAsia" w:cstheme="minorBidi"/>
          <w:bCs/>
          <w:szCs w:val="22"/>
        </w:rPr>
        <w:t>按预期信用损失一般模型计提坏账准备</w:t>
      </w:r>
    </w:p>
    <w:sdt>
      <w:sdtPr>
        <w:rPr>
          <w:rFonts w:cstheme="minorBidi"/>
          <w:bCs/>
          <w:szCs w:val="22"/>
        </w:rPr>
        <w:alias w:val="是否适用：按预期信用损失一般模型计提坏账准备[双击切换]"/>
        <w:tag w:val="_GBC_711e992fa6a34dd7aa5a5725743204fa"/>
        <w:id w:val="6840"/>
        <w:placeholder>
          <w:docPart w:val="GBC22222222222222222222222222222"/>
        </w:placeholder>
      </w:sdtPr>
      <w:sdtEndPr>
        <w:rPr>
          <w:rFonts w:cstheme="minorBidi"/>
          <w:bCs/>
          <w:szCs w:val="22"/>
        </w:rPr>
      </w:sdtEndPr>
      <w:sdtContent>
        <w:p>
          <w:pPr>
            <w:keepNext w:val="0"/>
            <w:keepLines w:val="0"/>
            <w:pageBreakBefore w:val="0"/>
            <w:kinsoku/>
            <w:wordWrap/>
            <w:overflowPunct/>
            <w:topLinePunct w:val="0"/>
            <w:bidi w:val="0"/>
            <w:snapToGrid/>
            <w:spacing w:line="400" w:lineRule="exact"/>
            <w:textAlignment w:val="auto"/>
            <w:rPr>
              <w:rFonts w:cstheme="minorBidi"/>
              <w:bCs/>
              <w:szCs w:val="22"/>
            </w:rPr>
          </w:pPr>
          <w:r>
            <w:rPr>
              <w:rFonts w:ascii="宋体" w:hAnsi="宋体" w:cstheme="minorBidi"/>
              <w:bCs/>
              <w:szCs w:val="22"/>
            </w:rPr>
            <w:fldChar w:fldCharType="begin"/>
          </w:r>
          <w:r>
            <w:rPr>
              <w:rFonts w:ascii="宋体" w:hAnsi="宋体" w:cstheme="minorBidi"/>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Pr>
              <w:rFonts w:ascii="宋体" w:hAnsi="宋体" w:cstheme="minorBidi"/>
              <w:bCs/>
              <w:szCs w:val="22"/>
            </w:rPr>
            <w:instrText xml:space="preserve"> MACROBUTTON  SnrToggleCheckbox √不适用 </w:instrText>
          </w:r>
          <w:r>
            <w:rPr>
              <w:rFonts w:ascii="宋体" w:hAnsi="宋体" w:cstheme="minorBidi"/>
              <w:bCs/>
              <w:szCs w:val="22"/>
            </w:rPr>
            <w:fldChar w:fldCharType="end"/>
          </w:r>
        </w:p>
      </w:sdtContent>
    </w:sdt>
    <w:p>
      <w:pPr>
        <w:keepNext w:val="0"/>
        <w:keepLines w:val="0"/>
        <w:pageBreakBefore w:val="0"/>
        <w:kinsoku/>
        <w:wordWrap/>
        <w:overflowPunct/>
        <w:topLinePunct w:val="0"/>
        <w:autoSpaceDE w:val="0"/>
        <w:autoSpaceDN w:val="0"/>
        <w:bidi w:val="0"/>
        <w:adjustRightInd w:val="0"/>
        <w:snapToGrid/>
        <w:spacing w:line="400" w:lineRule="exact"/>
        <w:ind w:right="105" w:rightChars="50"/>
        <w:textAlignment w:val="auto"/>
        <w:rPr>
          <w:szCs w:val="21"/>
        </w:rPr>
      </w:pPr>
    </w:p>
    <w:p>
      <w:pPr>
        <w:keepNext w:val="0"/>
        <w:keepLines w:val="0"/>
        <w:pageBreakBefore w:val="0"/>
        <w:kinsoku/>
        <w:wordWrap/>
        <w:overflowPunct/>
        <w:topLinePunct w:val="0"/>
        <w:autoSpaceDE w:val="0"/>
        <w:autoSpaceDN w:val="0"/>
        <w:bidi w:val="0"/>
        <w:adjustRightInd w:val="0"/>
        <w:snapToGrid/>
        <w:spacing w:line="400" w:lineRule="exact"/>
        <w:ind w:right="105" w:rightChars="50"/>
        <w:textAlignment w:val="auto"/>
        <w:rPr>
          <w:szCs w:val="21"/>
        </w:rPr>
      </w:pPr>
      <w:r>
        <w:rPr>
          <w:rFonts w:hint="eastAsia"/>
          <w:szCs w:val="21"/>
        </w:rPr>
        <w:t>各阶段划分依据和坏账准备计提比例</w:t>
      </w:r>
    </w:p>
    <w:sdt>
      <w:sdtPr>
        <w:rPr>
          <w:bCs/>
          <w:szCs w:val="22"/>
        </w:rPr>
        <w:alias w:val="各阶段划分依据和坏账准备计提比例"/>
        <w:tag w:val="_GBC_2bf6f4d4451c46a9a45370b7317253a2"/>
        <w:id w:val="6841"/>
        <w:placeholder>
          <w:docPart w:val="GBC22222222222222222222222222222"/>
        </w:placeholder>
      </w:sdtPr>
      <w:sdtEndPr>
        <w:rPr>
          <w:bCs/>
          <w:szCs w:val="22"/>
        </w:rPr>
      </w:sdtEndPr>
      <w:sdtContent>
        <w:p>
          <w:pPr>
            <w:keepNext w:val="0"/>
            <w:keepLines w:val="0"/>
            <w:pageBreakBefore w:val="0"/>
            <w:kinsoku/>
            <w:wordWrap/>
            <w:overflowPunct/>
            <w:topLinePunct w:val="0"/>
            <w:bidi w:val="0"/>
            <w:snapToGrid/>
            <w:spacing w:line="400" w:lineRule="exact"/>
            <w:textAlignment w:val="auto"/>
            <w:rPr>
              <w:bCs/>
              <w:szCs w:val="22"/>
            </w:rPr>
          </w:pPr>
          <w:r>
            <w:rPr>
              <w:rFonts w:hint="eastAsia"/>
              <w:bCs/>
              <w:szCs w:val="22"/>
            </w:rPr>
            <w:t>无</w:t>
          </w:r>
        </w:p>
      </w:sdtContent>
    </w:sdt>
    <w:p>
      <w:pPr>
        <w:keepNext w:val="0"/>
        <w:keepLines w:val="0"/>
        <w:pageBreakBefore w:val="0"/>
        <w:kinsoku/>
        <w:wordWrap/>
        <w:overflowPunct/>
        <w:topLinePunct w:val="0"/>
        <w:bidi w:val="0"/>
        <w:snapToGrid/>
        <w:spacing w:line="400" w:lineRule="exact"/>
        <w:textAlignment w:val="auto"/>
        <w:rPr>
          <w:rFonts w:asciiTheme="minorHAnsi" w:hAnsiTheme="minorHAnsi" w:cstheme="minorBidi"/>
          <w:b/>
          <w:bCs/>
          <w:szCs w:val="22"/>
        </w:rPr>
      </w:pPr>
    </w:p>
    <w:p>
      <w:pPr>
        <w:pStyle w:val="73"/>
        <w:keepNext w:val="0"/>
        <w:keepLines w:val="0"/>
        <w:pageBreakBefore w:val="0"/>
        <w:kinsoku/>
        <w:wordWrap/>
        <w:overflowPunct/>
        <w:topLinePunct w:val="0"/>
        <w:bidi w:val="0"/>
        <w:snapToGrid/>
        <w:spacing w:line="400" w:lineRule="exact"/>
        <w:textAlignment w:val="auto"/>
      </w:pPr>
      <w:r>
        <w:rPr>
          <w:rFonts w:hint="eastAsia"/>
        </w:rPr>
        <w:t>对本期发生损失准备变动的应收款项融资账面余额显著变动的情况说明：</w:t>
      </w:r>
    </w:p>
    <w:sdt>
      <w:sdtPr>
        <w:rPr>
          <w:szCs w:val="21"/>
        </w:rPr>
        <w:alias w:val="是否适用：对本期发生损失准备变动的账面余额显著变动的情况说明[双击切换]"/>
        <w:tag w:val="_GBC_14de6d8177254b0abb86a102aa2886f9"/>
        <w:id w:val="6842"/>
        <w:placeholder>
          <w:docPart w:val="GBC22222222222222222222222222222"/>
        </w:placeholder>
      </w:sdtPr>
      <w:sdtEndPr>
        <w:rPr>
          <w:szCs w:val="21"/>
        </w:rPr>
      </w:sdtEndPr>
      <w:sdtContent>
        <w:p>
          <w:pPr>
            <w:keepNext w:val="0"/>
            <w:keepLines w:val="0"/>
            <w:pageBreakBefore w:val="0"/>
            <w:kinsoku/>
            <w:wordWrap/>
            <w:overflowPunct/>
            <w:topLinePunct w:val="0"/>
            <w:autoSpaceDE w:val="0"/>
            <w:autoSpaceDN w:val="0"/>
            <w:bidi w:val="0"/>
            <w:adjustRightInd w:val="0"/>
            <w:snapToGrid/>
            <w:spacing w:line="400" w:lineRule="exact"/>
            <w:ind w:right="105" w:rightChars="50"/>
            <w:textAlignment w:val="auto"/>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rFonts w:asciiTheme="minorHAnsi" w:hAnsiTheme="minorHAnsi" w:cstheme="minorBidi"/>
          <w:b/>
          <w:bCs/>
          <w:szCs w:val="22"/>
        </w:rPr>
      </w:pPr>
    </w:p>
    <w:bookmarkEnd w:id="242"/>
    <w:bookmarkEnd w:id="243"/>
    <w:p>
      <w:pPr>
        <w:pStyle w:val="5"/>
        <w:numPr>
          <w:ilvl w:val="0"/>
          <w:numId w:val="66"/>
        </w:numPr>
        <w:rPr>
          <w:rFonts w:hint="eastAsia"/>
        </w:rPr>
      </w:pPr>
      <w:r>
        <w:rPr>
          <w:rFonts w:hint="eastAsia"/>
        </w:rPr>
        <w:t>坏账准备的情况</w:t>
      </w:r>
    </w:p>
    <w:sdt>
      <w:sdtPr>
        <w:alias w:val="是否适用：坏账准备情况[双击切换]"/>
        <w:tag w:val="_GBC_9eb14f08b86f4a7096cd60413baf3092"/>
        <w:id w:val="6843"/>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keepNext w:val="0"/>
        <w:keepLines w:val="0"/>
        <w:pageBreakBefore w:val="0"/>
        <w:kinsoku/>
        <w:wordWrap/>
        <w:overflowPunct/>
        <w:topLinePunct w:val="0"/>
        <w:bidi w:val="0"/>
        <w:snapToGrid/>
        <w:spacing w:line="400" w:lineRule="exact"/>
        <w:textAlignment w:val="auto"/>
      </w:pPr>
    </w:p>
    <w:p>
      <w:pPr>
        <w:keepNext w:val="0"/>
        <w:keepLines w:val="0"/>
        <w:pageBreakBefore w:val="0"/>
        <w:kinsoku/>
        <w:wordWrap/>
        <w:overflowPunct/>
        <w:topLinePunct w:val="0"/>
        <w:bidi w:val="0"/>
        <w:snapToGrid/>
        <w:spacing w:line="400" w:lineRule="exact"/>
        <w:textAlignment w:val="auto"/>
        <w:rPr>
          <w:rFonts w:ascii="宋体" w:hAnsi="宋体"/>
        </w:rPr>
      </w:pPr>
      <w:r>
        <w:rPr>
          <w:rFonts w:hint="eastAsia" w:ascii="宋体" w:hAnsi="宋体"/>
        </w:rPr>
        <w:t>其中本期坏账准备收回或转回金额重要的：</w:t>
      </w:r>
    </w:p>
    <w:sdt>
      <w:sdtPr>
        <w:rPr>
          <w:rFonts w:ascii="宋体" w:hAnsi="宋体"/>
        </w:rPr>
        <w:alias w:val="是否适用：本期坏账准备收回或转回金额重要的[双击切换]"/>
        <w:tag w:val="_GBC_2b51db20288a43b39962432da30280fe"/>
        <w:id w:val="6844"/>
        <w:placeholder>
          <w:docPart w:val="GBC22222222222222222222222222222"/>
        </w:placeholder>
      </w:sdtPr>
      <w:sdtEndPr>
        <w:rPr>
          <w:rFonts w:ascii="宋体" w:hAnsi="宋体"/>
        </w:rPr>
      </w:sdtEndPr>
      <w:sdtContent>
        <w:p>
          <w:pPr>
            <w:keepNext w:val="0"/>
            <w:keepLines w:val="0"/>
            <w:pageBreakBefore w:val="0"/>
            <w:kinsoku/>
            <w:wordWrap/>
            <w:overflowPunct/>
            <w:topLinePunct w:val="0"/>
            <w:bidi w:val="0"/>
            <w:snapToGrid/>
            <w:spacing w:line="400" w:lineRule="exact"/>
            <w:textAlignment w:val="auto"/>
            <w:rPr>
              <w:rFonts w:ascii="宋体" w:hAnsi="宋体"/>
            </w:rPr>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keepNext w:val="0"/>
        <w:keepLines w:val="0"/>
        <w:pageBreakBefore w:val="0"/>
        <w:kinsoku/>
        <w:wordWrap/>
        <w:overflowPunct/>
        <w:topLinePunct w:val="0"/>
        <w:bidi w:val="0"/>
        <w:snapToGrid/>
        <w:spacing w:line="400" w:lineRule="exact"/>
        <w:textAlignment w:val="auto"/>
        <w:rPr>
          <w:rFonts w:ascii="宋体" w:hAnsi="宋体"/>
        </w:rPr>
      </w:pPr>
      <w:r>
        <w:rPr>
          <w:rFonts w:hint="eastAsia" w:ascii="宋体" w:hAnsi="宋体"/>
        </w:rPr>
        <w:t>其他说明：</w:t>
      </w:r>
    </w:p>
    <w:sdt>
      <w:sdtPr>
        <w:alias w:val="坏账准备情况的说明"/>
        <w:tag w:val="_GBC_e8b4225586244ec9b8d5ae0de000f4e4"/>
        <w:id w:val="6845"/>
        <w:placeholder>
          <w:docPart w:val="GBC22222222222222222222222222222"/>
        </w:placeholder>
      </w:sdtPr>
      <w:sdtContent>
        <w:p>
          <w:pPr>
            <w:keepNext w:val="0"/>
            <w:keepLines w:val="0"/>
            <w:pageBreakBefore w:val="0"/>
            <w:kinsoku/>
            <w:wordWrap/>
            <w:overflowPunct/>
            <w:topLinePunct w:val="0"/>
            <w:bidi w:val="0"/>
            <w:snapToGrid/>
            <w:spacing w:line="400" w:lineRule="exact"/>
            <w:textAlignment w:val="auto"/>
          </w:pPr>
          <w:r>
            <w:t>无</w:t>
          </w:r>
        </w:p>
      </w:sdtContent>
    </w:sdt>
    <w:p>
      <w:pPr>
        <w:ind w:right="-1594" w:rightChars="-759"/>
      </w:pPr>
    </w:p>
    <w:p>
      <w:pPr>
        <w:pStyle w:val="5"/>
        <w:numPr>
          <w:ilvl w:val="0"/>
          <w:numId w:val="66"/>
        </w:numPr>
        <w:rPr>
          <w:rFonts w:hint="eastAsia"/>
        </w:rPr>
      </w:pPr>
      <w:r>
        <w:t>本期实际核销的应收款项融资情况</w:t>
      </w:r>
    </w:p>
    <w:sdt>
      <w:sdtPr>
        <w:alias w:val="是否适用：实际核销的情况[双击切换]"/>
        <w:tag w:val="_GBC_4075b47847034ec5b4b4aeeb85217687"/>
        <w:id w:val="6846"/>
        <w:placeholder>
          <w:docPart w:val="GBC22222222222222222222222222222"/>
        </w:placeholder>
      </w:sdtPr>
      <w:sdtEndPr>
        <w:rPr>
          <w:rFonts w:hint="eastAsia" w:ascii="宋体" w:hAnsi="宋体"/>
        </w:rPr>
      </w:sdtEndPr>
      <w:sdtContent>
        <w:p>
          <w:pPr>
            <w:keepNext w:val="0"/>
            <w:keepLines w:val="0"/>
            <w:pageBreakBefore w:val="0"/>
            <w:kinsoku/>
            <w:wordWrap/>
            <w:overflowPunct/>
            <w:topLinePunct w:val="0"/>
            <w:bidi w:val="0"/>
            <w:snapToGrid/>
            <w:spacing w:line="400" w:lineRule="exact"/>
            <w:textAlignment w:val="auto"/>
            <w:rPr>
              <w:rFonts w:hint="eastAsia" w:ascii="宋体" w:hAnsi="宋体"/>
            </w:rPr>
          </w:pPr>
          <w:r>
            <w:rPr>
              <w:rFonts w:hint="eastAsia" w:ascii="宋体" w:hAnsi="宋体"/>
            </w:rPr>
            <w:fldChar w:fldCharType="begin"/>
          </w:r>
          <w:r>
            <w:rPr>
              <w:rFonts w:hint="eastAsia" w:ascii="宋体" w:hAnsi="宋体"/>
            </w:rPr>
            <w:instrText xml:space="preserve"> MACROBUTTON  SnrToggleCheckbox □适用 </w:instrText>
          </w:r>
          <w:r>
            <w:rPr>
              <w:rFonts w:hint="eastAsia" w:ascii="宋体" w:hAnsi="宋体"/>
            </w:rPr>
            <w:fldChar w:fldCharType="end"/>
          </w:r>
          <w:r>
            <w:rPr>
              <w:rFonts w:hint="eastAsia" w:ascii="宋体" w:hAnsi="宋体"/>
            </w:rPr>
            <w:fldChar w:fldCharType="begin"/>
          </w:r>
          <w:r>
            <w:rPr>
              <w:rFonts w:hint="eastAsia" w:ascii="宋体" w:hAnsi="宋体"/>
            </w:rPr>
            <w:instrText xml:space="preserve"> MACROBUTTON  SnrToggleCheckbox √不适用 </w:instrText>
          </w:r>
          <w:r>
            <w:rPr>
              <w:rFonts w:hint="eastAsia" w:ascii="宋体" w:hAnsi="宋体"/>
            </w:rPr>
            <w:fldChar w:fldCharType="end"/>
          </w:r>
        </w:p>
      </w:sdtContent>
    </w:sdt>
    <w:p>
      <w:pPr>
        <w:keepNext w:val="0"/>
        <w:keepLines w:val="0"/>
        <w:pageBreakBefore w:val="0"/>
        <w:kinsoku/>
        <w:wordWrap/>
        <w:overflowPunct/>
        <w:topLinePunct w:val="0"/>
        <w:bidi w:val="0"/>
        <w:snapToGrid/>
        <w:spacing w:line="400" w:lineRule="exact"/>
        <w:textAlignment w:val="auto"/>
        <w:rPr>
          <w:rFonts w:hint="eastAsia" w:ascii="宋体" w:hAnsi="宋体"/>
        </w:rPr>
      </w:pPr>
    </w:p>
    <w:p>
      <w:pPr>
        <w:keepNext w:val="0"/>
        <w:keepLines w:val="0"/>
        <w:pageBreakBefore w:val="0"/>
        <w:kinsoku/>
        <w:wordWrap/>
        <w:overflowPunct/>
        <w:topLinePunct w:val="0"/>
        <w:bidi w:val="0"/>
        <w:snapToGrid/>
        <w:spacing w:line="400" w:lineRule="exact"/>
        <w:textAlignment w:val="auto"/>
        <w:rPr>
          <w:rFonts w:hint="eastAsia" w:ascii="宋体" w:hAnsi="宋体"/>
        </w:rPr>
      </w:pPr>
      <w:r>
        <w:rPr>
          <w:rFonts w:hint="eastAsia" w:ascii="宋体" w:hAnsi="宋体"/>
        </w:rPr>
        <w:t>其中重要的应收款项融资核销情况</w:t>
      </w:r>
    </w:p>
    <w:sdt>
      <w:sdtPr>
        <w:rPr>
          <w:rFonts w:hint="eastAsia" w:ascii="宋体" w:hAnsi="宋体"/>
        </w:rPr>
        <w:alias w:val="是否适用：重要的核销情况[双击切换]"/>
        <w:tag w:val="_GBC_a1c05dd99dc343f883b67997da317840"/>
        <w:id w:val="6847"/>
        <w:placeholder>
          <w:docPart w:val="GBC22222222222222222222222222222"/>
        </w:placeholder>
      </w:sdtPr>
      <w:sdtEndPr>
        <w:rPr>
          <w:rFonts w:hint="eastAsia" w:ascii="宋体" w:hAnsi="宋体"/>
        </w:rPr>
      </w:sdtEndPr>
      <w:sdtContent>
        <w:p>
          <w:pPr>
            <w:keepNext w:val="0"/>
            <w:keepLines w:val="0"/>
            <w:pageBreakBefore w:val="0"/>
            <w:kinsoku/>
            <w:wordWrap/>
            <w:overflowPunct/>
            <w:topLinePunct w:val="0"/>
            <w:bidi w:val="0"/>
            <w:snapToGrid/>
            <w:spacing w:line="400" w:lineRule="exact"/>
            <w:textAlignment w:val="auto"/>
            <w:rPr>
              <w:rFonts w:hint="eastAsia" w:ascii="宋体" w:hAnsi="宋体"/>
            </w:rPr>
          </w:pPr>
          <w:r>
            <w:rPr>
              <w:rFonts w:hint="eastAsia" w:ascii="宋体" w:hAnsi="宋体"/>
            </w:rPr>
            <w:fldChar w:fldCharType="begin"/>
          </w:r>
          <w:r>
            <w:rPr>
              <w:rFonts w:hint="eastAsia" w:ascii="宋体" w:hAnsi="宋体"/>
            </w:rPr>
            <w:instrText xml:space="preserve"> MACROBUTTON  SnrToggleCheckbox □适用</w:instrText>
          </w:r>
          <w:r>
            <w:rPr>
              <w:rFonts w:hint="eastAsia" w:ascii="宋体" w:hAnsi="宋体"/>
            </w:rPr>
            <w:fldChar w:fldCharType="end"/>
          </w:r>
          <w:r>
            <w:rPr>
              <w:rFonts w:hint="eastAsia" w:ascii="宋体" w:hAnsi="宋体"/>
            </w:rPr>
            <w:fldChar w:fldCharType="begin"/>
          </w:r>
          <w:r>
            <w:rPr>
              <w:rFonts w:hint="eastAsia" w:ascii="宋体" w:hAnsi="宋体"/>
            </w:rPr>
            <w:instrText xml:space="preserve"> MACROBUTTON  SnrToggleCheckbox √不适用 </w:instrText>
          </w:r>
          <w:r>
            <w:rPr>
              <w:rFonts w:hint="eastAsia" w:ascii="宋体" w:hAnsi="宋体"/>
            </w:rPr>
            <w:fldChar w:fldCharType="end"/>
          </w:r>
        </w:p>
      </w:sdtContent>
    </w:sdt>
    <w:p>
      <w:pPr>
        <w:keepNext w:val="0"/>
        <w:keepLines w:val="0"/>
        <w:pageBreakBefore w:val="0"/>
        <w:kinsoku/>
        <w:wordWrap/>
        <w:overflowPunct/>
        <w:topLinePunct w:val="0"/>
        <w:bidi w:val="0"/>
        <w:snapToGrid/>
        <w:spacing w:line="400" w:lineRule="exact"/>
        <w:textAlignment w:val="auto"/>
        <w:rPr>
          <w:rFonts w:hint="eastAsia" w:ascii="宋体" w:hAnsi="宋体"/>
        </w:rPr>
      </w:pPr>
    </w:p>
    <w:p>
      <w:pPr>
        <w:keepNext w:val="0"/>
        <w:keepLines w:val="0"/>
        <w:pageBreakBefore w:val="0"/>
        <w:kinsoku/>
        <w:wordWrap/>
        <w:overflowPunct/>
        <w:topLinePunct w:val="0"/>
        <w:bidi w:val="0"/>
        <w:snapToGrid/>
        <w:spacing w:line="400" w:lineRule="exact"/>
        <w:textAlignment w:val="auto"/>
        <w:rPr>
          <w:rFonts w:hint="eastAsia" w:ascii="宋体" w:hAnsi="宋体"/>
        </w:rPr>
      </w:pPr>
      <w:r>
        <w:rPr>
          <w:rFonts w:hint="eastAsia" w:ascii="宋体" w:hAnsi="宋体"/>
        </w:rPr>
        <w:t>核销说明：</w:t>
      </w:r>
    </w:p>
    <w:sdt>
      <w:sdtPr>
        <w:rPr>
          <w:rFonts w:hint="eastAsia" w:ascii="宋体" w:hAnsi="宋体"/>
        </w:rPr>
        <w:alias w:val="是否适用：核销说明[双击切换]"/>
        <w:tag w:val="_GBC_960239b4d8f94352ba13280d190272c1"/>
        <w:id w:val="6848"/>
        <w:placeholder>
          <w:docPart w:val="GBC22222222222222222222222222222"/>
        </w:placeholder>
      </w:sdtPr>
      <w:sdtEndPr>
        <w:rPr>
          <w:rFonts w:hint="eastAsia" w:ascii="宋体" w:hAnsi="宋体"/>
        </w:rPr>
      </w:sdtEndPr>
      <w:sdtContent>
        <w:p>
          <w:pPr>
            <w:keepNext w:val="0"/>
            <w:keepLines w:val="0"/>
            <w:pageBreakBefore w:val="0"/>
            <w:kinsoku/>
            <w:wordWrap/>
            <w:overflowPunct/>
            <w:topLinePunct w:val="0"/>
            <w:bidi w:val="0"/>
            <w:snapToGrid/>
            <w:spacing w:line="400" w:lineRule="exact"/>
            <w:textAlignment w:val="auto"/>
            <w:rPr>
              <w:rFonts w:hint="eastAsia" w:ascii="宋体" w:hAnsi="宋体"/>
            </w:rPr>
          </w:pPr>
          <w:r>
            <w:rPr>
              <w:rFonts w:hint="eastAsia" w:ascii="宋体" w:hAnsi="宋体"/>
            </w:rPr>
            <w:fldChar w:fldCharType="begin"/>
          </w:r>
          <w:r>
            <w:rPr>
              <w:rFonts w:hint="eastAsia" w:ascii="宋体" w:hAnsi="宋体"/>
            </w:rPr>
            <w:instrText xml:space="preserve"> MACROBUTTON  SnrToggleCheckbox □适用 </w:instrText>
          </w:r>
          <w:r>
            <w:rPr>
              <w:rFonts w:hint="eastAsia" w:ascii="宋体" w:hAnsi="宋体"/>
            </w:rPr>
            <w:fldChar w:fldCharType="end"/>
          </w:r>
          <w:r>
            <w:rPr>
              <w:rFonts w:hint="eastAsia" w:ascii="宋体" w:hAnsi="宋体"/>
            </w:rPr>
            <w:fldChar w:fldCharType="begin"/>
          </w:r>
          <w:r>
            <w:rPr>
              <w:rFonts w:hint="eastAsia" w:ascii="宋体" w:hAnsi="宋体"/>
            </w:rPr>
            <w:instrText xml:space="preserve"> MACROBUTTON  SnrToggleCheckbox √不适用 </w:instrText>
          </w:r>
          <w:r>
            <w:rPr>
              <w:rFonts w:hint="eastAsia" w:ascii="宋体" w:hAnsi="宋体"/>
            </w:rPr>
            <w:fldChar w:fldCharType="end"/>
          </w:r>
        </w:p>
      </w:sdtContent>
    </w:sdt>
    <w:p/>
    <w:p>
      <w:pPr>
        <w:pStyle w:val="5"/>
        <w:numPr>
          <w:ilvl w:val="0"/>
          <w:numId w:val="66"/>
        </w:numPr>
        <w:rPr>
          <w:rFonts w:hint="eastAsia"/>
        </w:rPr>
      </w:pPr>
      <w:r>
        <w:rPr>
          <w:rFonts w:hint="eastAsia"/>
        </w:rPr>
        <w:t>应收款项融资本期增减变动及公允价值变动情况</w:t>
      </w:r>
      <w:r>
        <w:t>：</w:t>
      </w:r>
    </w:p>
    <w:sdt>
      <w:sdtPr>
        <w:rPr>
          <w:rFonts w:hint="eastAsia"/>
        </w:rPr>
        <w:alias w:val="是否适用：应收款项融资本期增减变动及公允价值变动情况[双击切换]"/>
        <w:tag w:val="_GBC_1265a117176c43939de7d6d1e043f692"/>
        <w:id w:val="6849"/>
        <w:placeholder>
          <w:docPart w:val="GBC22222222222222222222222222222"/>
        </w:placeholder>
      </w:sdtPr>
      <w:sdtEndPr>
        <w:rPr>
          <w:rFonts w:hint="eastAsia"/>
        </w:rPr>
      </w:sdtEndPr>
      <w:sdtContent>
        <w:p>
          <w:r>
            <w:rPr>
              <w:rFonts w:ascii="宋体" w:hAnsi="宋体"/>
            </w:rPr>
            <w:fldChar w:fldCharType="begin"/>
          </w:r>
          <w:r>
            <w:rPr>
              <w:rFonts w:hint="eastAsia" w:ascii="宋体" w:hAnsi="宋体"/>
              <w:lang w:eastAsia="zh-CN"/>
            </w:rPr>
            <w:instrText xml:space="preserve"> MACROBUTTON  SnrToggleCheckbox √适用</w:instrText>
          </w:r>
          <w:r>
            <w:rPr>
              <w:rFonts w:ascii="宋体" w:hAnsi="宋体"/>
            </w:rPr>
            <w:fldChar w:fldCharType="end"/>
          </w:r>
          <w:r>
            <w:rPr>
              <w:rFonts w:ascii="宋体" w:hAnsi="宋体"/>
            </w:rPr>
            <w:fldChar w:fldCharType="begin"/>
          </w:r>
          <w:r>
            <w:rPr>
              <w:rFonts w:hint="eastAsia" w:ascii="宋体" w:hAnsi="宋体"/>
              <w:lang w:eastAsia="zh-CN"/>
            </w:rPr>
            <w:instrText xml:space="preserve"> MACROBUTTON  SnrToggleCheckbox □不适用 </w:instrText>
          </w:r>
          <w:r>
            <w:rPr>
              <w:rFonts w:ascii="宋体" w:hAnsi="宋体"/>
            </w:rPr>
            <w:fldChar w:fldCharType="end"/>
          </w:r>
        </w:p>
      </w:sdtContent>
    </w:sdt>
    <w:sdt>
      <w:sdtPr>
        <w:rPr>
          <w:rFonts w:ascii="Times New Roman" w:hAnsi="Times New Roman" w:eastAsia="宋体"/>
          <w:sz w:val="21"/>
        </w:rPr>
        <w:alias w:val="应收款项融资本期增减变动及公允价值变动情况"/>
        <w:tag w:val="_GBC_700eec67c70943f6b1187ef40ea2b404"/>
        <w:id w:val="6850"/>
        <w:placeholder>
          <w:docPart w:val="GBC22222222222222222222222222222"/>
        </w:placeholder>
      </w:sdtPr>
      <w:sdtEndPr>
        <w:rPr>
          <w:rFonts w:ascii="Times New Roman" w:hAnsi="Times New Roman" w:eastAsia="宋体"/>
          <w:sz w:val="21"/>
        </w:rPr>
      </w:sdtEndPr>
      <w:sdtContent>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1479"/>
            <w:gridCol w:w="1479"/>
            <w:gridCol w:w="661"/>
            <w:gridCol w:w="661"/>
            <w:gridCol w:w="1533"/>
            <w:gridCol w:w="1479"/>
            <w:gridCol w:w="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restart"/>
                <w:tcBorders>
                  <w:top w:val="single" w:color="auto" w:sz="4" w:space="0"/>
                  <w:left w:val="single" w:color="auto" w:sz="4" w:space="0"/>
                  <w:right w:val="single" w:color="auto" w:sz="4" w:space="0"/>
                </w:tcBorders>
                <w:vAlign w:val="center"/>
              </w:tcPr>
              <w:p>
                <w:pPr>
                  <w:widowControl w:val="0"/>
                  <w:jc w:val="center"/>
                  <w:rPr>
                    <w:rFonts w:ascii="Times New Roman" w:hAnsi="Times New Roman" w:eastAsia="宋体"/>
                    <w:sz w:val="21"/>
                  </w:rPr>
                </w:pPr>
                <w:r>
                  <w:rPr>
                    <w:rFonts w:hint="eastAsia" w:ascii="Times New Roman" w:hAnsi="Times New Roman" w:eastAsia="宋体"/>
                    <w:sz w:val="21"/>
                    <w:szCs w:val="18"/>
                  </w:rPr>
                  <w:t>类别</w:t>
                </w:r>
              </w:p>
            </w:tc>
            <w:tc>
              <w:tcPr>
                <w:vMerge w:val="restart"/>
                <w:tcBorders>
                  <w:top w:val="single" w:color="auto" w:sz="4" w:space="0"/>
                  <w:left w:val="single" w:color="auto" w:sz="4" w:space="0"/>
                  <w:right w:val="single" w:color="auto" w:sz="4" w:space="0"/>
                </w:tcBorders>
                <w:vAlign w:val="center"/>
              </w:tcPr>
              <w:p>
                <w:pPr>
                  <w:widowControl w:val="0"/>
                  <w:jc w:val="center"/>
                  <w:rPr>
                    <w:rFonts w:ascii="Times New Roman" w:hAnsi="Times New Roman" w:eastAsia="宋体"/>
                    <w:sz w:val="21"/>
                  </w:rPr>
                </w:pPr>
                <w:r>
                  <w:rPr>
                    <w:rFonts w:hint="eastAsia" w:ascii="Times New Roman" w:hAnsi="Times New Roman" w:eastAsia="宋体"/>
                    <w:sz w:val="21"/>
                    <w:szCs w:val="18"/>
                  </w:rPr>
                  <w:t>期初余额</w:t>
                </w:r>
              </w:p>
            </w:tc>
            <w:tc>
              <w:tcPr>
                <w:gridSpan w:val="6"/>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sz w:val="21"/>
                  </w:rPr>
                </w:pPr>
                <w:r>
                  <w:rPr>
                    <w:rFonts w:hint="eastAsia" w:ascii="Times New Roman" w:hAnsi="Times New Roman" w:eastAsia="宋体"/>
                    <w:sz w:val="21"/>
                    <w:szCs w:val="18"/>
                  </w:rPr>
                  <w:t>期末余额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Borders>
                  <w:left w:val="single" w:color="auto" w:sz="4" w:space="0"/>
                  <w:bottom w:val="single" w:color="auto" w:sz="4" w:space="0"/>
                  <w:right w:val="single" w:color="auto" w:sz="4" w:space="0"/>
                </w:tcBorders>
                <w:vAlign w:val="center"/>
              </w:tcPr>
              <w:p>
                <w:pPr>
                  <w:widowControl w:val="0"/>
                  <w:jc w:val="both"/>
                  <w:rPr>
                    <w:rFonts w:ascii="Times New Roman" w:hAnsi="Times New Roman" w:eastAsia="宋体"/>
                    <w:sz w:val="21"/>
                  </w:rPr>
                </w:pPr>
              </w:p>
            </w:tc>
            <w:tc>
              <w:tcPr>
                <w:vMerge w:val="continue"/>
                <w:tcBorders>
                  <w:left w:val="single" w:color="auto" w:sz="4" w:space="0"/>
                  <w:bottom w:val="single" w:color="auto" w:sz="4" w:space="0"/>
                  <w:right w:val="single" w:color="auto" w:sz="4" w:space="0"/>
                </w:tcBorders>
                <w:vAlign w:val="center"/>
              </w:tcPr>
              <w:p>
                <w:pPr>
                  <w:widowControl w:val="0"/>
                  <w:jc w:val="both"/>
                  <w:rPr>
                    <w:rFonts w:ascii="Times New Roman" w:hAnsi="Times New Roman" w:eastAsia="宋体"/>
                    <w:sz w:val="21"/>
                  </w:rPr>
                </w:pP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sz w:val="21"/>
                  </w:rPr>
                </w:pPr>
                <w:r>
                  <w:rPr>
                    <w:rFonts w:hint="eastAsia" w:ascii="Times New Roman" w:hAnsi="Times New Roman" w:eastAsia="宋体"/>
                    <w:sz w:val="21"/>
                    <w:szCs w:val="18"/>
                  </w:rPr>
                  <w:t>初始成本</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sz w:val="21"/>
                  </w:rPr>
                </w:pPr>
                <w:r>
                  <w:rPr>
                    <w:rFonts w:hint="eastAsia" w:ascii="Times New Roman" w:hAnsi="Times New Roman" w:eastAsia="宋体"/>
                    <w:sz w:val="21"/>
                    <w:szCs w:val="18"/>
                  </w:rPr>
                  <w:t>利息</w:t>
                </w:r>
              </w:p>
              <w:p>
                <w:pPr>
                  <w:widowControl w:val="0"/>
                  <w:jc w:val="center"/>
                  <w:rPr>
                    <w:rFonts w:ascii="Times New Roman" w:hAnsi="Times New Roman" w:eastAsia="宋体"/>
                    <w:sz w:val="21"/>
                  </w:rPr>
                </w:pPr>
                <w:r>
                  <w:rPr>
                    <w:rFonts w:hint="eastAsia" w:ascii="Times New Roman" w:hAnsi="Times New Roman" w:eastAsia="宋体"/>
                    <w:sz w:val="21"/>
                    <w:szCs w:val="18"/>
                  </w:rPr>
                  <w:t>调整</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sz w:val="21"/>
                  </w:rPr>
                </w:pPr>
                <w:r>
                  <w:rPr>
                    <w:rFonts w:hint="eastAsia" w:ascii="Times New Roman" w:hAnsi="Times New Roman" w:eastAsia="宋体"/>
                    <w:sz w:val="21"/>
                    <w:szCs w:val="18"/>
                  </w:rPr>
                  <w:t>应计</w:t>
                </w:r>
              </w:p>
              <w:p>
                <w:pPr>
                  <w:widowControl w:val="0"/>
                  <w:jc w:val="center"/>
                  <w:rPr>
                    <w:rFonts w:ascii="Times New Roman" w:hAnsi="Times New Roman" w:eastAsia="宋体"/>
                    <w:sz w:val="21"/>
                  </w:rPr>
                </w:pPr>
                <w:r>
                  <w:rPr>
                    <w:rFonts w:hint="eastAsia" w:ascii="Times New Roman" w:hAnsi="Times New Roman" w:eastAsia="宋体"/>
                    <w:sz w:val="21"/>
                    <w:szCs w:val="18"/>
                  </w:rPr>
                  <w:t>利息</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sz w:val="21"/>
                  </w:rPr>
                </w:pPr>
                <w:r>
                  <w:rPr>
                    <w:rFonts w:hint="eastAsia" w:ascii="Times New Roman" w:hAnsi="Times New Roman" w:eastAsia="宋体"/>
                    <w:sz w:val="21"/>
                    <w:szCs w:val="18"/>
                  </w:rPr>
                  <w:t>公允价值变动</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sz w:val="21"/>
                  </w:rPr>
                </w:pPr>
                <w:r>
                  <w:rPr>
                    <w:rFonts w:hint="eastAsia" w:ascii="Times New Roman" w:hAnsi="Times New Roman" w:eastAsia="宋体"/>
                    <w:sz w:val="21"/>
                    <w:szCs w:val="18"/>
                  </w:rPr>
                  <w:t>账面价值</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sz w:val="21"/>
                  </w:rPr>
                </w:pPr>
                <w:r>
                  <w:rPr>
                    <w:rFonts w:hint="eastAsia" w:ascii="Times New Roman" w:hAnsi="Times New Roman" w:eastAsia="宋体"/>
                    <w:sz w:val="21"/>
                    <w:szCs w:val="18"/>
                  </w:rPr>
                  <w:t>减值</w:t>
                </w:r>
              </w:p>
              <w:p>
                <w:pPr>
                  <w:widowControl w:val="0"/>
                  <w:jc w:val="center"/>
                  <w:rPr>
                    <w:rFonts w:ascii="Times New Roman" w:hAnsi="Times New Roman" w:eastAsia="宋体"/>
                    <w:sz w:val="21"/>
                  </w:rPr>
                </w:pPr>
                <w:r>
                  <w:rPr>
                    <w:rFonts w:hint="eastAsia" w:ascii="Times New Roman" w:hAnsi="Times New Roman" w:eastAsia="宋体"/>
                    <w:sz w:val="21"/>
                    <w:szCs w:val="18"/>
                  </w:rPr>
                  <w:t>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jc w:val="both"/>
                  <w:rPr>
                    <w:rFonts w:ascii="Times New Roman" w:hAnsi="Times New Roman" w:eastAsia="宋体"/>
                    <w:sz w:val="21"/>
                  </w:rPr>
                </w:pPr>
                <w:r>
                  <w:rPr>
                    <w:rFonts w:hint="eastAsia" w:ascii="Times New Roman" w:hAnsi="Times New Roman" w:eastAsia="宋体"/>
                    <w:sz w:val="21"/>
                    <w:szCs w:val="18"/>
                  </w:rPr>
                  <w:t>应收票据</w:t>
                </w:r>
              </w:p>
            </w:tc>
            <w:tc>
              <w:tcPr>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rPr>
                </w:pPr>
                <w:r>
                  <w:rPr>
                    <w:rFonts w:hint="eastAsia" w:ascii="Times New Roman" w:hAnsi="Times New Roman" w:eastAsia="宋体"/>
                    <w:sz w:val="21"/>
                    <w:szCs w:val="18"/>
                  </w:rPr>
                  <w:t>18,188,699.66</w:t>
                </w:r>
              </w:p>
            </w:tc>
            <w:tc>
              <w:tcPr>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rPr>
                </w:pPr>
                <w:r>
                  <w:rPr>
                    <w:rFonts w:hint="eastAsia" w:ascii="Times New Roman" w:hAnsi="Times New Roman" w:eastAsia="宋体"/>
                    <w:sz w:val="21"/>
                    <w:szCs w:val="18"/>
                  </w:rPr>
                  <w:t>10,479,155.61</w:t>
                </w:r>
              </w:p>
            </w:tc>
            <w:tc>
              <w:tcPr>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rPr>
                </w:pPr>
              </w:p>
            </w:tc>
            <w:tc>
              <w:tcPr>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rPr>
                </w:pPr>
              </w:p>
            </w:tc>
            <w:tc>
              <w:tcPr>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rPr>
                </w:pPr>
              </w:p>
            </w:tc>
            <w:tc>
              <w:tcPr>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rPr>
                </w:pPr>
                <w:r>
                  <w:rPr>
                    <w:rFonts w:hint="eastAsia" w:ascii="Times New Roman" w:hAnsi="Times New Roman" w:eastAsia="宋体"/>
                    <w:sz w:val="21"/>
                    <w:szCs w:val="18"/>
                  </w:rPr>
                  <w:t>10,479,155.61</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sz w:val="21"/>
                  </w:rPr>
                </w:pPr>
                <w:r>
                  <w:rPr>
                    <w:rFonts w:hint="eastAsia" w:ascii="Times New Roman" w:hAnsi="Times New Roman" w:eastAsia="宋体"/>
                    <w:sz w:val="21"/>
                    <w:szCs w:val="18"/>
                  </w:rPr>
                  <w:t>合计</w:t>
                </w:r>
              </w:p>
            </w:tc>
            <w:tc>
              <w:tcPr>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rPr>
                </w:pPr>
                <w:r>
                  <w:rPr>
                    <w:rFonts w:hint="eastAsia" w:ascii="Times New Roman" w:hAnsi="Times New Roman" w:eastAsia="宋体"/>
                    <w:sz w:val="21"/>
                    <w:szCs w:val="18"/>
                  </w:rPr>
                  <w:t>18,188,699.66</w:t>
                </w:r>
              </w:p>
            </w:tc>
            <w:tc>
              <w:tcPr>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rPr>
                </w:pPr>
                <w:r>
                  <w:rPr>
                    <w:rFonts w:hint="eastAsia" w:ascii="Times New Roman" w:hAnsi="Times New Roman" w:eastAsia="宋体"/>
                    <w:sz w:val="21"/>
                    <w:szCs w:val="18"/>
                  </w:rPr>
                  <w:t>10,479,155.61</w:t>
                </w:r>
              </w:p>
            </w:tc>
            <w:tc>
              <w:tcPr>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rPr>
                </w:pPr>
              </w:p>
            </w:tc>
            <w:tc>
              <w:tcPr>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rPr>
                </w:pPr>
              </w:p>
            </w:tc>
            <w:tc>
              <w:tcPr>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rPr>
                </w:pPr>
              </w:p>
            </w:tc>
            <w:tc>
              <w:tcPr>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rPr>
                </w:pPr>
                <w:r>
                  <w:rPr>
                    <w:rFonts w:hint="eastAsia" w:ascii="Times New Roman" w:hAnsi="Times New Roman" w:eastAsia="宋体"/>
                    <w:sz w:val="21"/>
                    <w:szCs w:val="18"/>
                  </w:rPr>
                  <w:t>10,479,155.61</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sz w:val="21"/>
                  </w:rPr>
                </w:pPr>
              </w:p>
            </w:tc>
          </w:tr>
        </w:tbl>
        <w:p>
          <w:pPr>
            <w:keepNext w:val="0"/>
            <w:keepLines w:val="0"/>
            <w:pageBreakBefore w:val="0"/>
            <w:widowControl/>
            <w:kinsoku/>
            <w:wordWrap/>
            <w:overflowPunct/>
            <w:topLinePunct w:val="0"/>
            <w:autoSpaceDE/>
            <w:autoSpaceDN/>
            <w:bidi w:val="0"/>
            <w:adjustRightInd/>
            <w:snapToGrid/>
            <w:spacing w:line="400" w:lineRule="exact"/>
            <w:ind w:firstLine="363"/>
            <w:textAlignment w:val="auto"/>
          </w:pPr>
          <w:r>
            <w:rPr>
              <w:rFonts w:hint="eastAsia" w:ascii="Times New Roman" w:hAnsi="Times New Roman" w:eastAsia="宋体"/>
              <w:sz w:val="21"/>
              <w:szCs w:val="24"/>
            </w:rPr>
            <w:t>应收款项融资系银行承兑汇票</w:t>
          </w:r>
          <w:r>
            <w:rPr>
              <w:rFonts w:hint="eastAsia"/>
              <w:sz w:val="21"/>
              <w:szCs w:val="24"/>
              <w:lang w:eastAsia="zh-CN"/>
            </w:rPr>
            <w:t>，</w:t>
          </w:r>
          <w:r>
            <w:rPr>
              <w:rFonts w:hint="eastAsia" w:ascii="Times New Roman" w:hAnsi="Times New Roman" w:eastAsia="宋体"/>
              <w:sz w:val="21"/>
              <w:szCs w:val="24"/>
            </w:rPr>
            <w:t>其剩余期限较短,账面余额与公允价值相近；截至2025年12月31日</w:t>
          </w:r>
          <w:r>
            <w:rPr>
              <w:rFonts w:hint="eastAsia"/>
              <w:sz w:val="21"/>
              <w:szCs w:val="24"/>
              <w:lang w:eastAsia="zh-CN"/>
            </w:rPr>
            <w:t>，</w:t>
          </w:r>
          <w:r>
            <w:rPr>
              <w:rFonts w:hint="eastAsia" w:ascii="Times New Roman" w:hAnsi="Times New Roman" w:eastAsia="宋体"/>
              <w:sz w:val="21"/>
              <w:szCs w:val="24"/>
            </w:rPr>
            <w:t>本公司无质押的应收款项融资。</w:t>
          </w:r>
        </w:p>
      </w:sdtContent>
    </w:sdt>
    <w:p/>
    <w:bookmarkEnd w:id="239"/>
    <w:bookmarkEnd w:id="240"/>
    <w:bookmarkEnd w:id="241"/>
    <w:p>
      <w:pPr>
        <w:pStyle w:val="5"/>
        <w:numPr>
          <w:ilvl w:val="0"/>
          <w:numId w:val="66"/>
        </w:numPr>
        <w:rPr>
          <w:rFonts w:hint="eastAsia"/>
        </w:rPr>
      </w:pPr>
      <w:r>
        <w:rPr>
          <w:rFonts w:hint="eastAsia"/>
        </w:rPr>
        <w:t>其他</w:t>
      </w:r>
      <w:r>
        <w:t>说明</w:t>
      </w:r>
    </w:p>
    <w:sdt>
      <w:sdtPr>
        <w:rPr>
          <w:rFonts w:hint="eastAsia"/>
        </w:rPr>
        <w:alias w:val="是否适用：应收款项融资其他说明[双击切换]"/>
        <w:tag w:val="_GBC_19d5ef5dfbe64f2d98d9ab83a2e48c14"/>
        <w:id w:val="6851"/>
        <w:placeholder>
          <w:docPart w:val="GBC22222222222222222222222222222"/>
        </w:placeholder>
      </w:sdtPr>
      <w:sdtEndPr>
        <w:rPr>
          <w:rFonts w:hint="eastAsia"/>
        </w:rPr>
      </w:sdtEndPr>
      <w:sdtContent>
        <w:p>
          <w:bookmarkStart w:id="244" w:name="_Hlk13057390"/>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244"/>
    <w:p>
      <w:pPr>
        <w:rPr>
          <w:szCs w:val="21"/>
        </w:rPr>
      </w:pPr>
    </w:p>
    <w:sdt>
      <w:sdtPr>
        <w:tag w:val="_PLD_9ea741812ea54d19bbd315897629c2f3"/>
        <w:id w:val="6852"/>
      </w:sdtPr>
      <w:sdtContent>
        <w:p>
          <w:pPr>
            <w:pStyle w:val="4"/>
            <w:numPr>
              <w:ilvl w:val="0"/>
              <w:numId w:val="62"/>
            </w:numPr>
          </w:pPr>
          <w:r>
            <w:rPr>
              <w:rFonts w:hint="eastAsia"/>
            </w:rPr>
            <w:t>预付款项</w:t>
          </w:r>
        </w:p>
      </w:sdtContent>
    </w:sdt>
    <w:p>
      <w:pPr>
        <w:pStyle w:val="5"/>
        <w:numPr>
          <w:ilvl w:val="3"/>
          <w:numId w:val="67"/>
        </w:numPr>
        <w:ind w:left="426" w:hanging="426"/>
        <w:rPr>
          <w:rFonts w:hint="eastAsia"/>
        </w:rPr>
      </w:pPr>
      <w:r>
        <w:rPr>
          <w:rFonts w:hint="eastAsia"/>
        </w:rPr>
        <w:t>预付款项按账龄列示</w:t>
      </w:r>
    </w:p>
    <w:sdt>
      <w:sdtPr>
        <w:rPr>
          <w:rFonts w:hint="eastAsia"/>
        </w:rPr>
        <w:alias w:val="是否适用：预付款项按账龄列示[双击切换]"/>
        <w:tag w:val="_GBC_9c50af2eedb44a33921bab4a9f5ef35c"/>
        <w:id w:val="6853"/>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b/>
          <w:szCs w:val="21"/>
        </w:rPr>
      </w:pPr>
      <w:r>
        <w:rPr>
          <w:rFonts w:hint="eastAsia"/>
          <w:szCs w:val="21"/>
        </w:rPr>
        <w:t>单位：</w:t>
      </w:r>
      <w:sdt>
        <w:sdtPr>
          <w:rPr>
            <w:rFonts w:hint="eastAsia"/>
            <w:szCs w:val="21"/>
          </w:rPr>
          <w:alias w:val="单位：财务附注：预付账款账龄"/>
          <w:tag w:val="_GBC_25e874c523c14d528beabbdb96c27981"/>
          <w:id w:val="685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预付账款账龄"/>
          <w:tag w:val="_GBC_5fd49f072b7e406886d7d66537c647e5"/>
          <w:id w:val="685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1386"/>
        <w:gridCol w:w="1925"/>
        <w:gridCol w:w="1911"/>
        <w:gridCol w:w="1909"/>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237" w:hRule="atLeast"/>
        </w:trPr>
        <w:tc>
          <w:tcPr>
            <w:tcW w:w="1386" w:type="dxa"/>
            <w:vMerge w:val="restart"/>
            <w:vAlign w:val="center"/>
          </w:tcPr>
          <w:sdt>
            <w:sdtPr>
              <w:tag w:val="_PLD_497c76328aa14442bd9ed8d02efaffdc"/>
              <w:id w:val="6856"/>
            </w:sdtPr>
            <w:sdtContent>
              <w:p>
                <w:pPr>
                  <w:ind w:right="5"/>
                  <w:jc w:val="center"/>
                  <w:rPr>
                    <w:szCs w:val="21"/>
                  </w:rPr>
                </w:pPr>
                <w:r>
                  <w:rPr>
                    <w:rFonts w:hint="eastAsia"/>
                    <w:szCs w:val="21"/>
                  </w:rPr>
                  <w:t>账龄</w:t>
                </w:r>
              </w:p>
            </w:sdtContent>
          </w:sdt>
        </w:tc>
        <w:tc>
          <w:tcPr>
            <w:tcW w:w="3837" w:type="dxa"/>
            <w:gridSpan w:val="2"/>
            <w:vAlign w:val="center"/>
          </w:tcPr>
          <w:sdt>
            <w:sdtPr>
              <w:tag w:val="_PLD_3c7cef9fd55549768916decb59114918"/>
              <w:id w:val="6857"/>
            </w:sdtPr>
            <w:sdtContent>
              <w:p>
                <w:pPr>
                  <w:ind w:right="5"/>
                  <w:jc w:val="center"/>
                  <w:rPr>
                    <w:szCs w:val="21"/>
                  </w:rPr>
                </w:pPr>
                <w:r>
                  <w:rPr>
                    <w:rFonts w:hint="eastAsia"/>
                    <w:szCs w:val="21"/>
                  </w:rPr>
                  <w:t>期末余额</w:t>
                </w:r>
              </w:p>
            </w:sdtContent>
          </w:sdt>
        </w:tc>
        <w:tc>
          <w:tcPr>
            <w:tcW w:w="3835" w:type="dxa"/>
            <w:gridSpan w:val="2"/>
            <w:vAlign w:val="center"/>
          </w:tcPr>
          <w:sdt>
            <w:sdtPr>
              <w:tag w:val="_PLD_3338d9aea932468fa8faa1bef2db4526"/>
              <w:id w:val="6858"/>
            </w:sdtPr>
            <w:sdtContent>
              <w:p>
                <w:pPr>
                  <w:ind w:right="5"/>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386" w:type="dxa"/>
            <w:vMerge w:val="continue"/>
            <w:vAlign w:val="center"/>
          </w:tcPr>
          <w:p>
            <w:pPr>
              <w:rPr>
                <w:szCs w:val="21"/>
              </w:rPr>
            </w:pPr>
          </w:p>
        </w:tc>
        <w:tc>
          <w:tcPr>
            <w:tcW w:w="1925" w:type="dxa"/>
            <w:vAlign w:val="center"/>
          </w:tcPr>
          <w:sdt>
            <w:sdtPr>
              <w:tag w:val="_PLD_2b1b05d61c574fe485d979f04a81c8c9"/>
              <w:id w:val="6859"/>
            </w:sdtPr>
            <w:sdtContent>
              <w:p>
                <w:pPr>
                  <w:ind w:right="5"/>
                  <w:jc w:val="center"/>
                  <w:rPr>
                    <w:szCs w:val="21"/>
                  </w:rPr>
                </w:pPr>
                <w:r>
                  <w:rPr>
                    <w:rFonts w:hint="eastAsia"/>
                    <w:szCs w:val="21"/>
                  </w:rPr>
                  <w:t>金额</w:t>
                </w:r>
              </w:p>
            </w:sdtContent>
          </w:sdt>
        </w:tc>
        <w:tc>
          <w:tcPr>
            <w:tcW w:w="1911" w:type="dxa"/>
            <w:vAlign w:val="center"/>
          </w:tcPr>
          <w:sdt>
            <w:sdtPr>
              <w:tag w:val="_PLD_7faf25028eff45ce8c6bf33a9060f296"/>
              <w:id w:val="6860"/>
            </w:sdtPr>
            <w:sdtContent>
              <w:p>
                <w:pPr>
                  <w:ind w:right="5"/>
                  <w:jc w:val="center"/>
                  <w:rPr>
                    <w:szCs w:val="21"/>
                  </w:rPr>
                </w:pPr>
                <w:r>
                  <w:rPr>
                    <w:rFonts w:hint="eastAsia"/>
                    <w:szCs w:val="21"/>
                  </w:rPr>
                  <w:t>比例</w:t>
                </w:r>
                <w:r>
                  <w:rPr>
                    <w:szCs w:val="21"/>
                  </w:rPr>
                  <w:t>(%)</w:t>
                </w:r>
              </w:p>
            </w:sdtContent>
          </w:sdt>
        </w:tc>
        <w:tc>
          <w:tcPr>
            <w:tcW w:w="1909" w:type="dxa"/>
            <w:vAlign w:val="center"/>
          </w:tcPr>
          <w:sdt>
            <w:sdtPr>
              <w:tag w:val="_PLD_56219e7f20ba4e60b1a3edd32c1c534e"/>
              <w:id w:val="6861"/>
            </w:sdtPr>
            <w:sdtContent>
              <w:p>
                <w:pPr>
                  <w:ind w:right="5"/>
                  <w:jc w:val="center"/>
                  <w:rPr>
                    <w:szCs w:val="21"/>
                  </w:rPr>
                </w:pPr>
                <w:r>
                  <w:rPr>
                    <w:rFonts w:hint="eastAsia"/>
                    <w:szCs w:val="21"/>
                  </w:rPr>
                  <w:t>金额</w:t>
                </w:r>
              </w:p>
            </w:sdtContent>
          </w:sdt>
        </w:tc>
        <w:tc>
          <w:tcPr>
            <w:tcW w:w="1925" w:type="dxa"/>
            <w:vAlign w:val="center"/>
          </w:tcPr>
          <w:sdt>
            <w:sdtPr>
              <w:tag w:val="_PLD_430fca228ced43ada83018b2091f7abf"/>
              <w:id w:val="6862"/>
            </w:sdtPr>
            <w:sdtContent>
              <w:p>
                <w:pPr>
                  <w:ind w:right="5"/>
                  <w:jc w:val="center"/>
                  <w:rPr>
                    <w:szCs w:val="21"/>
                  </w:rPr>
                </w:pPr>
                <w:r>
                  <w:rPr>
                    <w:rFonts w:hint="eastAsia"/>
                    <w:szCs w:val="21"/>
                  </w:rPr>
                  <w:t>比例</w:t>
                </w:r>
                <w:r>
                  <w:rPr>
                    <w:szCs w:val="21"/>
                  </w:rPr>
                  <w:t>(%)</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99" w:hRule="atLeast"/>
        </w:trPr>
        <w:tc>
          <w:tcPr>
            <w:tcW w:w="1386" w:type="dxa"/>
            <w:vAlign w:val="center"/>
          </w:tcPr>
          <w:p>
            <w:pPr>
              <w:ind w:right="5"/>
              <w:rPr>
                <w:szCs w:val="21"/>
              </w:rPr>
            </w:pPr>
            <w:r>
              <w:rPr>
                <w:rFonts w:hint="eastAsia"/>
                <w:szCs w:val="21"/>
              </w:rPr>
              <w:t>1年以内</w:t>
            </w:r>
          </w:p>
        </w:tc>
        <w:tc>
          <w:tcPr>
            <w:tcW w:w="1925" w:type="dxa"/>
            <w:vAlign w:val="center"/>
          </w:tcPr>
          <w:p>
            <w:pPr>
              <w:ind w:right="5"/>
              <w:jc w:val="right"/>
              <w:rPr>
                <w:szCs w:val="21"/>
              </w:rPr>
            </w:pPr>
            <w:r>
              <w:rPr>
                <w:rFonts w:hint="eastAsia"/>
                <w:color w:val="auto"/>
                <w:szCs w:val="21"/>
              </w:rPr>
              <w:t>17,785,694.21</w:t>
            </w:r>
          </w:p>
        </w:tc>
        <w:tc>
          <w:tcPr>
            <w:tcW w:w="1911" w:type="dxa"/>
            <w:vAlign w:val="center"/>
          </w:tcPr>
          <w:p>
            <w:pPr>
              <w:ind w:right="5"/>
              <w:jc w:val="right"/>
              <w:rPr>
                <w:szCs w:val="21"/>
              </w:rPr>
            </w:pPr>
            <w:r>
              <w:rPr>
                <w:rFonts w:hint="eastAsia"/>
                <w:color w:val="auto"/>
                <w:szCs w:val="21"/>
              </w:rPr>
              <w:t>92.98</w:t>
            </w:r>
          </w:p>
        </w:tc>
        <w:tc>
          <w:tcPr>
            <w:tcW w:w="1909" w:type="dxa"/>
            <w:vAlign w:val="center"/>
          </w:tcPr>
          <w:p>
            <w:pPr>
              <w:ind w:right="5"/>
              <w:jc w:val="right"/>
              <w:rPr>
                <w:szCs w:val="21"/>
              </w:rPr>
            </w:pPr>
            <w:r>
              <w:rPr>
                <w:rFonts w:hint="eastAsia"/>
                <w:color w:val="auto"/>
                <w:szCs w:val="21"/>
              </w:rPr>
              <w:t>31,066,163.59</w:t>
            </w:r>
          </w:p>
        </w:tc>
        <w:tc>
          <w:tcPr>
            <w:tcW w:w="1925" w:type="dxa"/>
            <w:vAlign w:val="center"/>
          </w:tcPr>
          <w:p>
            <w:pPr>
              <w:ind w:right="5"/>
              <w:jc w:val="right"/>
              <w:rPr>
                <w:szCs w:val="21"/>
              </w:rPr>
            </w:pPr>
            <w:r>
              <w:rPr>
                <w:rFonts w:hint="eastAsia"/>
                <w:color w:val="auto"/>
                <w:szCs w:val="21"/>
              </w:rPr>
              <w:t>93.83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386" w:type="dxa"/>
            <w:vAlign w:val="center"/>
          </w:tcPr>
          <w:p>
            <w:pPr>
              <w:ind w:right="5"/>
              <w:rPr>
                <w:szCs w:val="21"/>
              </w:rPr>
            </w:pPr>
            <w:r>
              <w:rPr>
                <w:rFonts w:hint="eastAsia"/>
                <w:szCs w:val="21"/>
              </w:rPr>
              <w:t>1至2年</w:t>
            </w:r>
          </w:p>
        </w:tc>
        <w:tc>
          <w:tcPr>
            <w:tcW w:w="1925" w:type="dxa"/>
            <w:vAlign w:val="center"/>
          </w:tcPr>
          <w:p>
            <w:pPr>
              <w:ind w:right="5"/>
              <w:jc w:val="right"/>
              <w:rPr>
                <w:szCs w:val="21"/>
              </w:rPr>
            </w:pPr>
            <w:r>
              <w:rPr>
                <w:rFonts w:hint="eastAsia"/>
                <w:color w:val="auto"/>
                <w:szCs w:val="21"/>
              </w:rPr>
              <w:t>407,853.65</w:t>
            </w:r>
          </w:p>
        </w:tc>
        <w:tc>
          <w:tcPr>
            <w:tcW w:w="1911" w:type="dxa"/>
            <w:vAlign w:val="center"/>
          </w:tcPr>
          <w:p>
            <w:pPr>
              <w:ind w:right="5"/>
              <w:jc w:val="right"/>
              <w:rPr>
                <w:szCs w:val="21"/>
              </w:rPr>
            </w:pPr>
            <w:r>
              <w:rPr>
                <w:rFonts w:hint="eastAsia"/>
                <w:color w:val="auto"/>
                <w:szCs w:val="21"/>
              </w:rPr>
              <w:t>2.13</w:t>
            </w:r>
          </w:p>
        </w:tc>
        <w:tc>
          <w:tcPr>
            <w:tcW w:w="1909" w:type="dxa"/>
            <w:vAlign w:val="center"/>
          </w:tcPr>
          <w:p>
            <w:pPr>
              <w:ind w:right="5"/>
              <w:jc w:val="right"/>
              <w:rPr>
                <w:szCs w:val="21"/>
              </w:rPr>
            </w:pPr>
            <w:r>
              <w:rPr>
                <w:rFonts w:hint="eastAsia"/>
                <w:color w:val="auto"/>
                <w:szCs w:val="21"/>
              </w:rPr>
              <w:t>1,102,879.37</w:t>
            </w:r>
          </w:p>
        </w:tc>
        <w:tc>
          <w:tcPr>
            <w:tcW w:w="1925" w:type="dxa"/>
            <w:vAlign w:val="center"/>
          </w:tcPr>
          <w:p>
            <w:pPr>
              <w:ind w:right="5"/>
              <w:jc w:val="right"/>
              <w:rPr>
                <w:szCs w:val="21"/>
              </w:rPr>
            </w:pPr>
            <w:r>
              <w:rPr>
                <w:rFonts w:hint="eastAsia"/>
                <w:color w:val="auto"/>
                <w:szCs w:val="21"/>
              </w:rPr>
              <w:t>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386" w:type="dxa"/>
            <w:vAlign w:val="center"/>
          </w:tcPr>
          <w:p>
            <w:pPr>
              <w:ind w:right="5"/>
              <w:rPr>
                <w:szCs w:val="21"/>
              </w:rPr>
            </w:pPr>
            <w:r>
              <w:rPr>
                <w:rFonts w:hint="eastAsia"/>
                <w:szCs w:val="21"/>
              </w:rPr>
              <w:t>2至3年</w:t>
            </w:r>
          </w:p>
        </w:tc>
        <w:tc>
          <w:tcPr>
            <w:tcW w:w="1925" w:type="dxa"/>
            <w:vAlign w:val="center"/>
          </w:tcPr>
          <w:p>
            <w:pPr>
              <w:ind w:right="5"/>
              <w:jc w:val="right"/>
              <w:rPr>
                <w:szCs w:val="21"/>
              </w:rPr>
            </w:pPr>
            <w:r>
              <w:rPr>
                <w:rFonts w:hint="eastAsia"/>
                <w:color w:val="auto"/>
                <w:szCs w:val="21"/>
              </w:rPr>
              <w:t>315,938.23</w:t>
            </w:r>
          </w:p>
        </w:tc>
        <w:tc>
          <w:tcPr>
            <w:tcW w:w="1911" w:type="dxa"/>
            <w:vAlign w:val="center"/>
          </w:tcPr>
          <w:p>
            <w:pPr>
              <w:ind w:right="5"/>
              <w:jc w:val="right"/>
              <w:rPr>
                <w:szCs w:val="21"/>
              </w:rPr>
            </w:pPr>
            <w:r>
              <w:rPr>
                <w:rFonts w:hint="eastAsia"/>
                <w:color w:val="auto"/>
                <w:szCs w:val="21"/>
              </w:rPr>
              <w:t>1.65</w:t>
            </w:r>
          </w:p>
        </w:tc>
        <w:tc>
          <w:tcPr>
            <w:tcW w:w="1909" w:type="dxa"/>
            <w:vAlign w:val="center"/>
          </w:tcPr>
          <w:p>
            <w:pPr>
              <w:ind w:right="5"/>
              <w:jc w:val="right"/>
              <w:rPr>
                <w:szCs w:val="21"/>
              </w:rPr>
            </w:pPr>
            <w:r>
              <w:rPr>
                <w:rFonts w:hint="eastAsia"/>
                <w:color w:val="auto"/>
                <w:szCs w:val="21"/>
              </w:rPr>
              <w:t>322,417.01</w:t>
            </w:r>
          </w:p>
        </w:tc>
        <w:tc>
          <w:tcPr>
            <w:tcW w:w="1925" w:type="dxa"/>
            <w:vAlign w:val="center"/>
          </w:tcPr>
          <w:p>
            <w:pPr>
              <w:ind w:right="5"/>
              <w:jc w:val="right"/>
              <w:rPr>
                <w:szCs w:val="21"/>
              </w:rPr>
            </w:pPr>
            <w:r>
              <w:rPr>
                <w:rFonts w:hint="eastAsia"/>
                <w:color w:val="auto"/>
                <w:szCs w:val="21"/>
              </w:rPr>
              <w:t>0.97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386" w:type="dxa"/>
            <w:vAlign w:val="center"/>
          </w:tcPr>
          <w:p>
            <w:pPr>
              <w:ind w:right="5"/>
              <w:rPr>
                <w:szCs w:val="21"/>
              </w:rPr>
            </w:pPr>
            <w:r>
              <w:rPr>
                <w:rFonts w:hint="eastAsia"/>
                <w:szCs w:val="21"/>
              </w:rPr>
              <w:t>3年以上</w:t>
            </w:r>
          </w:p>
        </w:tc>
        <w:tc>
          <w:tcPr>
            <w:tcW w:w="1925" w:type="dxa"/>
            <w:vAlign w:val="center"/>
          </w:tcPr>
          <w:p>
            <w:pPr>
              <w:ind w:right="5"/>
              <w:jc w:val="right"/>
              <w:rPr>
                <w:szCs w:val="21"/>
              </w:rPr>
            </w:pPr>
            <w:r>
              <w:rPr>
                <w:rFonts w:hint="eastAsia"/>
                <w:color w:val="auto"/>
                <w:szCs w:val="21"/>
              </w:rPr>
              <w:t>618,680.68</w:t>
            </w:r>
          </w:p>
        </w:tc>
        <w:tc>
          <w:tcPr>
            <w:tcW w:w="1911" w:type="dxa"/>
            <w:vAlign w:val="center"/>
          </w:tcPr>
          <w:p>
            <w:pPr>
              <w:ind w:right="5"/>
              <w:jc w:val="right"/>
              <w:rPr>
                <w:szCs w:val="21"/>
              </w:rPr>
            </w:pPr>
            <w:r>
              <w:rPr>
                <w:rFonts w:hint="eastAsia"/>
                <w:color w:val="auto"/>
                <w:szCs w:val="21"/>
              </w:rPr>
              <w:t>3.24</w:t>
            </w:r>
          </w:p>
        </w:tc>
        <w:tc>
          <w:tcPr>
            <w:tcW w:w="1909" w:type="dxa"/>
            <w:vAlign w:val="center"/>
          </w:tcPr>
          <w:p>
            <w:pPr>
              <w:ind w:right="5"/>
              <w:jc w:val="right"/>
              <w:rPr>
                <w:szCs w:val="21"/>
              </w:rPr>
            </w:pPr>
            <w:r>
              <w:rPr>
                <w:rFonts w:hint="eastAsia"/>
                <w:color w:val="auto"/>
              </w:rPr>
              <w:t>617,194.19</w:t>
            </w:r>
          </w:p>
        </w:tc>
        <w:tc>
          <w:tcPr>
            <w:tcW w:w="1925" w:type="dxa"/>
            <w:vAlign w:val="center"/>
          </w:tcPr>
          <w:p>
            <w:pPr>
              <w:ind w:right="5"/>
              <w:jc w:val="right"/>
              <w:rPr>
                <w:szCs w:val="21"/>
              </w:rPr>
            </w:pPr>
            <w:r>
              <w:rPr>
                <w:rFonts w:hint="eastAsia"/>
                <w:color w:val="auto"/>
                <w:szCs w:val="21"/>
              </w:rPr>
              <w:t>1.87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386" w:type="dxa"/>
            <w:vAlign w:val="center"/>
          </w:tcPr>
          <w:p>
            <w:pPr>
              <w:ind w:right="5"/>
              <w:jc w:val="center"/>
              <w:rPr>
                <w:szCs w:val="21"/>
              </w:rPr>
            </w:pPr>
            <w:r>
              <w:rPr>
                <w:rFonts w:hint="eastAsia"/>
                <w:szCs w:val="21"/>
              </w:rPr>
              <w:t>合计</w:t>
            </w:r>
          </w:p>
        </w:tc>
        <w:tc>
          <w:tcPr>
            <w:tcW w:w="1925" w:type="dxa"/>
            <w:vAlign w:val="center"/>
          </w:tcPr>
          <w:p>
            <w:pPr>
              <w:ind w:right="5"/>
              <w:jc w:val="right"/>
              <w:rPr>
                <w:szCs w:val="21"/>
              </w:rPr>
            </w:pPr>
            <w:r>
              <w:rPr>
                <w:rFonts w:hint="eastAsia"/>
                <w:color w:val="auto"/>
              </w:rPr>
              <w:t>19,128,166.77</w:t>
            </w:r>
          </w:p>
        </w:tc>
        <w:tc>
          <w:tcPr>
            <w:tcW w:w="1911" w:type="dxa"/>
            <w:vAlign w:val="center"/>
          </w:tcPr>
          <w:p>
            <w:pPr>
              <w:ind w:right="5"/>
              <w:jc w:val="right"/>
              <w:rPr>
                <w:szCs w:val="21"/>
              </w:rPr>
            </w:pPr>
            <w:r>
              <w:rPr>
                <w:rFonts w:hint="eastAsia"/>
                <w:color w:val="auto"/>
              </w:rPr>
              <w:t>100.00</w:t>
            </w:r>
          </w:p>
        </w:tc>
        <w:tc>
          <w:tcPr>
            <w:tcW w:w="1909" w:type="dxa"/>
            <w:vAlign w:val="center"/>
          </w:tcPr>
          <w:p>
            <w:pPr>
              <w:ind w:right="5"/>
              <w:jc w:val="right"/>
              <w:rPr>
                <w:szCs w:val="21"/>
              </w:rPr>
            </w:pPr>
            <w:r>
              <w:rPr>
                <w:rFonts w:hint="eastAsia"/>
                <w:color w:val="auto"/>
              </w:rPr>
              <w:t>33,108,654.16</w:t>
            </w:r>
          </w:p>
        </w:tc>
        <w:tc>
          <w:tcPr>
            <w:tcW w:w="1925" w:type="dxa"/>
            <w:vAlign w:val="center"/>
          </w:tcPr>
          <w:p>
            <w:pPr>
              <w:ind w:right="5"/>
              <w:jc w:val="right"/>
              <w:rPr>
                <w:szCs w:val="21"/>
              </w:rPr>
            </w:pPr>
            <w:r>
              <w:rPr>
                <w:rFonts w:hint="eastAsia"/>
                <w:color w:val="auto"/>
              </w:rPr>
              <w:t>100.00</w:t>
            </w:r>
          </w:p>
        </w:tc>
      </w:tr>
    </w:tbl>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sz w:val="21"/>
          <w:szCs w:val="21"/>
        </w:rPr>
      </w:pPr>
      <w:r>
        <w:rPr>
          <w:rFonts w:hint="eastAsia" w:ascii="Times New Roman" w:hAnsi="Times New Roman" w:eastAsia="宋体"/>
          <w:sz w:val="21"/>
          <w:szCs w:val="21"/>
        </w:rPr>
        <w:t>账龄超过1年且金额重要的预付款项未及时结算原因的说明：</w:t>
      </w:r>
    </w:p>
    <w:sdt>
      <w:sdtPr>
        <w:rPr>
          <w:rFonts w:hint="eastAsia" w:ascii="Times New Roman" w:hAnsi="Times New Roman" w:eastAsia="宋体"/>
          <w:sz w:val="21"/>
          <w:szCs w:val="21"/>
        </w:rPr>
        <w:alias w:val="账龄超过1年且金额重要的预付款项未及时结算原因的说明"/>
        <w:tag w:val="_GBC_21bfefabbdb8489685d0bb3ee64c2ca5"/>
        <w:id w:val="6863"/>
        <w:placeholder>
          <w:docPart w:val="GBC22222222222222222222222222222"/>
        </w:placeholder>
      </w:sdtPr>
      <w:sdtEndPr>
        <w:rPr>
          <w:rFonts w:hint="eastAsia" w:ascii="Times New Roman" w:hAnsi="Times New Roman" w:eastAsia="宋体"/>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sz w:val="21"/>
              <w:szCs w:val="21"/>
            </w:rPr>
          </w:pPr>
          <w:r>
            <w:rPr>
              <w:rFonts w:hint="eastAsia" w:ascii="Times New Roman" w:hAnsi="Times New Roman" w:eastAsia="宋体"/>
              <w:sz w:val="21"/>
              <w:szCs w:val="21"/>
            </w:rPr>
            <w:t>期末公司无账龄超过1年的重要预付账款。</w:t>
          </w:r>
        </w:p>
      </w:sdtContent>
    </w:sdt>
    <w:p>
      <w:pPr>
        <w:keepNext w:val="0"/>
        <w:keepLines w:val="0"/>
        <w:pageBreakBefore w:val="0"/>
        <w:widowControl/>
        <w:kinsoku/>
        <w:wordWrap/>
        <w:overflowPunct/>
        <w:topLinePunct w:val="0"/>
        <w:autoSpaceDE/>
        <w:autoSpaceDN/>
        <w:bidi w:val="0"/>
        <w:adjustRightInd/>
        <w:snapToGrid/>
        <w:spacing w:line="400" w:lineRule="exact"/>
        <w:ind w:firstLine="363"/>
        <w:textAlignment w:val="auto"/>
        <w:rPr>
          <w:rFonts w:hint="eastAsia" w:ascii="Times New Roman" w:hAnsi="Times New Roman" w:eastAsia="宋体"/>
          <w:sz w:val="21"/>
          <w:szCs w:val="21"/>
        </w:rPr>
      </w:pPr>
    </w:p>
    <w:p>
      <w:pPr>
        <w:pStyle w:val="5"/>
        <w:numPr>
          <w:ilvl w:val="3"/>
          <w:numId w:val="67"/>
        </w:numPr>
        <w:ind w:left="426" w:hanging="426"/>
        <w:rPr>
          <w:rFonts w:hint="eastAsia"/>
          <w:szCs w:val="21"/>
        </w:rPr>
      </w:pPr>
      <w:r>
        <w:rPr>
          <w:rFonts w:hint="eastAsia"/>
        </w:rPr>
        <w:t>按预付对象归集的期末余额前五名的预付款情况</w:t>
      </w:r>
    </w:p>
    <w:sdt>
      <w:sdtPr>
        <w:rPr>
          <w:rFonts w:hint="eastAsia"/>
          <w:szCs w:val="21"/>
        </w:rPr>
        <w:alias w:val="是否适用：按预付对象归集的期末余额前五名的预付款情况[双击切换]"/>
        <w:tag w:val="_GBC_6359dc471e0a406c8706681c2db6e149"/>
        <w:id w:val="6864"/>
        <w:placeholder>
          <w:docPart w:val="GBC22222222222222222222222222222"/>
        </w:placeholder>
      </w:sdtPr>
      <w:sdtEndPr>
        <w:rPr>
          <w:rFonts w:hint="eastAsia"/>
          <w:szCs w:val="21"/>
        </w:rPr>
      </w:sdtEndPr>
      <w:sdtContent>
        <w:p>
          <w:pPr>
            <w:snapToGrid w:val="0"/>
            <w:spacing w:line="240" w:lineRule="atLeast"/>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snapToGrid w:val="0"/>
        <w:spacing w:line="240" w:lineRule="atLeast"/>
        <w:jc w:val="right"/>
        <w:rPr>
          <w:szCs w:val="21"/>
        </w:rPr>
      </w:pPr>
      <w:r>
        <w:rPr>
          <w:rFonts w:hint="eastAsia"/>
          <w:szCs w:val="21"/>
        </w:rPr>
        <w:t>单位：</w:t>
      </w:r>
      <w:sdt>
        <w:sdtPr>
          <w:rPr>
            <w:rFonts w:hint="eastAsia"/>
            <w:szCs w:val="21"/>
          </w:rPr>
          <w:alias w:val="单位：按预付对象归集的期末余额前五名的预付款情况"/>
          <w:tag w:val="_GBC_1bbaf3870d2242f8a1ec8260382d458c"/>
          <w:id w:val="686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按预付对象归集的期末余额前五名的预付款情况"/>
          <w:tag w:val="_GBC_77617525e63041b99aaabf038d02c871"/>
          <w:id w:val="6866"/>
          <w:placeholder>
            <w:docPart w:val="GBC22222222222222222222222222222"/>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1"/>
        <w:gridCol w:w="3013"/>
        <w:gridCol w:w="3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11" w:type="dxa"/>
            <w:vAlign w:val="center"/>
          </w:tcPr>
          <w:sdt>
            <w:sdtPr>
              <w:tag w:val="_PLD_0ab17d7ae0014b6192c9dd0e6d3d3a25"/>
              <w:id w:val="6867"/>
            </w:sdtPr>
            <w:sdtContent>
              <w:p>
                <w:pPr>
                  <w:ind w:right="105"/>
                  <w:jc w:val="center"/>
                  <w:rPr>
                    <w:szCs w:val="21"/>
                  </w:rPr>
                </w:pPr>
                <w:r>
                  <w:rPr>
                    <w:rFonts w:hint="eastAsia"/>
                    <w:szCs w:val="21"/>
                  </w:rPr>
                  <w:t>单位名称</w:t>
                </w:r>
              </w:p>
            </w:sdtContent>
          </w:sdt>
        </w:tc>
        <w:tc>
          <w:tcPr>
            <w:tcW w:w="3013" w:type="dxa"/>
            <w:vAlign w:val="center"/>
          </w:tcPr>
          <w:sdt>
            <w:sdtPr>
              <w:tag w:val="_PLD_cdd4a1e632c94d14908eb36a620946a9"/>
              <w:id w:val="6868"/>
            </w:sdtPr>
            <w:sdtContent>
              <w:p>
                <w:pPr>
                  <w:ind w:right="73"/>
                  <w:jc w:val="center"/>
                  <w:rPr>
                    <w:szCs w:val="21"/>
                  </w:rPr>
                </w:pPr>
                <w:r>
                  <w:rPr>
                    <w:rFonts w:hint="eastAsia"/>
                    <w:szCs w:val="21"/>
                  </w:rPr>
                  <w:t>期末余额</w:t>
                </w:r>
              </w:p>
            </w:sdtContent>
          </w:sdt>
        </w:tc>
        <w:tc>
          <w:tcPr>
            <w:tcW w:w="3013" w:type="dxa"/>
            <w:vAlign w:val="center"/>
          </w:tcPr>
          <w:sdt>
            <w:sdtPr>
              <w:tag w:val="_PLD_c9db34035f63426095900b82cc8a8131"/>
              <w:id w:val="6869"/>
            </w:sdtPr>
            <w:sdtEndPr>
              <w:rPr>
                <w:rFonts w:hint="default"/>
              </w:rPr>
            </w:sdtEndPr>
            <w:sdtContent>
              <w:p>
                <w:pPr>
                  <w:jc w:val="center"/>
                  <w:rPr>
                    <w:szCs w:val="21"/>
                  </w:rPr>
                </w:pPr>
                <w:r>
                  <w:rPr>
                    <w:rFonts w:hint="eastAsia"/>
                    <w:szCs w:val="21"/>
                  </w:rPr>
                  <w:t>占预付款项期末余额合计数的比例(</w:t>
                </w:r>
                <w:r>
                  <w:rPr>
                    <w:szCs w:val="21"/>
                  </w:rPr>
                  <w:t>%)</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11" w:type="dxa"/>
            <w:vAlign w:val="center"/>
          </w:tcPr>
          <w:p>
            <w:pPr>
              <w:ind w:right="55" w:rightChars="0"/>
              <w:rPr>
                <w:szCs w:val="21"/>
              </w:rPr>
            </w:pPr>
            <w:r>
              <w:rPr>
                <w:rFonts w:hint="eastAsia"/>
                <w:color w:val="auto"/>
              </w:rPr>
              <w:t>泗阳县翱翔旅游用品有限公司</w:t>
            </w:r>
          </w:p>
        </w:tc>
        <w:tc>
          <w:tcPr>
            <w:tcW w:w="3013" w:type="dxa"/>
            <w:vAlign w:val="center"/>
          </w:tcPr>
          <w:p>
            <w:pPr>
              <w:ind w:right="73"/>
              <w:jc w:val="right"/>
              <w:rPr>
                <w:szCs w:val="21"/>
              </w:rPr>
            </w:pPr>
            <w:r>
              <w:rPr>
                <w:rFonts w:hint="eastAsia"/>
                <w:color w:val="auto"/>
              </w:rPr>
              <w:t>1,866,095.37</w:t>
            </w:r>
          </w:p>
        </w:tc>
        <w:tc>
          <w:tcPr>
            <w:tcW w:w="3013" w:type="dxa"/>
            <w:vAlign w:val="center"/>
          </w:tcPr>
          <w:p>
            <w:pPr>
              <w:jc w:val="right"/>
              <w:rPr>
                <w:szCs w:val="21"/>
              </w:rPr>
            </w:pPr>
            <w:r>
              <w:rPr>
                <w:rFonts w:hint="eastAsia"/>
                <w:color w:val="auto"/>
              </w:rPr>
              <w:t>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11" w:type="dxa"/>
            <w:vAlign w:val="center"/>
          </w:tcPr>
          <w:p>
            <w:pPr>
              <w:ind w:right="55" w:rightChars="0"/>
              <w:rPr>
                <w:szCs w:val="21"/>
              </w:rPr>
            </w:pPr>
            <w:r>
              <w:rPr>
                <w:rFonts w:hint="eastAsia"/>
                <w:color w:val="auto"/>
              </w:rPr>
              <w:t>中国石化化工销售有限公司华东分公司</w:t>
            </w:r>
          </w:p>
        </w:tc>
        <w:tc>
          <w:tcPr>
            <w:tcW w:w="3013" w:type="dxa"/>
            <w:vAlign w:val="center"/>
          </w:tcPr>
          <w:p>
            <w:pPr>
              <w:ind w:right="73"/>
              <w:jc w:val="right"/>
              <w:rPr>
                <w:szCs w:val="21"/>
              </w:rPr>
            </w:pPr>
            <w:r>
              <w:rPr>
                <w:rFonts w:hint="eastAsia"/>
                <w:color w:val="auto"/>
              </w:rPr>
              <w:t>938,770.07</w:t>
            </w:r>
          </w:p>
        </w:tc>
        <w:tc>
          <w:tcPr>
            <w:tcW w:w="3013" w:type="dxa"/>
            <w:vAlign w:val="center"/>
          </w:tcPr>
          <w:p>
            <w:pPr>
              <w:jc w:val="right"/>
              <w:rPr>
                <w:szCs w:val="21"/>
              </w:rPr>
            </w:pPr>
            <w:r>
              <w:rPr>
                <w:rFonts w:hint="eastAsia"/>
                <w:color w:val="auto"/>
              </w:rPr>
              <w:t>4.91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11" w:type="dxa"/>
            <w:vAlign w:val="center"/>
          </w:tcPr>
          <w:p>
            <w:pPr>
              <w:ind w:right="-145" w:rightChars="0"/>
              <w:rPr>
                <w:szCs w:val="21"/>
              </w:rPr>
            </w:pPr>
            <w:r>
              <w:rPr>
                <w:rFonts w:hint="eastAsia"/>
                <w:color w:val="auto"/>
              </w:rPr>
              <w:t>杭州阿里妈妈软件服务有限公司</w:t>
            </w:r>
          </w:p>
        </w:tc>
        <w:tc>
          <w:tcPr>
            <w:tcW w:w="3013" w:type="dxa"/>
            <w:vAlign w:val="center"/>
          </w:tcPr>
          <w:p>
            <w:pPr>
              <w:ind w:right="73"/>
              <w:jc w:val="right"/>
              <w:rPr>
                <w:szCs w:val="21"/>
              </w:rPr>
            </w:pPr>
            <w:r>
              <w:rPr>
                <w:rFonts w:hint="eastAsia"/>
                <w:color w:val="auto"/>
              </w:rPr>
              <w:t>800,000.00</w:t>
            </w:r>
          </w:p>
        </w:tc>
        <w:tc>
          <w:tcPr>
            <w:tcW w:w="3013" w:type="dxa"/>
            <w:vAlign w:val="center"/>
          </w:tcPr>
          <w:p>
            <w:pPr>
              <w:jc w:val="right"/>
              <w:rPr>
                <w:szCs w:val="21"/>
              </w:rPr>
            </w:pPr>
            <w:r>
              <w:rPr>
                <w:rFonts w:hint="eastAsia"/>
                <w:color w:val="auto"/>
              </w:rPr>
              <w:t>4.18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11" w:type="dxa"/>
            <w:vAlign w:val="center"/>
          </w:tcPr>
          <w:p>
            <w:pPr>
              <w:ind w:right="105"/>
              <w:rPr>
                <w:szCs w:val="21"/>
              </w:rPr>
            </w:pPr>
            <w:r>
              <w:rPr>
                <w:rFonts w:hint="eastAsia"/>
                <w:color w:val="auto"/>
              </w:rPr>
              <w:t>义乌市秀航箱包有限公司</w:t>
            </w:r>
          </w:p>
        </w:tc>
        <w:tc>
          <w:tcPr>
            <w:tcW w:w="3013" w:type="dxa"/>
            <w:vAlign w:val="center"/>
          </w:tcPr>
          <w:p>
            <w:pPr>
              <w:ind w:right="73"/>
              <w:jc w:val="right"/>
              <w:rPr>
                <w:szCs w:val="21"/>
              </w:rPr>
            </w:pPr>
            <w:r>
              <w:rPr>
                <w:rFonts w:hint="eastAsia"/>
                <w:color w:val="auto"/>
              </w:rPr>
              <w:t>434,000.00</w:t>
            </w:r>
          </w:p>
        </w:tc>
        <w:tc>
          <w:tcPr>
            <w:tcW w:w="3013" w:type="dxa"/>
            <w:vAlign w:val="center"/>
          </w:tcPr>
          <w:p>
            <w:pPr>
              <w:jc w:val="right"/>
              <w:rPr>
                <w:szCs w:val="21"/>
              </w:rPr>
            </w:pPr>
            <w:r>
              <w:rPr>
                <w:rFonts w:hint="eastAsia"/>
                <w:color w:val="auto"/>
              </w:rPr>
              <w:t>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11" w:type="dxa"/>
            <w:vAlign w:val="center"/>
          </w:tcPr>
          <w:p>
            <w:pPr>
              <w:ind w:right="105"/>
              <w:rPr>
                <w:szCs w:val="21"/>
              </w:rPr>
            </w:pPr>
            <w:r>
              <w:rPr>
                <w:rFonts w:hint="eastAsia"/>
                <w:color w:val="auto"/>
              </w:rPr>
              <w:t>宁波开利控股集团有限公司</w:t>
            </w:r>
          </w:p>
        </w:tc>
        <w:tc>
          <w:tcPr>
            <w:tcW w:w="3013" w:type="dxa"/>
            <w:vAlign w:val="center"/>
          </w:tcPr>
          <w:p>
            <w:pPr>
              <w:ind w:right="73"/>
              <w:jc w:val="right"/>
              <w:rPr>
                <w:szCs w:val="21"/>
              </w:rPr>
            </w:pPr>
            <w:r>
              <w:rPr>
                <w:rFonts w:hint="eastAsia"/>
                <w:color w:val="auto"/>
              </w:rPr>
              <w:t>429,000.00</w:t>
            </w:r>
          </w:p>
        </w:tc>
        <w:tc>
          <w:tcPr>
            <w:tcW w:w="3013" w:type="dxa"/>
            <w:vAlign w:val="center"/>
          </w:tcPr>
          <w:p>
            <w:pPr>
              <w:jc w:val="right"/>
              <w:rPr>
                <w:szCs w:val="21"/>
              </w:rPr>
            </w:pPr>
            <w:r>
              <w:rPr>
                <w:rFonts w:hint="eastAsia"/>
                <w:color w:val="auto"/>
              </w:rPr>
              <w:t>2.24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11" w:type="dxa"/>
            <w:vAlign w:val="center"/>
          </w:tcPr>
          <w:p>
            <w:pPr>
              <w:ind w:right="105"/>
              <w:jc w:val="center"/>
              <w:rPr>
                <w:szCs w:val="21"/>
              </w:rPr>
            </w:pPr>
            <w:r>
              <w:rPr>
                <w:rFonts w:hint="eastAsia"/>
                <w:szCs w:val="21"/>
              </w:rPr>
              <w:t>合计</w:t>
            </w:r>
          </w:p>
        </w:tc>
        <w:tc>
          <w:tcPr>
            <w:tcW w:w="3013" w:type="dxa"/>
            <w:vAlign w:val="center"/>
          </w:tcPr>
          <w:p>
            <w:pPr>
              <w:ind w:right="73"/>
              <w:jc w:val="right"/>
              <w:rPr>
                <w:szCs w:val="21"/>
              </w:rPr>
            </w:pPr>
            <w:r>
              <w:rPr>
                <w:rFonts w:hint="eastAsia"/>
                <w:color w:val="auto"/>
              </w:rPr>
              <w:t>4,467,865.44</w:t>
            </w:r>
          </w:p>
        </w:tc>
        <w:tc>
          <w:tcPr>
            <w:tcW w:w="3013" w:type="dxa"/>
            <w:vAlign w:val="center"/>
          </w:tcPr>
          <w:p>
            <w:pPr>
              <w:jc w:val="right"/>
              <w:rPr>
                <w:szCs w:val="21"/>
              </w:rPr>
            </w:pPr>
            <w:r>
              <w:rPr>
                <w:rFonts w:hint="eastAsia"/>
                <w:color w:val="auto"/>
              </w:rPr>
              <w:t>23.36</w:t>
            </w:r>
          </w:p>
        </w:tc>
      </w:tr>
    </w:tbl>
    <w:p>
      <w:pPr>
        <w:snapToGrid w:val="0"/>
        <w:spacing w:line="240" w:lineRule="atLeast"/>
        <w:rPr>
          <w:szCs w:val="21"/>
        </w:rPr>
      </w:pPr>
    </w:p>
    <w:p>
      <w:pPr>
        <w:snapToGrid w:val="0"/>
        <w:spacing w:line="240" w:lineRule="atLeast"/>
        <w:rPr>
          <w:szCs w:val="21"/>
        </w:rPr>
      </w:pPr>
      <w:r>
        <w:rPr>
          <w:rFonts w:hint="eastAsia"/>
          <w:szCs w:val="21"/>
        </w:rPr>
        <w:t>其他说明：</w:t>
      </w:r>
    </w:p>
    <w:sdt>
      <w:sdtPr>
        <w:rPr>
          <w:szCs w:val="21"/>
        </w:rPr>
        <w:alias w:val="按预付对象归集的期末余额前五名的预付款情况的说明"/>
        <w:tag w:val="_GBC_01cbdc0115484d88931f2dbcc9e0aa2b"/>
        <w:id w:val="6870"/>
        <w:placeholder>
          <w:docPart w:val="GBC22222222222222222222222222222"/>
        </w:placeholder>
      </w:sdtPr>
      <w:sdtEndPr>
        <w:rPr>
          <w:szCs w:val="21"/>
        </w:rPr>
      </w:sdtEndPr>
      <w:sdtContent>
        <w:p>
          <w:pPr>
            <w:snapToGrid w:val="0"/>
            <w:spacing w:line="240" w:lineRule="atLeast"/>
            <w:rPr>
              <w:szCs w:val="21"/>
            </w:rPr>
          </w:pPr>
          <w:r>
            <w:rPr>
              <w:rFonts w:hint="eastAsia"/>
              <w:szCs w:val="21"/>
            </w:rPr>
            <w:t>无</w:t>
          </w:r>
        </w:p>
      </w:sdtContent>
    </w:sdt>
    <w:p>
      <w:pPr>
        <w:snapToGrid w:val="0"/>
        <w:spacing w:line="240" w:lineRule="atLeast"/>
        <w:rPr>
          <w:szCs w:val="21"/>
        </w:rPr>
      </w:pPr>
    </w:p>
    <w:p>
      <w:r>
        <w:rPr>
          <w:rFonts w:hint="eastAsia"/>
        </w:rPr>
        <w:t>其他说明：</w:t>
      </w:r>
    </w:p>
    <w:sdt>
      <w:sdtPr>
        <w:rPr>
          <w:rFonts w:hint="eastAsia"/>
          <w:szCs w:val="21"/>
        </w:rPr>
        <w:alias w:val="是否适用：预付帐款的说明[双击切换]"/>
        <w:tag w:val="_GBC_292d88b78b6d439981e508e0126d8061"/>
        <w:id w:val="6871"/>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sdt>
      <w:sdtPr>
        <w:tag w:val="_PLD_2214515e78144414980f179f76408d31"/>
        <w:id w:val="6872"/>
      </w:sdtPr>
      <w:sdtContent>
        <w:p>
          <w:pPr>
            <w:pStyle w:val="4"/>
            <w:numPr>
              <w:ilvl w:val="0"/>
              <w:numId w:val="62"/>
            </w:numPr>
          </w:pPr>
          <w:r>
            <w:rPr>
              <w:rFonts w:hint="eastAsia"/>
            </w:rPr>
            <w:t>其他应收款</w:t>
          </w:r>
        </w:p>
      </w:sdtContent>
    </w:sdt>
    <w:p>
      <w:pPr>
        <w:pStyle w:val="5"/>
        <w:rPr>
          <w:rFonts w:hint="eastAsia"/>
        </w:rPr>
      </w:pPr>
      <w:bookmarkStart w:id="245" w:name="_Hlk532906090"/>
      <w:r>
        <w:rPr>
          <w:rFonts w:hint="eastAsia" w:ascii="宋体" w:hAnsi="宋体" w:eastAsia="宋体" w:cs="宋体"/>
          <w:kern w:val="0"/>
          <w:szCs w:val="24"/>
        </w:rPr>
        <w:t>项目列示</w:t>
      </w:r>
    </w:p>
    <w:sdt>
      <w:sdtPr>
        <w:alias w:val="是否适用：其他应收款分类列示[双击切换]"/>
        <w:tag w:val="_GBC_5cf24a2049f64010a4df1f0db5a97234"/>
        <w:id w:val="6873"/>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其他应收款分类列示"/>
          <w:tag w:val="_GBC_7f9aa6546943491ca0ac8585be1822b5"/>
          <w:id w:val="687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其他应收款分类列示"/>
          <w:tag w:val="_GBC_04bd5c819b004daf9b35f05cdd98046d"/>
          <w:id w:val="687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3196"/>
        <w:gridCol w:w="2938"/>
        <w:gridCol w:w="2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196" w:type="dxa"/>
            <w:vAlign w:val="center"/>
          </w:tcPr>
          <w:sdt>
            <w:sdtPr>
              <w:tag w:val="_PLD_4377dcbf8fc04365884311b6628ee70c"/>
              <w:id w:val="6876"/>
            </w:sdtPr>
            <w:sdtContent>
              <w:p>
                <w:pPr>
                  <w:jc w:val="center"/>
                  <w:rPr>
                    <w:szCs w:val="21"/>
                  </w:rPr>
                </w:pPr>
                <w:r>
                  <w:rPr>
                    <w:rFonts w:hint="eastAsia"/>
                    <w:szCs w:val="21"/>
                  </w:rPr>
                  <w:t>项目</w:t>
                </w:r>
              </w:p>
            </w:sdtContent>
          </w:sdt>
        </w:tc>
        <w:tc>
          <w:tcPr>
            <w:tcW w:w="2938" w:type="dxa"/>
            <w:vAlign w:val="center"/>
          </w:tcPr>
          <w:sdt>
            <w:sdtPr>
              <w:tag w:val="_PLD_9eed799cfa4b445abd6bf2c21c8e53d1"/>
              <w:id w:val="6877"/>
            </w:sdtPr>
            <w:sdtContent>
              <w:p>
                <w:pPr>
                  <w:jc w:val="center"/>
                  <w:rPr>
                    <w:szCs w:val="21"/>
                  </w:rPr>
                </w:pPr>
                <w:r>
                  <w:rPr>
                    <w:rFonts w:hint="eastAsia"/>
                    <w:szCs w:val="21"/>
                  </w:rPr>
                  <w:t>期末余额</w:t>
                </w:r>
              </w:p>
            </w:sdtContent>
          </w:sdt>
        </w:tc>
        <w:tc>
          <w:tcPr>
            <w:tcW w:w="2924" w:type="dxa"/>
            <w:vAlign w:val="center"/>
          </w:tcPr>
          <w:sdt>
            <w:sdtPr>
              <w:tag w:val="_PLD_200365ee1196470e91075b949a7f5552"/>
              <w:id w:val="6878"/>
            </w:sdtPr>
            <w:sdtContent>
              <w:p>
                <w:pPr>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196" w:type="dxa"/>
            <w:vAlign w:val="center"/>
          </w:tcPr>
          <w:p>
            <w:pPr>
              <w:ind w:right="5"/>
              <w:rPr>
                <w:szCs w:val="21"/>
              </w:rPr>
            </w:pPr>
            <w:r>
              <w:rPr>
                <w:rFonts w:hint="eastAsia"/>
                <w:szCs w:val="21"/>
              </w:rPr>
              <w:t>应收股利</w:t>
            </w:r>
          </w:p>
        </w:tc>
        <w:tc>
          <w:tcPr>
            <w:tcW w:w="2938" w:type="dxa"/>
            <w:vAlign w:val="center"/>
          </w:tcPr>
          <w:p>
            <w:pPr>
              <w:ind w:right="5"/>
              <w:jc w:val="right"/>
              <w:rPr>
                <w:szCs w:val="21"/>
              </w:rPr>
            </w:pPr>
            <w:r>
              <w:rPr>
                <w:rFonts w:hint="eastAsia"/>
                <w:color w:val="auto"/>
              </w:rPr>
              <w:t>2,888,043.30</w:t>
            </w:r>
          </w:p>
        </w:tc>
        <w:tc>
          <w:tcPr>
            <w:tcW w:w="2924" w:type="dxa"/>
            <w:vAlign w:val="center"/>
          </w:tcPr>
          <w:p>
            <w:pPr>
              <w:ind w:right="5"/>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3196" w:type="dxa"/>
            <w:vAlign w:val="center"/>
          </w:tcPr>
          <w:p>
            <w:pPr>
              <w:ind w:right="5"/>
              <w:rPr>
                <w:szCs w:val="21"/>
              </w:rPr>
            </w:pPr>
            <w:r>
              <w:rPr>
                <w:rFonts w:hint="eastAsia"/>
                <w:szCs w:val="21"/>
              </w:rPr>
              <w:t>其他应收款</w:t>
            </w:r>
          </w:p>
        </w:tc>
        <w:tc>
          <w:tcPr>
            <w:tcW w:w="2938" w:type="dxa"/>
            <w:vAlign w:val="center"/>
          </w:tcPr>
          <w:p>
            <w:pPr>
              <w:ind w:right="5"/>
              <w:jc w:val="right"/>
              <w:rPr>
                <w:szCs w:val="21"/>
              </w:rPr>
            </w:pPr>
            <w:r>
              <w:rPr>
                <w:rFonts w:hint="eastAsia"/>
                <w:color w:val="auto"/>
              </w:rPr>
              <w:t>14,541,501.39</w:t>
            </w:r>
          </w:p>
        </w:tc>
        <w:tc>
          <w:tcPr>
            <w:tcW w:w="2924" w:type="dxa"/>
            <w:vAlign w:val="center"/>
          </w:tcPr>
          <w:p>
            <w:pPr>
              <w:ind w:right="5"/>
              <w:jc w:val="right"/>
              <w:rPr>
                <w:szCs w:val="21"/>
              </w:rPr>
            </w:pPr>
            <w:r>
              <w:rPr>
                <w:rFonts w:hint="eastAsia"/>
                <w:color w:val="auto"/>
              </w:rPr>
              <w:t>13,518,822.14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196" w:type="dxa"/>
            <w:vAlign w:val="center"/>
          </w:tcPr>
          <w:p>
            <w:pPr>
              <w:autoSpaceDE w:val="0"/>
              <w:autoSpaceDN w:val="0"/>
              <w:adjustRightInd w:val="0"/>
              <w:rPr>
                <w:szCs w:val="21"/>
              </w:rPr>
            </w:pPr>
            <w:r>
              <w:rPr>
                <w:rFonts w:hint="eastAsia"/>
                <w:szCs w:val="21"/>
              </w:rPr>
              <w:t>合计</w:t>
            </w:r>
          </w:p>
        </w:tc>
        <w:tc>
          <w:tcPr>
            <w:tcW w:w="2938" w:type="dxa"/>
            <w:vAlign w:val="center"/>
          </w:tcPr>
          <w:p>
            <w:pPr>
              <w:jc w:val="right"/>
              <w:rPr>
                <w:szCs w:val="21"/>
              </w:rPr>
            </w:pPr>
            <w:r>
              <w:rPr>
                <w:rFonts w:hint="eastAsia"/>
                <w:color w:val="auto"/>
              </w:rPr>
              <w:t>17,429,544.69</w:t>
            </w:r>
          </w:p>
        </w:tc>
        <w:tc>
          <w:tcPr>
            <w:tcW w:w="2924" w:type="dxa"/>
            <w:vAlign w:val="center"/>
          </w:tcPr>
          <w:p>
            <w:pPr>
              <w:jc w:val="right"/>
              <w:rPr>
                <w:szCs w:val="21"/>
              </w:rPr>
            </w:pPr>
            <w:r>
              <w:rPr>
                <w:rFonts w:hint="eastAsia"/>
                <w:color w:val="auto"/>
              </w:rPr>
              <w:t>13,518,822.14</w:t>
            </w:r>
          </w:p>
        </w:tc>
      </w:tr>
    </w:tbl>
    <w:p/>
    <w:bookmarkEnd w:id="245"/>
    <w:p>
      <w:pPr>
        <w:rPr>
          <w:szCs w:val="21"/>
        </w:rPr>
      </w:pPr>
      <w:bookmarkStart w:id="246" w:name="_Hlk532906097"/>
      <w:r>
        <w:rPr>
          <w:rFonts w:hint="eastAsia"/>
          <w:szCs w:val="21"/>
        </w:rPr>
        <w:t>其他说明</w:t>
      </w:r>
      <w:bookmarkEnd w:id="246"/>
      <w:r>
        <w:rPr>
          <w:rFonts w:hint="eastAsia"/>
          <w:szCs w:val="21"/>
        </w:rPr>
        <w:t>：</w:t>
      </w:r>
    </w:p>
    <w:sdt>
      <w:sdtPr>
        <w:rPr>
          <w:szCs w:val="21"/>
        </w:rPr>
        <w:alias w:val="是否适用：其他应收款分类列示其他说明[双击切换]"/>
        <w:tag w:val="_GBC_87a25d8043fc4fcfac6a8c802b58dfc7"/>
        <w:id w:val="6879"/>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5"/>
        <w:ind w:left="360" w:hanging="360"/>
        <w:rPr>
          <w:rFonts w:hint="eastAsia"/>
        </w:rPr>
      </w:pPr>
      <w:r>
        <w:rPr>
          <w:rFonts w:hint="eastAsia"/>
        </w:rPr>
        <w:t>应收利息</w:t>
      </w:r>
    </w:p>
    <w:p>
      <w:pPr>
        <w:pStyle w:val="6"/>
        <w:numPr>
          <w:ilvl w:val="0"/>
          <w:numId w:val="68"/>
        </w:numPr>
        <w:ind w:leftChars="0"/>
      </w:pPr>
      <w:r>
        <w:rPr>
          <w:rFonts w:hint="eastAsia"/>
        </w:rPr>
        <w:t>应收利息分类</w:t>
      </w:r>
    </w:p>
    <w:sdt>
      <w:sdtPr>
        <w:alias w:val="是否适用：应收利息分类[双击切换]"/>
        <w:tag w:val="_GBC_83217ec91e3240eeb9ff337eca1b11bb"/>
        <w:id w:val="688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pStyle w:val="6"/>
        <w:numPr>
          <w:ilvl w:val="0"/>
          <w:numId w:val="68"/>
        </w:numPr>
        <w:ind w:leftChars="0"/>
      </w:pPr>
      <w:r>
        <w:rPr>
          <w:rFonts w:hint="eastAsia"/>
        </w:rPr>
        <w:t>重要逾期利息</w:t>
      </w:r>
    </w:p>
    <w:sdt>
      <w:sdtPr>
        <w:alias w:val="是否适用：重要逾期利息[双击切换]"/>
        <w:tag w:val="_GBC_4720cbb6fd9144c2b14ef7120e6159be"/>
        <w:id w:val="6881"/>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6"/>
        <w:numPr>
          <w:ilvl w:val="0"/>
          <w:numId w:val="68"/>
        </w:numPr>
        <w:ind w:leftChars="0"/>
        <w:rPr>
          <w:rFonts w:hint="eastAsia" w:ascii="宋体" w:hAnsi="宋体" w:cs="宋体"/>
          <w:kern w:val="0"/>
          <w:szCs w:val="24"/>
        </w:rPr>
      </w:pPr>
      <w:bookmarkStart w:id="247" w:name="_Hlk153374831"/>
      <w:r>
        <w:rPr>
          <w:rFonts w:hint="eastAsia" w:ascii="宋体" w:hAnsi="宋体" w:cs="宋体"/>
          <w:kern w:val="0"/>
          <w:szCs w:val="24"/>
        </w:rPr>
        <w:t>按</w:t>
      </w:r>
      <w:r>
        <w:rPr>
          <w:rFonts w:ascii="宋体" w:hAnsi="宋体" w:cs="宋体"/>
          <w:kern w:val="0"/>
          <w:szCs w:val="24"/>
        </w:rPr>
        <w:t>坏账计提方法分类披露</w:t>
      </w:r>
    </w:p>
    <w:sdt>
      <w:sdtPr>
        <w:alias w:val="是否适用：按坏账计提方法分类披露[双击切换]"/>
        <w:tag w:val="_GBC_4dfa1c3f378a461fb32dcc384b94c01c"/>
        <w:id w:val="6882"/>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400" w:lineRule="exact"/>
            <w:textAlignment w:val="auto"/>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pPr>
    </w:p>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t>按单项计提坏账准备：</w:t>
      </w:r>
    </w:p>
    <w:sdt>
      <w:sdtPr>
        <w:alias w:val="是否适用：按单项计提坏账准备的详细情况[双击切换]"/>
        <w:tag w:val="_GBC_f555101264ef4acba1df68e54d30175a"/>
        <w:id w:val="6883"/>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400" w:lineRule="exact"/>
            <w:textAlignment w:val="auto"/>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szCs w:val="21"/>
        </w:rPr>
      </w:pPr>
      <w:r>
        <w:rPr>
          <w:rFonts w:hint="eastAsia"/>
          <w:szCs w:val="21"/>
        </w:rPr>
        <w:t>按单项计提坏账准备的说明：</w:t>
      </w:r>
    </w:p>
    <w:sdt>
      <w:sdtPr>
        <w:rPr>
          <w:szCs w:val="21"/>
        </w:rPr>
        <w:alias w:val="是否适用：按单项计提坏账准备的说明[双击切换]"/>
        <w:tag w:val="_GBC_e7140d40a6d84e56957900180d1e6af2"/>
        <w:id w:val="6884"/>
        <w:placeholder>
          <w:docPart w:val="GBC22222222222222222222222222222"/>
        </w:placeholder>
      </w:sdtPr>
      <w:sdtEndPr>
        <w:rPr>
          <w:szCs w:val="21"/>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szCs w:val="21"/>
        </w:rPr>
      </w:pPr>
    </w:p>
    <w:p>
      <w:pPr>
        <w:keepNext w:val="0"/>
        <w:keepLines w:val="0"/>
        <w:pageBreakBefore w:val="0"/>
        <w:widowControl/>
        <w:kinsoku/>
        <w:wordWrap/>
        <w:overflowPunct/>
        <w:topLinePunct w:val="0"/>
        <w:autoSpaceDE/>
        <w:autoSpaceDN/>
        <w:bidi w:val="0"/>
        <w:adjustRightInd/>
        <w:snapToGrid/>
        <w:spacing w:line="400" w:lineRule="exact"/>
        <w:textAlignment w:val="auto"/>
        <w:rPr>
          <w:rFonts w:ascii="Calibri" w:hAnsi="Calibri"/>
          <w:bCs/>
          <w:szCs w:val="22"/>
        </w:rPr>
      </w:pPr>
      <w:r>
        <w:rPr>
          <w:rFonts w:hint="eastAsia" w:ascii="Calibri" w:hAnsi="Calibri"/>
          <w:bCs/>
          <w:szCs w:val="22"/>
        </w:rPr>
        <w:t>按组合计提坏账准备：</w:t>
      </w:r>
    </w:p>
    <w:sdt>
      <w:sdtPr>
        <w:rPr>
          <w:rFonts w:ascii="Calibri" w:hAnsi="Calibri"/>
          <w:bCs/>
          <w:szCs w:val="22"/>
        </w:rPr>
        <w:alias w:val="是否适用：按组合计提坏账准备的详细情况[双击切换]"/>
        <w:tag w:val="_GBC_ee220409efb74ad0a4dffa7172a6bdf0"/>
        <w:id w:val="6885"/>
        <w:placeholder>
          <w:docPart w:val="GBC22222222222222222222222222222"/>
        </w:placeholder>
      </w:sdtPr>
      <w:sdtEndPr>
        <w:rPr>
          <w:rFonts w:ascii="Calibri" w:hAnsi="Calibri"/>
          <w:bCs/>
          <w:szCs w:val="22"/>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rFonts w:ascii="Calibri" w:hAnsi="Calibri"/>
              <w:bCs/>
              <w:szCs w:val="22"/>
            </w:rPr>
          </w:pPr>
          <w:r>
            <w:rPr>
              <w:rFonts w:ascii="宋体" w:hAnsi="宋体"/>
              <w:bCs/>
              <w:szCs w:val="22"/>
            </w:rPr>
            <w:fldChar w:fldCharType="begin"/>
          </w:r>
          <w:r>
            <w:rPr>
              <w:rFonts w:ascii="宋体" w:hAnsi="宋体"/>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Pr>
              <w:rFonts w:ascii="宋体" w:hAnsi="宋体"/>
              <w:bCs/>
              <w:szCs w:val="22"/>
            </w:rPr>
            <w:instrText xml:space="preserve"> MACROBUTTON  SnrToggleCheckbox √不适用 </w:instrText>
          </w:r>
          <w:r>
            <w:rPr>
              <w:rFonts w:ascii="宋体" w:hAnsi="宋体"/>
              <w:bCs/>
              <w:szCs w:val="22"/>
            </w:rPr>
            <w:fldChar w:fldCharType="end"/>
          </w:r>
        </w:p>
      </w:sdtContent>
    </w:sdt>
    <w:bookmarkEnd w:id="247"/>
    <w:p>
      <w:pPr>
        <w:pStyle w:val="6"/>
        <w:numPr>
          <w:ilvl w:val="0"/>
          <w:numId w:val="68"/>
        </w:numPr>
        <w:ind w:leftChars="0"/>
      </w:pPr>
      <w:bookmarkStart w:id="248" w:name="_Hlk533867290"/>
      <w:r>
        <w:rPr>
          <w:rFonts w:hint="eastAsia" w:ascii="宋体" w:hAnsi="宋体" w:cs="宋体"/>
          <w:kern w:val="0"/>
          <w:szCs w:val="24"/>
        </w:rPr>
        <w:t>按预期信用损失一般模型计提坏账准备</w:t>
      </w:r>
    </w:p>
    <w:sdt>
      <w:sdtPr>
        <w:rPr>
          <w:szCs w:val="21"/>
        </w:rPr>
        <w:alias w:val="是否适用：应收利息坏账准备调节表[双击切换]"/>
        <w:tag w:val="_GBC_2926f106217b4c11a5fe606b79f60d83"/>
        <w:id w:val="6886"/>
        <w:placeholder>
          <w:docPart w:val="GBC22222222222222222222222222222"/>
        </w:placeholder>
      </w:sdtPr>
      <w:sdtEndPr>
        <w:rPr>
          <w:szCs w:val="21"/>
        </w:rPr>
      </w:sdtEndPr>
      <w:sdtContent>
        <w:p>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t>各阶段划分依据和坏账准备计提比例</w:t>
      </w:r>
    </w:p>
    <w:sdt>
      <w:sdtPr>
        <w:alias w:val="应收利息各阶段划分依据和坏账准备计提比例"/>
        <w:tag w:val="_GBC_59f57028d34346fc91962be3047fd594"/>
        <w:id w:val="6887"/>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t>无</w:t>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t>对本期发生损失准备变动的应收利息账面余额显著变动的情况说明：</w:t>
      </w:r>
    </w:p>
    <w:sdt>
      <w:sdtPr>
        <w:alias w:val="是否适用：应收利息本期发生损失准备变动且账面余额显著变动的情况说明[双击切换]"/>
        <w:tag w:val="_GBC_07d71685a64f4800b3e351083fc5c9ae"/>
        <w:id w:val="6888"/>
        <w:placeholder>
          <w:docPart w:val="GBC22222222222222222222222222222"/>
        </w:placeholder>
      </w:sdtPr>
      <w:sdtEndPr>
        <w:rPr>
          <w:szCs w:val="21"/>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szCs w:val="21"/>
            </w:rPr>
          </w:pPr>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pPr>
        <w:autoSpaceDE w:val="0"/>
        <w:autoSpaceDN w:val="0"/>
        <w:adjustRightInd w:val="0"/>
        <w:ind w:right="105" w:rightChars="50"/>
        <w:rPr>
          <w:szCs w:val="21"/>
        </w:rPr>
      </w:pPr>
    </w:p>
    <w:bookmarkEnd w:id="248"/>
    <w:p>
      <w:pPr>
        <w:pStyle w:val="6"/>
        <w:numPr>
          <w:ilvl w:val="0"/>
          <w:numId w:val="68"/>
        </w:numPr>
        <w:ind w:leftChars="0"/>
        <w:rPr>
          <w:rFonts w:hint="eastAsia" w:ascii="宋体" w:hAnsi="宋体" w:cs="宋体"/>
          <w:kern w:val="0"/>
          <w:szCs w:val="24"/>
        </w:rPr>
      </w:pPr>
      <w:bookmarkStart w:id="249" w:name="_Hlk153375041"/>
      <w:r>
        <w:rPr>
          <w:rFonts w:hint="eastAsia" w:ascii="宋体" w:hAnsi="宋体" w:cs="宋体"/>
          <w:kern w:val="0"/>
          <w:szCs w:val="24"/>
        </w:rPr>
        <w:t>坏账准备的情况</w:t>
      </w:r>
    </w:p>
    <w:sdt>
      <w:sdtPr>
        <w:alias w:val="是否适用：坏账准备情况[双击切换]"/>
        <w:tag w:val="_GBC_faf892fca7fd4a8ebcdef2231ff828bc"/>
        <w:id w:val="6889"/>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t>其中本期坏账准备收回或转回金额重要的：</w:t>
      </w:r>
    </w:p>
    <w:sdt>
      <w:sdtPr>
        <w:alias w:val="是否适用：本期坏账准备收回或转回金额重要的[双击切换]"/>
        <w:tag w:val="_GBC_5a2d052a52b74bb7a867cb7ad62574c9"/>
        <w:id w:val="6890"/>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400" w:lineRule="exact"/>
            <w:textAlignment w:val="auto"/>
          </w:pPr>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t>其他说明：</w:t>
      </w:r>
    </w:p>
    <w:sdt>
      <w:sdtPr>
        <w:alias w:val="坏账准备情况的说明"/>
        <w:tag w:val="_GBC_79d8ee00a1ce479db5cb5285f72aaea4"/>
        <w:id w:val="6891"/>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400" w:lineRule="exact"/>
            <w:textAlignment w:val="auto"/>
          </w:pPr>
          <w:r>
            <w:t>无</w:t>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pPr>
    </w:p>
    <w:p>
      <w:pPr>
        <w:pStyle w:val="6"/>
        <w:numPr>
          <w:ilvl w:val="0"/>
          <w:numId w:val="68"/>
        </w:numPr>
        <w:ind w:leftChars="0"/>
        <w:rPr>
          <w:rFonts w:hint="eastAsia" w:ascii="宋体" w:hAnsi="宋体" w:cs="宋体"/>
          <w:kern w:val="0"/>
          <w:szCs w:val="24"/>
        </w:rPr>
      </w:pPr>
      <w:r>
        <w:rPr>
          <w:rFonts w:ascii="宋体" w:hAnsi="宋体" w:cs="宋体"/>
          <w:kern w:val="0"/>
          <w:szCs w:val="24"/>
        </w:rPr>
        <w:t>本期实际核销的应收</w:t>
      </w:r>
      <w:r>
        <w:rPr>
          <w:rFonts w:hint="eastAsia" w:ascii="宋体" w:hAnsi="宋体" w:cs="宋体"/>
          <w:kern w:val="0"/>
          <w:szCs w:val="24"/>
        </w:rPr>
        <w:t>利息</w:t>
      </w:r>
      <w:r>
        <w:rPr>
          <w:rFonts w:ascii="宋体" w:hAnsi="宋体" w:cs="宋体"/>
          <w:kern w:val="0"/>
          <w:szCs w:val="24"/>
        </w:rPr>
        <w:t>情况</w:t>
      </w:r>
    </w:p>
    <w:sdt>
      <w:sdtPr>
        <w:alias w:val="是否适用：实际核销的情况[双击切换]"/>
        <w:tag w:val="_GBC_d4fcf512bafe4a40a1f75d78eee0f333"/>
        <w:id w:val="6892"/>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rPr>
          <w:szCs w:val="21"/>
        </w:rPr>
      </w:pPr>
      <w:r>
        <w:rPr>
          <w:rFonts w:hint="eastAsia"/>
          <w:szCs w:val="21"/>
        </w:rPr>
        <w:t>其中重要的应收利息核销情况</w:t>
      </w:r>
    </w:p>
    <w:sdt>
      <w:sdtPr>
        <w:rPr>
          <w:rFonts w:hint="eastAsia"/>
          <w:szCs w:val="21"/>
        </w:rPr>
        <w:alias w:val="是否适用：重要的核销情况[双击切换]"/>
        <w:tag w:val="_GBC_2cc69a5549814fd6aee1164366f580ec"/>
        <w:id w:val="6893"/>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snapToGrid w:val="0"/>
        <w:spacing w:line="240" w:lineRule="atLeast"/>
        <w:rPr>
          <w:szCs w:val="21"/>
        </w:rPr>
      </w:pPr>
    </w:p>
    <w:p>
      <w:pPr>
        <w:snapToGrid w:val="0"/>
        <w:spacing w:line="240" w:lineRule="atLeast"/>
        <w:rPr>
          <w:szCs w:val="21"/>
        </w:rPr>
      </w:pPr>
      <w:r>
        <w:rPr>
          <w:rFonts w:hint="eastAsia"/>
          <w:szCs w:val="21"/>
        </w:rPr>
        <w:t>核销说明：</w:t>
      </w:r>
    </w:p>
    <w:sdt>
      <w:sdtPr>
        <w:rPr>
          <w:szCs w:val="21"/>
        </w:rPr>
        <w:alias w:val="是否适用：核销说明[双击切换]"/>
        <w:tag w:val="_GBC_d8b86767c1604cb69ee84c043aa1b8dc"/>
        <w:id w:val="6894"/>
        <w:placeholder>
          <w:docPart w:val="GBC22222222222222222222222222222"/>
        </w:placeholder>
      </w:sdtPr>
      <w:sdtEndPr>
        <w:rPr>
          <w:szCs w:val="21"/>
        </w:rPr>
      </w:sdtEndPr>
      <w:sdtContent>
        <w:p>
          <w:pPr>
            <w:snapToGrid w:val="0"/>
            <w:spacing w:line="240" w:lineRule="atLeast"/>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bookmarkEnd w:id="249"/>
    <w:p>
      <w:r>
        <w:rPr>
          <w:rFonts w:hint="eastAsia"/>
        </w:rPr>
        <w:t>其他说明：</w:t>
      </w:r>
    </w:p>
    <w:sdt>
      <w:sdtPr>
        <w:rPr>
          <w:rFonts w:hint="eastAsia"/>
          <w:szCs w:val="21"/>
        </w:rPr>
        <w:alias w:val="是否适用：应收利息的说明[双击切换]"/>
        <w:tag w:val="_GBC_353af20a1db84c639b0e03e660c37a48"/>
        <w:id w:val="6895"/>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sdt>
      <w:sdtPr>
        <w:tag w:val="_PLD_b4f4db2f3d604f55bacdc7996ee9a9b2"/>
        <w:id w:val="6896"/>
      </w:sdtPr>
      <w:sdtContent>
        <w:p>
          <w:pPr>
            <w:pStyle w:val="4"/>
            <w:numPr>
              <w:ilvl w:val="0"/>
              <w:numId w:val="62"/>
            </w:numPr>
            <w:rPr>
              <w:rFonts w:hint="eastAsia"/>
            </w:rPr>
          </w:pPr>
          <w:r>
            <w:rPr>
              <w:rFonts w:hint="eastAsia"/>
            </w:rPr>
            <w:t>应收股利</w:t>
          </w:r>
        </w:p>
      </w:sdtContent>
    </w:sdt>
    <w:p>
      <w:pPr>
        <w:pStyle w:val="6"/>
        <w:numPr>
          <w:ilvl w:val="0"/>
          <w:numId w:val="69"/>
        </w:numPr>
        <w:ind w:leftChars="0"/>
      </w:pPr>
      <w:r>
        <w:rPr>
          <w:rFonts w:hint="eastAsia"/>
        </w:rPr>
        <w:t>应收股利</w:t>
      </w:r>
    </w:p>
    <w:sdt>
      <w:sdtPr>
        <w:alias w:val="是否适用：应收股利[双击切换]"/>
        <w:tag w:val="_GBC_c0f7b0360a644690b0472107042df17a"/>
        <w:id w:val="6897"/>
        <w:placeholder>
          <w:docPart w:val="GBC22222222222222222222222222222"/>
        </w:placeholder>
      </w:sdtPr>
      <w:sdtContent>
        <w:p>
          <w:r>
            <w:rPr>
              <w:rFonts w:ascii="宋体" w:hAnsi="宋体"/>
            </w:rPr>
            <w:fldChar w:fldCharType="begin"/>
          </w:r>
          <w:r>
            <w:rPr>
              <w:rFonts w:hint="eastAsia" w:ascii="宋体" w:hAnsi="宋体"/>
              <w:lang w:eastAsia="zh-CN"/>
            </w:rPr>
            <w:instrText xml:space="preserve">MACROBUTTON  SnrToggleCheckbox √适用 </w:instrText>
          </w:r>
          <w:r>
            <w:rPr>
              <w:rFonts w:ascii="宋体" w:hAnsi="宋体"/>
            </w:rPr>
            <w:fldChar w:fldCharType="end"/>
          </w:r>
          <w:r>
            <w:rPr>
              <w:rFonts w:ascii="宋体" w:hAnsi="宋体"/>
            </w:rPr>
            <w:fldChar w:fldCharType="begin"/>
          </w:r>
          <w:r>
            <w:rPr>
              <w:rFonts w:hint="eastAsia" w:ascii="宋体" w:hAnsi="宋体"/>
              <w:lang w:eastAsia="zh-CN"/>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应收股利"/>
          <w:tag w:val="_GBC_50f835a1df1e48409cac94b31300ae2b"/>
          <w:id w:val="147468095"/>
          <w:placeholder>
            <w:docPart w:val="{a3681ecd-4ba8-492e-892a-84bb689490a6}"/>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应收股利"/>
          <w:tag w:val="_GBC_51a26d58ea414110b611fe682d0ba316"/>
          <w:id w:val="147466266"/>
          <w:placeholder>
            <w:docPart w:val="{a3681ecd-4ba8-492e-892a-84bb689490a6}"/>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3"/>
        <w:gridCol w:w="2810"/>
        <w:gridCol w:w="2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39a83912b1814ce587a6aa2bfcc20d43"/>
            <w:id w:val="147452468"/>
          </w:sdtPr>
          <w:sdtContent>
            <w:tc>
              <w:tcPr>
                <w:tcW w:w="3413" w:type="dxa"/>
                <w:vAlign w:val="center"/>
              </w:tcPr>
              <w:p>
                <w:pPr>
                  <w:jc w:val="center"/>
                  <w:rPr>
                    <w:szCs w:val="21"/>
                  </w:rPr>
                </w:pPr>
                <w:r>
                  <w:rPr>
                    <w:rFonts w:hint="eastAsia"/>
                    <w:szCs w:val="21"/>
                  </w:rPr>
                  <w:t>项目(或被投资单位)</w:t>
                </w:r>
              </w:p>
            </w:tc>
          </w:sdtContent>
        </w:sdt>
        <w:sdt>
          <w:sdtPr>
            <w:tag w:val="_PLD_de504ddfb0d74b04930d73922e81793f"/>
            <w:id w:val="147480377"/>
          </w:sdtPr>
          <w:sdtContent>
            <w:tc>
              <w:tcPr>
                <w:tcW w:w="2810" w:type="dxa"/>
                <w:vAlign w:val="center"/>
              </w:tcPr>
              <w:p>
                <w:pPr>
                  <w:jc w:val="center"/>
                  <w:rPr>
                    <w:szCs w:val="21"/>
                  </w:rPr>
                </w:pPr>
                <w:r>
                  <w:rPr>
                    <w:rFonts w:hint="eastAsia"/>
                    <w:szCs w:val="21"/>
                  </w:rPr>
                  <w:t>期末余额</w:t>
                </w:r>
              </w:p>
            </w:tc>
          </w:sdtContent>
        </w:sdt>
        <w:sdt>
          <w:sdtPr>
            <w:tag w:val="_PLD_06fe10e4c67542f3ae16fdf0e6912fbc"/>
            <w:id w:val="147470916"/>
          </w:sdtPr>
          <w:sdtContent>
            <w:tc>
              <w:tcPr>
                <w:tcW w:w="2825" w:type="dxa"/>
                <w:vAlign w:val="center"/>
              </w:tcPr>
              <w:p>
                <w:pPr>
                  <w:jc w:val="center"/>
                  <w:rPr>
                    <w:szCs w:val="21"/>
                  </w:rPr>
                </w:pPr>
                <w:r>
                  <w:rPr>
                    <w:rFonts w:hint="eastAsia"/>
                    <w:szCs w:val="21"/>
                  </w:rPr>
                  <w:t>期初余额</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3" w:type="dxa"/>
            <w:vAlign w:val="center"/>
          </w:tcPr>
          <w:p>
            <w:pPr>
              <w:rPr>
                <w:szCs w:val="21"/>
              </w:rPr>
            </w:pPr>
            <w:r>
              <w:rPr>
                <w:rFonts w:hint="eastAsia"/>
                <w:szCs w:val="21"/>
              </w:rPr>
              <w:t>中信证券股份有限公司</w:t>
            </w:r>
          </w:p>
        </w:tc>
        <w:tc>
          <w:tcPr>
            <w:tcW w:w="2810" w:type="dxa"/>
            <w:vAlign w:val="center"/>
          </w:tcPr>
          <w:p>
            <w:pPr>
              <w:jc w:val="right"/>
              <w:rPr>
                <w:rFonts w:hint="eastAsia"/>
                <w:szCs w:val="21"/>
              </w:rPr>
            </w:pPr>
            <w:r>
              <w:rPr>
                <w:rFonts w:hint="eastAsia"/>
                <w:szCs w:val="21"/>
              </w:rPr>
              <w:t>2,888,043.30</w:t>
            </w:r>
          </w:p>
        </w:tc>
        <w:tc>
          <w:tcPr>
            <w:tcW w:w="2825" w:type="dxa"/>
            <w:vAlign w:val="center"/>
          </w:tcPr>
          <w:p>
            <w:pPr>
              <w:jc w:val="right"/>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3" w:type="dxa"/>
            <w:vAlign w:val="center"/>
          </w:tcPr>
          <w:p>
            <w:pPr>
              <w:jc w:val="center"/>
              <w:rPr>
                <w:szCs w:val="21"/>
              </w:rPr>
            </w:pPr>
            <w:r>
              <w:rPr>
                <w:rFonts w:hint="eastAsia"/>
                <w:szCs w:val="21"/>
              </w:rPr>
              <w:t>合计</w:t>
            </w:r>
          </w:p>
        </w:tc>
        <w:tc>
          <w:tcPr>
            <w:tcW w:w="2810" w:type="dxa"/>
            <w:vAlign w:val="center"/>
          </w:tcPr>
          <w:p>
            <w:pPr>
              <w:jc w:val="right"/>
              <w:rPr>
                <w:szCs w:val="21"/>
              </w:rPr>
            </w:pPr>
            <w:r>
              <w:rPr>
                <w:rFonts w:hint="eastAsia"/>
                <w:szCs w:val="21"/>
              </w:rPr>
              <w:t>2,888,043.30</w:t>
            </w:r>
          </w:p>
        </w:tc>
        <w:tc>
          <w:tcPr>
            <w:tcW w:w="2825" w:type="dxa"/>
            <w:vAlign w:val="center"/>
          </w:tcPr>
          <w:p>
            <w:pPr>
              <w:jc w:val="right"/>
              <w:rPr>
                <w:szCs w:val="21"/>
              </w:rPr>
            </w:pPr>
          </w:p>
        </w:tc>
      </w:tr>
    </w:tbl>
    <w:p>
      <w:pPr>
        <w:rPr>
          <w:szCs w:val="21"/>
        </w:rPr>
      </w:pPr>
    </w:p>
    <w:p>
      <w:pPr>
        <w:pStyle w:val="6"/>
        <w:numPr>
          <w:ilvl w:val="0"/>
          <w:numId w:val="69"/>
        </w:numPr>
        <w:ind w:leftChars="0"/>
      </w:pPr>
      <w:r>
        <w:rPr>
          <w:rFonts w:hint="eastAsia"/>
        </w:rPr>
        <w:t>重要的账龄超过1年的应收股利</w:t>
      </w:r>
    </w:p>
    <w:p>
      <w:pPr>
        <w:rPr>
          <w:szCs w:val="21"/>
        </w:rPr>
      </w:pPr>
      <w:sdt>
        <w:sdtPr>
          <w:rPr>
            <w:rFonts w:hint="eastAsia"/>
            <w:szCs w:val="21"/>
          </w:rPr>
          <w:alias w:val="是否适用：重要的账龄超过1年的应收股利[双击切换]"/>
          <w:tag w:val="_GBC_d46c4e6d2f2e4e20b430a619bde9abe8"/>
          <w:id w:val="6898"/>
          <w:placeholder>
            <w:docPart w:val="GBC22222222222222222222222222222"/>
          </w:placeholder>
        </w:sdtPr>
        <w:sdtEndPr>
          <w:rPr>
            <w:rFonts w:hint="eastAsia"/>
            <w:szCs w:val="21"/>
          </w:rPr>
        </w:sdtEndPr>
        <w:sdtContent>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sdtContent>
      </w:sdt>
    </w:p>
    <w:p/>
    <w:p>
      <w:pPr>
        <w:pStyle w:val="6"/>
        <w:numPr>
          <w:ilvl w:val="0"/>
          <w:numId w:val="69"/>
        </w:numPr>
        <w:ind w:leftChars="0"/>
        <w:rPr>
          <w:rFonts w:hint="eastAsia" w:ascii="宋体" w:hAnsi="宋体" w:cs="宋体"/>
          <w:kern w:val="0"/>
          <w:szCs w:val="24"/>
        </w:rPr>
      </w:pPr>
      <w:bookmarkStart w:id="250" w:name="_Hlk153377225"/>
      <w:r>
        <w:rPr>
          <w:rFonts w:hint="eastAsia" w:ascii="宋体" w:hAnsi="宋体" w:cs="宋体"/>
          <w:kern w:val="0"/>
          <w:szCs w:val="24"/>
        </w:rPr>
        <w:t>按</w:t>
      </w:r>
      <w:r>
        <w:rPr>
          <w:rFonts w:ascii="宋体" w:hAnsi="宋体" w:cs="宋体"/>
          <w:kern w:val="0"/>
          <w:szCs w:val="24"/>
        </w:rPr>
        <w:t>坏账计提方法分类披露</w:t>
      </w:r>
    </w:p>
    <w:sdt>
      <w:sdtPr>
        <w:alias w:val="是否适用：按坏账计提方法分类披露[双击切换]"/>
        <w:tag w:val="_GBC_ad0add93fbe54bc5984d3fdcd19c4070"/>
        <w:id w:val="6899"/>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t>按单项计提坏账准备：</w:t>
      </w:r>
    </w:p>
    <w:sdt>
      <w:sdtPr>
        <w:alias w:val="是否适用：按单项计提坏账准备的详细情况[双击切换]"/>
        <w:tag w:val="_GBC_0715807534664009b6e06e12b5244cb0"/>
        <w:id w:val="6900"/>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400" w:lineRule="exact"/>
            <w:textAlignment w:val="auto"/>
          </w:pPr>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t>按单项计提坏账准备的说明：</w:t>
      </w:r>
    </w:p>
    <w:sdt>
      <w:sdtPr>
        <w:alias w:val="是否适用：按单项计提坏账准备的说明[双击切换]"/>
        <w:tag w:val="_GBC_22fd3e53fab548e0b8db7ad77d176da5"/>
        <w:id w:val="6901"/>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400" w:lineRule="exact"/>
            <w:textAlignment w:val="auto"/>
          </w:pPr>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t>按组合计提坏账准备：</w:t>
      </w:r>
    </w:p>
    <w:sdt>
      <w:sdtPr>
        <w:alias w:val="是否适用：按组合计提坏账准备的详细情况[双击切换]"/>
        <w:tag w:val="_GBC_3fb2695da2d2471f82cd62f8736c521e"/>
        <w:id w:val="6902"/>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400" w:lineRule="exact"/>
            <w:textAlignment w:val="auto"/>
          </w:pPr>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bookmarkEnd w:id="250"/>
    <w:p>
      <w:pPr>
        <w:pStyle w:val="6"/>
        <w:numPr>
          <w:ilvl w:val="0"/>
          <w:numId w:val="69"/>
        </w:numPr>
        <w:ind w:leftChars="0"/>
      </w:pPr>
      <w:bookmarkStart w:id="251" w:name="_Hlk533421146"/>
      <w:r>
        <w:rPr>
          <w:rFonts w:hint="eastAsia"/>
        </w:rPr>
        <w:t>按预期信用损失一般模型计提坏账准备</w:t>
      </w:r>
      <w:r>
        <w:t xml:space="preserve"> </w:t>
      </w:r>
    </w:p>
    <w:sdt>
      <w:sdtPr>
        <w:alias w:val="是否适用：应收股利坏账准备调节表[双击切换]"/>
        <w:tag w:val="_GBC_847cf15503744e02b8ac7395c17d2da6"/>
        <w:id w:val="6903"/>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autoSpaceDE w:val="0"/>
        <w:autoSpaceDN w:val="0"/>
        <w:adjustRightInd w:val="0"/>
        <w:ind w:right="105" w:rightChars="50"/>
        <w:rPr>
          <w:szCs w:val="21"/>
        </w:rPr>
      </w:pPr>
    </w:p>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t>各阶段划分依据和坏账准备计提比例：</w:t>
      </w:r>
    </w:p>
    <w:sdt>
      <w:sdtPr>
        <w:alias w:val="应收股利各阶段划分依据和坏账准备计提比例"/>
        <w:tag w:val="_GBC_0e68af3552e84111bee1ae1542bcf907"/>
        <w:id w:val="6904"/>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t>无</w:t>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t>对本期发生损失准备变动的应收股利账面余额显著变动的情况说明：</w:t>
      </w:r>
    </w:p>
    <w:sdt>
      <w:sdtPr>
        <w:alias w:val="是否适用：应收股利本期发生损失准备变动且账面余额显著变动的情况说明[双击切换]"/>
        <w:tag w:val="_GBC_f431acf85fd94f1eb2cd4d70b0f69b2c"/>
        <w:id w:val="6905"/>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400" w:lineRule="exact"/>
            <w:textAlignment w:val="auto"/>
          </w:pPr>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pPr>
        <w:autoSpaceDE w:val="0"/>
        <w:autoSpaceDN w:val="0"/>
        <w:adjustRightInd w:val="0"/>
        <w:ind w:right="105" w:rightChars="50"/>
        <w:rPr>
          <w:szCs w:val="21"/>
        </w:rPr>
      </w:pPr>
    </w:p>
    <w:bookmarkEnd w:id="251"/>
    <w:p>
      <w:pPr>
        <w:pStyle w:val="6"/>
        <w:numPr>
          <w:ilvl w:val="0"/>
          <w:numId w:val="69"/>
        </w:numPr>
        <w:ind w:leftChars="0"/>
        <w:rPr>
          <w:rFonts w:hint="eastAsia" w:ascii="宋体" w:hAnsi="宋体" w:cs="宋体"/>
          <w:kern w:val="0"/>
          <w:szCs w:val="24"/>
        </w:rPr>
      </w:pPr>
      <w:bookmarkStart w:id="252" w:name="_Hlk153377452"/>
      <w:r>
        <w:rPr>
          <w:rFonts w:hint="eastAsia" w:ascii="宋体" w:hAnsi="宋体" w:cs="宋体"/>
          <w:kern w:val="0"/>
          <w:szCs w:val="24"/>
        </w:rPr>
        <w:t>坏账准备的情况</w:t>
      </w:r>
    </w:p>
    <w:sdt>
      <w:sdtPr>
        <w:alias w:val="是否适用：坏账准备情况[双击切换]"/>
        <w:tag w:val="_GBC_3425c1c233b1473ca1aaf53c81088091"/>
        <w:id w:val="6906"/>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pStyle w:val="73"/>
      </w:pPr>
    </w:p>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t>其中本期坏账准备收回或转回金额重要的：</w:t>
      </w:r>
    </w:p>
    <w:sdt>
      <w:sdtPr>
        <w:rPr>
          <w:rFonts w:hint="eastAsia"/>
        </w:rPr>
        <w:alias w:val="是否适用：本期坏账准备收回或转回金额重要的[双击切换]"/>
        <w:tag w:val="_GBC_d8ca1b67740e4a2e8d7777b8dee9c902"/>
        <w:id w:val="6907"/>
        <w:placeholder>
          <w:docPart w:val="GBC22222222222222222222222222222"/>
        </w:placeholder>
      </w:sdtPr>
      <w:sdtEndPr>
        <w:rPr>
          <w:rFonts w:hint="eastAsia"/>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fldChar w:fldCharType="begin"/>
          </w:r>
          <w:r>
            <w:rPr>
              <w:rFonts w:hint="eastAsia"/>
            </w:rPr>
            <w:instrText xml:space="preserve"> MACROBUTTON  SnrToggleCheckbox □适用 </w:instrText>
          </w:r>
          <w:r>
            <w:rPr>
              <w:rFonts w:hint="eastAsia"/>
            </w:rPr>
            <w:fldChar w:fldCharType="end"/>
          </w:r>
          <w:r>
            <w:rPr>
              <w:rFonts w:hint="eastAsia"/>
            </w:rPr>
            <w:fldChar w:fldCharType="begin"/>
          </w:r>
          <w:r>
            <w:rPr>
              <w:rFonts w:hint="eastAsia"/>
            </w:rPr>
            <w:instrText xml:space="preserve"> MACROBUTTON  SnrToggleCheckbox √不适用 </w:instrText>
          </w:r>
          <w:r>
            <w:rPr>
              <w:rFonts w:hint="eastAsia"/>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rPr>
      </w:pPr>
      <w:r>
        <w:rPr>
          <w:rFonts w:hint="eastAsia"/>
        </w:rPr>
        <w:t>其他说明：</w:t>
      </w:r>
    </w:p>
    <w:sdt>
      <w:sdtPr>
        <w:alias w:val="坏账准备情况的说明"/>
        <w:tag w:val="_GBC_104cb6ff4d2044ffaa8bbdd64dd76905"/>
        <w:id w:val="6908"/>
        <w:placeholder>
          <w:docPart w:val="GBC22222222222222222222222222222"/>
        </w:placeholder>
      </w:sdtPr>
      <w:sdtContent>
        <w:p>
          <w:pPr>
            <w:ind w:right="42" w:rightChars="20"/>
          </w:pPr>
          <w:r>
            <w:t>无</w:t>
          </w:r>
        </w:p>
      </w:sdtContent>
    </w:sdt>
    <w:p>
      <w:pPr>
        <w:ind w:right="-1594" w:rightChars="-759"/>
      </w:pPr>
    </w:p>
    <w:p>
      <w:pPr>
        <w:pStyle w:val="6"/>
        <w:numPr>
          <w:ilvl w:val="0"/>
          <w:numId w:val="69"/>
        </w:numPr>
        <w:ind w:leftChars="0"/>
        <w:rPr>
          <w:rFonts w:hint="eastAsia" w:ascii="宋体" w:hAnsi="宋体" w:cs="宋体"/>
          <w:kern w:val="0"/>
          <w:szCs w:val="24"/>
        </w:rPr>
      </w:pPr>
      <w:r>
        <w:rPr>
          <w:rFonts w:ascii="宋体" w:hAnsi="宋体" w:cs="宋体"/>
          <w:kern w:val="0"/>
          <w:szCs w:val="24"/>
        </w:rPr>
        <w:t>本期实际核销的应收</w:t>
      </w:r>
      <w:r>
        <w:rPr>
          <w:rFonts w:hint="eastAsia" w:ascii="宋体" w:hAnsi="宋体" w:cs="宋体"/>
          <w:kern w:val="0"/>
          <w:szCs w:val="24"/>
        </w:rPr>
        <w:t>股利</w:t>
      </w:r>
      <w:r>
        <w:rPr>
          <w:rFonts w:ascii="宋体" w:hAnsi="宋体" w:cs="宋体"/>
          <w:kern w:val="0"/>
          <w:szCs w:val="24"/>
        </w:rPr>
        <w:t>情况</w:t>
      </w:r>
    </w:p>
    <w:sdt>
      <w:sdtPr>
        <w:alias w:val="是否适用：实际核销的情况[双击切换]"/>
        <w:tag w:val="_GBC_affd5e7be1cd4edaac5e7416308656eb"/>
        <w:id w:val="6909"/>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rPr>
          <w:szCs w:val="21"/>
        </w:rPr>
      </w:pPr>
      <w:r>
        <w:rPr>
          <w:rFonts w:hint="eastAsia"/>
          <w:szCs w:val="21"/>
        </w:rPr>
        <w:t>其中重要的应收股利核销情况</w:t>
      </w:r>
    </w:p>
    <w:sdt>
      <w:sdtPr>
        <w:rPr>
          <w:rFonts w:hint="eastAsia"/>
          <w:szCs w:val="21"/>
        </w:rPr>
        <w:alias w:val="是否适用：重要的核销情况[双击切换]"/>
        <w:tag w:val="_GBC_a09dafd42ae74d3fae2308963d62171e"/>
        <w:id w:val="6910"/>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snapToGrid w:val="0"/>
        <w:spacing w:line="240" w:lineRule="atLeast"/>
        <w:rPr>
          <w:szCs w:val="21"/>
        </w:rPr>
      </w:pPr>
    </w:p>
    <w:p>
      <w:pPr>
        <w:snapToGrid w:val="0"/>
        <w:spacing w:line="240" w:lineRule="atLeast"/>
        <w:rPr>
          <w:szCs w:val="21"/>
        </w:rPr>
      </w:pPr>
      <w:r>
        <w:rPr>
          <w:rFonts w:hint="eastAsia"/>
          <w:szCs w:val="21"/>
        </w:rPr>
        <w:t>核销说明：</w:t>
      </w:r>
    </w:p>
    <w:sdt>
      <w:sdtPr>
        <w:rPr>
          <w:szCs w:val="21"/>
        </w:rPr>
        <w:alias w:val="是否适用：核销说明[双击切换]"/>
        <w:tag w:val="_GBC_fd7a575bc84240be8d95e73a6c70d53d"/>
        <w:id w:val="6911"/>
        <w:placeholder>
          <w:docPart w:val="GBC22222222222222222222222222222"/>
        </w:placeholder>
      </w:sdtPr>
      <w:sdtEndPr>
        <w:rPr>
          <w:szCs w:val="21"/>
        </w:rPr>
      </w:sdtEndPr>
      <w:sdtContent>
        <w:p>
          <w:pPr>
            <w:snapToGrid w:val="0"/>
            <w:spacing w:line="240" w:lineRule="atLeast"/>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bookmarkEnd w:id="252"/>
    <w:p>
      <w:pPr>
        <w:rPr>
          <w:szCs w:val="21"/>
        </w:rPr>
      </w:pPr>
      <w:r>
        <w:rPr>
          <w:rFonts w:hint="eastAsia"/>
          <w:szCs w:val="21"/>
        </w:rPr>
        <w:t>其他说明：</w:t>
      </w:r>
    </w:p>
    <w:p>
      <w:pPr>
        <w:rPr>
          <w:szCs w:val="21"/>
        </w:rPr>
      </w:pPr>
      <w:sdt>
        <w:sdtPr>
          <w:rPr>
            <w:szCs w:val="21"/>
          </w:rPr>
          <w:alias w:val="是否适用：应收股利的说明[双击切换]"/>
          <w:tag w:val="_GBC_22314d2cdf794d5f90af92f13665da22"/>
          <w:id w:val="6912"/>
          <w:placeholder>
            <w:docPart w:val="GBC22222222222222222222222222222"/>
          </w:placeholder>
        </w:sdtPr>
        <w:sdtEndPr>
          <w:rPr>
            <w:szCs w:val="21"/>
          </w:rPr>
        </w:sdtEndPr>
        <w:sdtContent>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sdtContent>
      </w:sdt>
    </w:p>
    <w:p>
      <w:pPr>
        <w:snapToGrid w:val="0"/>
        <w:spacing w:line="240" w:lineRule="atLeast"/>
        <w:ind w:right="25" w:rightChars="12"/>
        <w:rPr>
          <w:color w:val="FF0000"/>
          <w:szCs w:val="21"/>
        </w:rPr>
      </w:pPr>
    </w:p>
    <w:sdt>
      <w:sdtPr>
        <w:tag w:val="_PLD_50b406a6319c4f43bfe1cc6bd670730d"/>
        <w:id w:val="6913"/>
      </w:sdtPr>
      <w:sdtContent>
        <w:p>
          <w:pPr>
            <w:pStyle w:val="4"/>
            <w:numPr>
              <w:ilvl w:val="0"/>
              <w:numId w:val="62"/>
            </w:numPr>
            <w:rPr>
              <w:rFonts w:hint="eastAsia"/>
            </w:rPr>
          </w:pPr>
          <w:r>
            <w:rPr>
              <w:rFonts w:hint="eastAsia"/>
            </w:rPr>
            <w:t>其他应收款</w:t>
          </w:r>
        </w:p>
      </w:sdtContent>
    </w:sdt>
    <w:p>
      <w:pPr>
        <w:pStyle w:val="6"/>
        <w:numPr>
          <w:ilvl w:val="0"/>
          <w:numId w:val="70"/>
        </w:numPr>
        <w:ind w:leftChars="0"/>
      </w:pPr>
      <w:bookmarkStart w:id="253" w:name="_Hlk533421204"/>
      <w:r>
        <w:rPr>
          <w:rFonts w:hint="eastAsia"/>
        </w:rPr>
        <w:t>按账龄披露</w:t>
      </w:r>
      <w:bookmarkEnd w:id="253"/>
    </w:p>
    <w:sdt>
      <w:sdtPr>
        <w:rPr>
          <w:rFonts w:hint="eastAsia"/>
          <w:szCs w:val="21"/>
        </w:rPr>
        <w:alias w:val="是否适用：组合中，按账龄分析法计提坏账准备的其他应收账款[双击切换]"/>
        <w:tag w:val="_GBC_b46a4e720a884c40b402c5b30a4f4432"/>
        <w:id w:val="6914"/>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6ca37718de0645da8a1de40ee1bb1597"/>
          <w:id w:val="691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其他应收账款"/>
          <w:tag w:val="_GBC_eccd3e1ac8d04ff882b9e0189e7dd629"/>
          <w:id w:val="69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3072"/>
        <w:gridCol w:w="2993"/>
        <w:gridCol w:w="2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sdt>
            <w:sdtPr>
              <w:tag w:val="_PLD_3693c274d2774e098d4e6f0b6ce787c4"/>
              <w:id w:val="6917"/>
            </w:sdtPr>
            <w:sdtContent>
              <w:p>
                <w:pPr>
                  <w:jc w:val="center"/>
                  <w:rPr>
                    <w:szCs w:val="21"/>
                  </w:rPr>
                </w:pPr>
                <w:r>
                  <w:rPr>
                    <w:rFonts w:hint="eastAsia"/>
                    <w:szCs w:val="21"/>
                  </w:rPr>
                  <w:t>账龄</w:t>
                </w:r>
              </w:p>
            </w:sdtContent>
          </w:sdt>
        </w:tc>
        <w:tc>
          <w:tcPr>
            <w:tcW w:w="2993" w:type="dxa"/>
            <w:tcBorders>
              <w:top w:val="single" w:color="auto" w:sz="4" w:space="0"/>
              <w:left w:val="single" w:color="auto" w:sz="4" w:space="0"/>
              <w:bottom w:val="single" w:color="auto" w:sz="4" w:space="0"/>
              <w:right w:val="single" w:color="auto" w:sz="4" w:space="0"/>
            </w:tcBorders>
            <w:vAlign w:val="center"/>
          </w:tcPr>
          <w:sdt>
            <w:sdtPr>
              <w:tag w:val="_PLD_592d3cc76c64401da21e664b374ad045"/>
              <w:id w:val="6918"/>
            </w:sdtPr>
            <w:sdtContent>
              <w:p>
                <w:pPr>
                  <w:jc w:val="center"/>
                  <w:rPr>
                    <w:szCs w:val="21"/>
                  </w:rPr>
                </w:pPr>
                <w:r>
                  <w:rPr>
                    <w:rFonts w:hint="eastAsia"/>
                    <w:szCs w:val="21"/>
                  </w:rPr>
                  <w:t>期末账面余额</w:t>
                </w:r>
              </w:p>
            </w:sdtContent>
          </w:sdt>
        </w:tc>
        <w:tc>
          <w:tcPr>
            <w:tcW w:w="2993" w:type="dxa"/>
            <w:tcBorders>
              <w:top w:val="single" w:color="auto" w:sz="4" w:space="0"/>
              <w:left w:val="single" w:color="auto" w:sz="4" w:space="0"/>
              <w:bottom w:val="single" w:color="auto" w:sz="4" w:space="0"/>
              <w:right w:val="single" w:color="auto" w:sz="4" w:space="0"/>
            </w:tcBorders>
            <w:vAlign w:val="center"/>
          </w:tcPr>
          <w:sdt>
            <w:sdtPr>
              <w:tag w:val="_PLD_9bcf94b318874d63924c35d852b5b3c8"/>
              <w:id w:val="6919"/>
            </w:sdtPr>
            <w:sdtContent>
              <w:p>
                <w:pPr>
                  <w:jc w:val="center"/>
                </w:pPr>
                <w:r>
                  <w:rPr>
                    <w:rFonts w:hint="eastAsia"/>
                  </w:rPr>
                  <w:t>期初账面余额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sdt>
            <w:sdtPr>
              <w:tag w:val="_PLD_f0ea7052fc724634bba2abea66f07723"/>
              <w:id w:val="6920"/>
            </w:sdtPr>
            <w:sdtContent>
              <w:p>
                <w:pPr>
                  <w:rPr>
                    <w:szCs w:val="21"/>
                  </w:rPr>
                </w:pPr>
                <w:r>
                  <w:rPr>
                    <w:rFonts w:hint="eastAsia"/>
                    <w:szCs w:val="21"/>
                  </w:rPr>
                  <w:t>0.5年以内</w:t>
                </w:r>
              </w:p>
            </w:sdtContent>
          </w:sdt>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5,931,997.88</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5,833,540.60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szCs w:val="21"/>
              </w:rPr>
              <w:t>0.5年至1年</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1,571,121.00</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1,193,775.60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szCs w:val="21"/>
              </w:rPr>
              <w:t>1年内小计</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7,503,118.88</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7,027,316.20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1至2年</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2,780,474.10</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808,765.60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2至3年</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808,019.21</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3,414,856.05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sdt>
            <w:sdtPr>
              <w:tag w:val="_PLD_139aa65599744a2ba97edb44895346cd"/>
              <w:id w:val="6921"/>
            </w:sdtPr>
            <w:sdtContent>
              <w:p>
                <w:pPr>
                  <w:rPr>
                    <w:szCs w:val="21"/>
                  </w:rPr>
                </w:pPr>
                <w:r>
                  <w:rPr>
                    <w:rFonts w:hint="eastAsia"/>
                    <w:szCs w:val="21"/>
                  </w:rPr>
                  <w:t>3至5年</w:t>
                </w:r>
              </w:p>
            </w:sdtContent>
          </w:sdt>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3,465,193.40</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5,152,368.08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5年以上</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19,050,036.99</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13,948,006.26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p>
            <w:r>
              <w:rPr>
                <w:rFonts w:hint="eastAsia"/>
                <w:color w:val="auto"/>
              </w:rPr>
              <w:t>小计</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33,606,842.58</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30,351,312.19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p>
            <w:r>
              <w:rPr>
                <w:rFonts w:hint="eastAsia"/>
                <w:color w:val="auto"/>
              </w:rPr>
              <w:t>减：坏账准备</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19,065,341.19</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16,832,490.05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合计</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14,541,501.39</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13,518,822.14</w:t>
            </w:r>
          </w:p>
        </w:tc>
      </w:tr>
    </w:tbl>
    <w:p/>
    <w:p/>
    <w:p>
      <w:pPr>
        <w:pStyle w:val="6"/>
        <w:numPr>
          <w:ilvl w:val="0"/>
          <w:numId w:val="70"/>
        </w:numPr>
        <w:ind w:leftChars="0"/>
      </w:pPr>
      <w:r>
        <w:rPr>
          <w:rFonts w:hint="eastAsia"/>
        </w:rPr>
        <w:t>按款项性质分类情况</w:t>
      </w:r>
    </w:p>
    <w:p>
      <w:sdt>
        <w:sdtPr>
          <w:alias w:val="是否适用：其他应收款按款项性质分类情况[双击切换]"/>
          <w:tag w:val="_GBC_f8f8208812d5412eb0a2fdddf1a9d330"/>
          <w:id w:val="6922"/>
          <w:placeholder>
            <w:docPart w:val="GBC22222222222222222222222222222"/>
          </w:placeholder>
        </w:sdtPr>
        <w:sdtContent>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pPr>
        <w:jc w:val="right"/>
      </w:pPr>
      <w:r>
        <w:rPr>
          <w:rFonts w:hint="eastAsia"/>
        </w:rPr>
        <w:t>单位：</w:t>
      </w:r>
      <w:sdt>
        <w:sdtPr>
          <w:rPr>
            <w:rFonts w:hint="eastAsia"/>
          </w:rPr>
          <w:alias w:val="单位：财务附注：其他应收款按款项性质分类情况"/>
          <w:tag w:val="_GBC_6e3e3b79e1a6467e8f5cdcabc0a95e4a"/>
          <w:id w:val="692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财务附注：其他应收款按款项性质分类情况"/>
          <w:tag w:val="_GBC_09f3d6bcff8b483f9de34a3ddb25bad4"/>
          <w:id w:val="692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6"/>
        <w:gridCol w:w="2980"/>
        <w:gridCol w:w="2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6" w:type="dxa"/>
            <w:vAlign w:val="center"/>
          </w:tcPr>
          <w:sdt>
            <w:sdtPr>
              <w:tag w:val="_PLD_e3e4ae09c73a4371a49803278d537455"/>
              <w:id w:val="6925"/>
            </w:sdtPr>
            <w:sdtContent>
              <w:p>
                <w:pPr>
                  <w:jc w:val="center"/>
                </w:pPr>
                <w:r>
                  <w:rPr>
                    <w:rFonts w:hint="eastAsia"/>
                  </w:rPr>
                  <w:t>款项性质</w:t>
                </w:r>
              </w:p>
            </w:sdtContent>
          </w:sdt>
        </w:tc>
        <w:tc>
          <w:tcPr>
            <w:tcW w:w="2980" w:type="dxa"/>
            <w:vAlign w:val="center"/>
          </w:tcPr>
          <w:sdt>
            <w:sdtPr>
              <w:tag w:val="_PLD_166416173edb4a39b34c47c78d0dc766"/>
              <w:id w:val="6926"/>
            </w:sdtPr>
            <w:sdtContent>
              <w:p>
                <w:pPr>
                  <w:jc w:val="center"/>
                </w:pPr>
                <w:r>
                  <w:rPr>
                    <w:rFonts w:hint="eastAsia"/>
                  </w:rPr>
                  <w:t>期末账面余额</w:t>
                </w:r>
              </w:p>
            </w:sdtContent>
          </w:sdt>
        </w:tc>
        <w:tc>
          <w:tcPr>
            <w:tcW w:w="2991" w:type="dxa"/>
            <w:vAlign w:val="center"/>
          </w:tcPr>
          <w:sdt>
            <w:sdtPr>
              <w:tag w:val="_PLD_a78baace40634aeaaff4786c955e1f60"/>
              <w:id w:val="6927"/>
            </w:sdtPr>
            <w:sdtContent>
              <w:p>
                <w:pPr>
                  <w:jc w:val="center"/>
                </w:pPr>
                <w:r>
                  <w:rPr>
                    <w:rFonts w:hint="eastAsia"/>
                  </w:rPr>
                  <w:t>期初账面余额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6" w:type="dxa"/>
            <w:vAlign w:val="center"/>
          </w:tcPr>
          <w:p>
            <w:r>
              <w:rPr>
                <w:rFonts w:hint="eastAsia"/>
                <w:color w:val="auto"/>
              </w:rPr>
              <w:t>往来款</w:t>
            </w:r>
          </w:p>
        </w:tc>
        <w:tc>
          <w:tcPr>
            <w:tcW w:w="2980" w:type="dxa"/>
            <w:vAlign w:val="center"/>
          </w:tcPr>
          <w:p>
            <w:pPr>
              <w:jc w:val="right"/>
            </w:pPr>
            <w:r>
              <w:rPr>
                <w:rFonts w:hint="eastAsia"/>
                <w:color w:val="auto"/>
              </w:rPr>
              <w:t>20,551,826.43</w:t>
            </w:r>
          </w:p>
        </w:tc>
        <w:tc>
          <w:tcPr>
            <w:tcW w:w="2991" w:type="dxa"/>
            <w:vAlign w:val="center"/>
          </w:tcPr>
          <w:p>
            <w:pPr>
              <w:jc w:val="right"/>
            </w:pPr>
            <w:r>
              <w:rPr>
                <w:rFonts w:hint="eastAsia"/>
                <w:color w:val="auto"/>
              </w:rPr>
              <w:t>17,630,986.63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6" w:type="dxa"/>
            <w:vAlign w:val="center"/>
          </w:tcPr>
          <w:p>
            <w:r>
              <w:rPr>
                <w:rFonts w:hint="eastAsia"/>
                <w:color w:val="auto"/>
              </w:rPr>
              <w:t>备用金</w:t>
            </w:r>
          </w:p>
        </w:tc>
        <w:tc>
          <w:tcPr>
            <w:tcW w:w="2980" w:type="dxa"/>
            <w:vAlign w:val="center"/>
          </w:tcPr>
          <w:p>
            <w:pPr>
              <w:jc w:val="right"/>
            </w:pPr>
            <w:r>
              <w:rPr>
                <w:rFonts w:hint="eastAsia"/>
                <w:color w:val="auto"/>
              </w:rPr>
              <w:t>4,400,340.90</w:t>
            </w:r>
          </w:p>
        </w:tc>
        <w:tc>
          <w:tcPr>
            <w:tcW w:w="2991" w:type="dxa"/>
            <w:vAlign w:val="center"/>
          </w:tcPr>
          <w:p>
            <w:pPr>
              <w:jc w:val="right"/>
            </w:pPr>
            <w:r>
              <w:rPr>
                <w:rFonts w:hint="eastAsia"/>
                <w:color w:val="auto"/>
              </w:rPr>
              <w:t>5,059,160.85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6" w:type="dxa"/>
            <w:vAlign w:val="center"/>
          </w:tcPr>
          <w:p>
            <w:r>
              <w:rPr>
                <w:rFonts w:hint="eastAsia"/>
                <w:color w:val="auto"/>
              </w:rPr>
              <w:t>押金及保证金</w:t>
            </w:r>
          </w:p>
        </w:tc>
        <w:tc>
          <w:tcPr>
            <w:tcW w:w="2980" w:type="dxa"/>
            <w:vAlign w:val="center"/>
          </w:tcPr>
          <w:p>
            <w:pPr>
              <w:jc w:val="right"/>
            </w:pPr>
            <w:r>
              <w:rPr>
                <w:rFonts w:hint="eastAsia"/>
                <w:color w:val="auto"/>
              </w:rPr>
              <w:t>7,018,000.00</w:t>
            </w:r>
          </w:p>
        </w:tc>
        <w:tc>
          <w:tcPr>
            <w:tcW w:w="2991" w:type="dxa"/>
            <w:vAlign w:val="center"/>
          </w:tcPr>
          <w:p>
            <w:pPr>
              <w:jc w:val="right"/>
            </w:pPr>
            <w:r>
              <w:rPr>
                <w:rFonts w:hint="eastAsia"/>
                <w:color w:val="auto"/>
              </w:rPr>
              <w:t>6,022,480.00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6" w:type="dxa"/>
            <w:vAlign w:val="center"/>
          </w:tcPr>
          <w:p>
            <w:r>
              <w:rPr>
                <w:rFonts w:hint="eastAsia"/>
                <w:color w:val="auto"/>
              </w:rPr>
              <w:t>其他</w:t>
            </w:r>
          </w:p>
        </w:tc>
        <w:tc>
          <w:tcPr>
            <w:tcW w:w="2980" w:type="dxa"/>
            <w:vAlign w:val="center"/>
          </w:tcPr>
          <w:p>
            <w:pPr>
              <w:jc w:val="right"/>
            </w:pPr>
            <w:r>
              <w:rPr>
                <w:rFonts w:hint="eastAsia"/>
                <w:color w:val="auto"/>
              </w:rPr>
              <w:t>1,636,675.25</w:t>
            </w:r>
          </w:p>
        </w:tc>
        <w:tc>
          <w:tcPr>
            <w:tcW w:w="2991" w:type="dxa"/>
            <w:vAlign w:val="center"/>
          </w:tcPr>
          <w:p>
            <w:pPr>
              <w:jc w:val="right"/>
            </w:pPr>
            <w:r>
              <w:rPr>
                <w:rFonts w:hint="eastAsia"/>
                <w:color w:val="auto"/>
              </w:rPr>
              <w:t>1,638,684.71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6" w:type="dxa"/>
            <w:vAlign w:val="center"/>
          </w:tcPr>
          <w:p>
            <w:pPr>
              <w:jc w:val="center"/>
            </w:pPr>
            <w:r>
              <w:t>合计</w:t>
            </w:r>
          </w:p>
        </w:tc>
        <w:tc>
          <w:tcPr>
            <w:tcW w:w="2980" w:type="dxa"/>
            <w:vAlign w:val="center"/>
          </w:tcPr>
          <w:p>
            <w:pPr>
              <w:jc w:val="right"/>
            </w:pPr>
            <w:r>
              <w:rPr>
                <w:rFonts w:hint="eastAsia"/>
                <w:color w:val="auto"/>
              </w:rPr>
              <w:t>33,606,842.58</w:t>
            </w:r>
          </w:p>
        </w:tc>
        <w:tc>
          <w:tcPr>
            <w:tcW w:w="2991" w:type="dxa"/>
            <w:vAlign w:val="center"/>
          </w:tcPr>
          <w:p>
            <w:pPr>
              <w:jc w:val="right"/>
            </w:pPr>
            <w:r>
              <w:rPr>
                <w:rFonts w:hint="eastAsia"/>
                <w:color w:val="auto"/>
              </w:rPr>
              <w:t>30,351,312.19</w:t>
            </w:r>
          </w:p>
        </w:tc>
      </w:tr>
    </w:tbl>
    <w:p/>
    <w:p>
      <w:pPr>
        <w:pStyle w:val="6"/>
        <w:numPr>
          <w:ilvl w:val="0"/>
          <w:numId w:val="70"/>
        </w:numPr>
        <w:ind w:leftChars="0"/>
      </w:pPr>
      <w:bookmarkStart w:id="254" w:name="_Hlk533867880"/>
      <w:r>
        <w:rPr>
          <w:rFonts w:hint="eastAsia"/>
        </w:rPr>
        <w:t>坏账准备计提情况</w:t>
      </w:r>
    </w:p>
    <w:sdt>
      <w:sdtPr>
        <w:rPr>
          <w:szCs w:val="21"/>
        </w:rPr>
        <w:alias w:val="是否适用：其他应收款坏账准备调节表[双击切换]"/>
        <w:tag w:val="_GBC_89d7c1af9f504137a919fea1a314fa80"/>
        <w:id w:val="6928"/>
        <w:placeholder>
          <w:docPart w:val="GBC22222222222222222222222222222"/>
        </w:placeholder>
      </w:sdtPr>
      <w:sdtEndPr>
        <w:rPr>
          <w:szCs w:val="21"/>
        </w:rPr>
      </w:sdtEndPr>
      <w:sdtContent>
        <w:p>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autoSpaceDE w:val="0"/>
        <w:autoSpaceDN w:val="0"/>
        <w:adjustRightInd w:val="0"/>
        <w:ind w:right="105" w:rightChars="50"/>
        <w:jc w:val="right"/>
        <w:rPr>
          <w:szCs w:val="21"/>
        </w:rPr>
      </w:pPr>
      <w:r>
        <w:rPr>
          <w:rFonts w:hint="eastAsia"/>
          <w:szCs w:val="21"/>
        </w:rPr>
        <w:t>单位：</w:t>
      </w:r>
      <w:sdt>
        <w:sdtPr>
          <w:rPr>
            <w:rFonts w:hint="eastAsia"/>
            <w:szCs w:val="21"/>
          </w:rPr>
          <w:alias w:val="单位：其他应收款坏账准备调节表"/>
          <w:tag w:val="_GBC_1e902dc07fc44240af1ff69475733c28"/>
          <w:id w:val="692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其他应收款坏账准备调节表"/>
          <w:tag w:val="_GBC_5e93354ddb8841df82a0d16f2f5b44ae"/>
          <w:id w:val="693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1"/>
        <w:gridCol w:w="1560"/>
        <w:gridCol w:w="1985"/>
        <w:gridCol w:w="1985"/>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Merge w:val="restart"/>
            <w:vAlign w:val="center"/>
          </w:tcPr>
          <w:sdt>
            <w:sdtPr>
              <w:rPr>
                <w:rFonts w:ascii="Times New Roman" w:hAnsi="Times New Roman"/>
              </w:rPr>
              <w:tag w:val="_PLD_2f734c3456a843bda898d16924c52045"/>
              <w:id w:val="6931"/>
            </w:sdtPr>
            <w:sdtEndPr>
              <w:rPr>
                <w:rFonts w:ascii="Times New Roman" w:hAnsi="Times New Roman"/>
              </w:rPr>
            </w:sdtEndPr>
            <w:sdtContent>
              <w:p>
                <w:pPr>
                  <w:pStyle w:val="89"/>
                  <w:spacing w:after="0" w:line="240" w:lineRule="auto"/>
                  <w:jc w:val="center"/>
                  <w:rPr>
                    <w:rFonts w:hint="eastAsia" w:ascii="Times New Roman" w:hAnsi="Times New Roman" w:eastAsia="宋体" w:cs="宋体"/>
                    <w:sz w:val="21"/>
                    <w:szCs w:val="21"/>
                    <w:lang w:eastAsia="zh-CN"/>
                  </w:rPr>
                </w:pPr>
                <w:r>
                  <w:rPr>
                    <w:rFonts w:hint="eastAsia" w:ascii="Times New Roman" w:hAnsi="Times New Roman" w:eastAsia="宋体" w:cs="宋体"/>
                    <w:sz w:val="21"/>
                    <w:szCs w:val="21"/>
                    <w:lang w:eastAsia="zh-CN"/>
                  </w:rPr>
                  <w:t>坏账准备</w:t>
                </w:r>
              </w:p>
            </w:sdtContent>
          </w:sdt>
        </w:tc>
        <w:tc>
          <w:tcPr>
            <w:tcW w:w="1560" w:type="dxa"/>
            <w:vAlign w:val="center"/>
          </w:tcPr>
          <w:sdt>
            <w:sdtPr>
              <w:rPr>
                <w:rFonts w:ascii="Times New Roman" w:hAnsi="Times New Roman"/>
              </w:rPr>
              <w:tag w:val="_PLD_cc2d5e47d032466f8f32fd4edec15e33"/>
              <w:id w:val="6932"/>
            </w:sdtPr>
            <w:sdtEndPr>
              <w:rPr>
                <w:rFonts w:ascii="Times New Roman" w:hAnsi="Times New Roman"/>
              </w:rPr>
            </w:sdtEndPr>
            <w:sdtContent>
              <w:p>
                <w:pPr>
                  <w:pStyle w:val="89"/>
                  <w:spacing w:after="0" w:line="240" w:lineRule="auto"/>
                  <w:jc w:val="center"/>
                  <w:rPr>
                    <w:rFonts w:hint="eastAsia" w:ascii="Times New Roman" w:hAnsi="Times New Roman" w:eastAsia="宋体" w:cs="宋体"/>
                    <w:sz w:val="21"/>
                    <w:szCs w:val="21"/>
                    <w:lang w:eastAsia="zh-CN"/>
                  </w:rPr>
                </w:pPr>
                <w:r>
                  <w:rPr>
                    <w:rFonts w:hint="eastAsia" w:ascii="Times New Roman" w:hAnsi="Times New Roman" w:eastAsia="宋体" w:cs="宋体"/>
                    <w:sz w:val="21"/>
                    <w:szCs w:val="21"/>
                    <w:lang w:eastAsia="zh-CN"/>
                  </w:rPr>
                  <w:t>第一阶段</w:t>
                </w:r>
              </w:p>
            </w:sdtContent>
          </w:sdt>
        </w:tc>
        <w:tc>
          <w:tcPr>
            <w:tcW w:w="1985" w:type="dxa"/>
            <w:vAlign w:val="center"/>
          </w:tcPr>
          <w:sdt>
            <w:sdtPr>
              <w:rPr>
                <w:rFonts w:ascii="Times New Roman" w:hAnsi="Times New Roman"/>
              </w:rPr>
              <w:tag w:val="_PLD_f7ffd31ab3534493bb75ab7d04c0c751"/>
              <w:id w:val="6933"/>
            </w:sdtPr>
            <w:sdtEndPr>
              <w:rPr>
                <w:rFonts w:ascii="Times New Roman" w:hAnsi="Times New Roman"/>
              </w:rPr>
            </w:sdtEndPr>
            <w:sdtContent>
              <w:p>
                <w:pPr>
                  <w:pStyle w:val="89"/>
                  <w:spacing w:after="0" w:line="240" w:lineRule="auto"/>
                  <w:jc w:val="center"/>
                  <w:rPr>
                    <w:rFonts w:hint="eastAsia" w:ascii="Times New Roman" w:hAnsi="Times New Roman" w:eastAsia="宋体" w:cs="宋体"/>
                    <w:sz w:val="21"/>
                    <w:szCs w:val="21"/>
                    <w:lang w:eastAsia="zh-CN"/>
                  </w:rPr>
                </w:pPr>
                <w:r>
                  <w:rPr>
                    <w:rFonts w:hint="eastAsia" w:ascii="Times New Roman" w:hAnsi="Times New Roman" w:eastAsia="宋体" w:cs="宋体"/>
                    <w:sz w:val="21"/>
                    <w:szCs w:val="21"/>
                    <w:lang w:eastAsia="zh-CN"/>
                  </w:rPr>
                  <w:t>第二阶段</w:t>
                </w:r>
              </w:p>
            </w:sdtContent>
          </w:sdt>
        </w:tc>
        <w:tc>
          <w:tcPr>
            <w:tcW w:w="1985" w:type="dxa"/>
            <w:vAlign w:val="center"/>
          </w:tcPr>
          <w:sdt>
            <w:sdtPr>
              <w:rPr>
                <w:rFonts w:ascii="Times New Roman" w:hAnsi="Times New Roman"/>
              </w:rPr>
              <w:tag w:val="_PLD_b787de87168848159cb3a46726196c34"/>
              <w:id w:val="6934"/>
            </w:sdtPr>
            <w:sdtEndPr>
              <w:rPr>
                <w:rFonts w:ascii="Times New Roman" w:hAnsi="Times New Roman"/>
              </w:rPr>
            </w:sdtEndPr>
            <w:sdtContent>
              <w:p>
                <w:pPr>
                  <w:pStyle w:val="89"/>
                  <w:spacing w:after="0" w:line="240" w:lineRule="auto"/>
                  <w:jc w:val="center"/>
                  <w:rPr>
                    <w:rFonts w:hint="eastAsia" w:ascii="Times New Roman" w:hAnsi="Times New Roman" w:eastAsia="宋体" w:cs="宋体"/>
                    <w:sz w:val="21"/>
                    <w:szCs w:val="21"/>
                    <w:lang w:eastAsia="zh-CN"/>
                  </w:rPr>
                </w:pPr>
                <w:r>
                  <w:rPr>
                    <w:rFonts w:hint="eastAsia" w:ascii="Times New Roman" w:hAnsi="Times New Roman" w:eastAsia="宋体" w:cs="宋体"/>
                    <w:sz w:val="21"/>
                    <w:szCs w:val="21"/>
                    <w:lang w:eastAsia="zh-CN"/>
                  </w:rPr>
                  <w:t>第三阶段</w:t>
                </w:r>
              </w:p>
            </w:sdtContent>
          </w:sdt>
        </w:tc>
        <w:tc>
          <w:tcPr>
            <w:tcW w:w="1706" w:type="dxa"/>
            <w:vMerge w:val="restart"/>
            <w:vAlign w:val="center"/>
          </w:tcPr>
          <w:sdt>
            <w:sdtPr>
              <w:rPr>
                <w:rFonts w:ascii="Times New Roman" w:hAnsi="Times New Roman"/>
              </w:rPr>
              <w:tag w:val="_PLD_3b31af1f922741a8874346a86f3e2d25"/>
              <w:id w:val="6935"/>
            </w:sdtPr>
            <w:sdtEndPr>
              <w:rPr>
                <w:rFonts w:ascii="Times New Roman" w:hAnsi="Times New Roman"/>
              </w:rPr>
            </w:sdtEndPr>
            <w:sdtContent>
              <w:p>
                <w:pPr>
                  <w:pStyle w:val="89"/>
                  <w:spacing w:after="0" w:line="240" w:lineRule="auto"/>
                  <w:jc w:val="center"/>
                  <w:rPr>
                    <w:rFonts w:hint="eastAsia" w:ascii="Times New Roman" w:hAnsi="Times New Roman" w:eastAsia="宋体" w:cs="宋体"/>
                    <w:sz w:val="21"/>
                    <w:szCs w:val="21"/>
                    <w:lang w:eastAsia="zh-CN"/>
                  </w:rPr>
                </w:pPr>
                <w:r>
                  <w:rPr>
                    <w:rFonts w:hint="eastAsia" w:ascii="Times New Roman" w:hAnsi="Times New Roman" w:eastAsia="宋体" w:cs="宋体"/>
                    <w:sz w:val="21"/>
                    <w:szCs w:val="21"/>
                    <w:lang w:eastAsia="zh-CN"/>
                  </w:rPr>
                  <w:t>合计</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Merge w:val="continue"/>
            <w:vAlign w:val="center"/>
          </w:tcPr>
          <w:p>
            <w:pPr>
              <w:jc w:val="center"/>
              <w:rPr>
                <w:rFonts w:ascii="Times New Roman" w:hAnsi="Times New Roman"/>
                <w:color w:val="008000"/>
                <w:szCs w:val="21"/>
              </w:rPr>
            </w:pPr>
          </w:p>
        </w:tc>
        <w:tc>
          <w:tcPr>
            <w:tcW w:w="1560" w:type="dxa"/>
            <w:vAlign w:val="center"/>
          </w:tcPr>
          <w:sdt>
            <w:sdtPr>
              <w:rPr>
                <w:rFonts w:ascii="Times New Roman" w:hAnsi="Times New Roman"/>
              </w:rPr>
              <w:tag w:val="_PLD_7158bbb0fd6b45478d53b382f0c1a5e9"/>
              <w:id w:val="6936"/>
            </w:sdtPr>
            <w:sdtEndPr>
              <w:rPr>
                <w:rFonts w:ascii="Times New Roman" w:hAnsi="Times New Roman"/>
              </w:rPr>
            </w:sdtEndPr>
            <w:sdtContent>
              <w:p>
                <w:pPr>
                  <w:pStyle w:val="89"/>
                  <w:spacing w:after="0" w:line="240" w:lineRule="auto"/>
                  <w:jc w:val="center"/>
                  <w:rPr>
                    <w:rFonts w:hint="eastAsia" w:ascii="Times New Roman" w:hAnsi="Times New Roman" w:eastAsia="宋体" w:cs="宋体"/>
                    <w:sz w:val="21"/>
                    <w:szCs w:val="21"/>
                    <w:lang w:eastAsia="zh-CN"/>
                  </w:rPr>
                </w:pPr>
                <w:r>
                  <w:rPr>
                    <w:rFonts w:hint="eastAsia" w:ascii="Times New Roman" w:hAnsi="Times New Roman" w:eastAsia="宋体" w:cs="宋体"/>
                    <w:sz w:val="21"/>
                    <w:szCs w:val="21"/>
                    <w:lang w:eastAsia="zh-CN"/>
                  </w:rPr>
                  <w:t>未来12个月预期信用损失</w:t>
                </w:r>
              </w:p>
            </w:sdtContent>
          </w:sdt>
        </w:tc>
        <w:tc>
          <w:tcPr>
            <w:tcW w:w="1985" w:type="dxa"/>
            <w:vAlign w:val="center"/>
          </w:tcPr>
          <w:sdt>
            <w:sdtPr>
              <w:rPr>
                <w:rFonts w:ascii="Times New Roman" w:hAnsi="Times New Roman"/>
              </w:rPr>
              <w:tag w:val="_PLD_a456fd5785a44d89b944d155197986fc"/>
              <w:id w:val="6937"/>
            </w:sdtPr>
            <w:sdtEndPr>
              <w:rPr>
                <w:rFonts w:ascii="Times New Roman" w:hAnsi="Times New Roman"/>
              </w:rPr>
            </w:sdtEndPr>
            <w:sdtContent>
              <w:p>
                <w:pPr>
                  <w:pStyle w:val="89"/>
                  <w:spacing w:after="0" w:line="240" w:lineRule="auto"/>
                  <w:jc w:val="center"/>
                  <w:rPr>
                    <w:rFonts w:hint="eastAsia" w:ascii="Times New Roman" w:hAnsi="Times New Roman" w:eastAsia="宋体" w:cs="宋体"/>
                    <w:sz w:val="21"/>
                    <w:szCs w:val="21"/>
                    <w:lang w:eastAsia="zh-CN"/>
                  </w:rPr>
                </w:pPr>
                <w:r>
                  <w:rPr>
                    <w:rFonts w:hint="eastAsia" w:ascii="Times New Roman" w:hAnsi="Times New Roman" w:eastAsia="宋体" w:cs="宋体"/>
                    <w:sz w:val="21"/>
                    <w:szCs w:val="21"/>
                    <w:lang w:eastAsia="zh-CN"/>
                  </w:rPr>
                  <w:t>整个存续期预期信用损失(未发生信用减值)</w:t>
                </w:r>
              </w:p>
            </w:sdtContent>
          </w:sdt>
        </w:tc>
        <w:tc>
          <w:tcPr>
            <w:tcW w:w="1985" w:type="dxa"/>
            <w:vAlign w:val="center"/>
          </w:tcPr>
          <w:sdt>
            <w:sdtPr>
              <w:rPr>
                <w:rFonts w:ascii="Times New Roman" w:hAnsi="Times New Roman"/>
              </w:rPr>
              <w:tag w:val="_PLD_fb9265a3aa334f7ab93242b9630540b0"/>
              <w:id w:val="6938"/>
            </w:sdtPr>
            <w:sdtEndPr>
              <w:rPr>
                <w:rFonts w:ascii="Times New Roman" w:hAnsi="Times New Roman"/>
              </w:rPr>
            </w:sdtEndPr>
            <w:sdtContent>
              <w:p>
                <w:pPr>
                  <w:pStyle w:val="89"/>
                  <w:spacing w:after="0" w:line="240" w:lineRule="auto"/>
                  <w:jc w:val="center"/>
                  <w:rPr>
                    <w:rFonts w:hint="eastAsia" w:ascii="Times New Roman" w:hAnsi="Times New Roman" w:eastAsia="宋体" w:cs="宋体"/>
                    <w:sz w:val="21"/>
                    <w:szCs w:val="21"/>
                    <w:lang w:eastAsia="zh-CN"/>
                  </w:rPr>
                </w:pPr>
                <w:r>
                  <w:rPr>
                    <w:rFonts w:hint="eastAsia" w:ascii="Times New Roman" w:hAnsi="Times New Roman" w:eastAsia="宋体" w:cs="宋体"/>
                    <w:sz w:val="21"/>
                    <w:szCs w:val="21"/>
                    <w:lang w:eastAsia="zh-CN"/>
                  </w:rPr>
                  <w:t>整个存续期预期信用损失(已发生信用减值)</w:t>
                </w:r>
              </w:p>
            </w:sdtContent>
          </w:sdt>
        </w:tc>
        <w:tc>
          <w:tcPr>
            <w:tcW w:w="1706" w:type="dxa"/>
            <w:vMerge w:val="continue"/>
            <w:vAlign w:val="center"/>
          </w:tcPr>
          <w:p>
            <w:pPr>
              <w:jc w:val="center"/>
              <w:rPr>
                <w:rFonts w:ascii="Times New Roman" w:hAnsi="Times New Roman"/>
                <w:color w:val="008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pPr>
              <w:pStyle w:val="89"/>
              <w:spacing w:after="0" w:line="240" w:lineRule="auto"/>
              <w:jc w:val="both"/>
              <w:rPr>
                <w:rFonts w:hint="eastAsia" w:ascii="Times New Roman" w:hAnsi="Times New Roman" w:eastAsia="宋体" w:cs="宋体"/>
                <w:sz w:val="21"/>
                <w:szCs w:val="21"/>
                <w:lang w:eastAsia="zh-CN"/>
              </w:rPr>
            </w:pPr>
            <w:r>
              <w:rPr>
                <w:rFonts w:ascii="Times New Roman" w:hAnsi="Times New Roman" w:eastAsia="宋体" w:cs="宋体"/>
                <w:sz w:val="21"/>
                <w:szCs w:val="21"/>
                <w:lang w:eastAsia="zh-CN"/>
              </w:rPr>
              <w:t>2025年</w:t>
            </w:r>
            <w:r>
              <w:rPr>
                <w:rFonts w:hint="eastAsia" w:ascii="Times New Roman" w:hAnsi="Times New Roman" w:eastAsia="宋体" w:cs="宋体"/>
                <w:sz w:val="21"/>
                <w:szCs w:val="21"/>
                <w:lang w:eastAsia="zh-CN"/>
              </w:rPr>
              <w:t>1月1日余额</w:t>
            </w:r>
          </w:p>
        </w:tc>
        <w:tc>
          <w:tcPr>
            <w:tcW w:w="1560" w:type="dxa"/>
            <w:vAlign w:val="center"/>
          </w:tcPr>
          <w:p>
            <w:pPr>
              <w:jc w:val="right"/>
              <w:rPr>
                <w:rFonts w:ascii="Times New Roman" w:hAnsi="Times New Roman"/>
                <w:szCs w:val="21"/>
              </w:rPr>
            </w:pPr>
            <w:r>
              <w:rPr>
                <w:rFonts w:hint="eastAsia" w:ascii="Times New Roman" w:hAnsi="Times New Roman"/>
                <w:color w:val="auto"/>
              </w:rPr>
              <w:t>12,651,282.32</w:t>
            </w:r>
          </w:p>
        </w:tc>
        <w:tc>
          <w:tcPr>
            <w:tcW w:w="1985" w:type="dxa"/>
            <w:vAlign w:val="center"/>
          </w:tcPr>
          <w:p>
            <w:pPr>
              <w:jc w:val="right"/>
              <w:rPr>
                <w:rFonts w:ascii="Times New Roman" w:hAnsi="Times New Roman"/>
                <w:szCs w:val="21"/>
              </w:rPr>
            </w:pPr>
            <w:r>
              <w:rPr>
                <w:rFonts w:hint="eastAsia" w:ascii="Times New Roman" w:hAnsi="Times New Roman"/>
                <w:color w:val="auto"/>
              </w:rPr>
              <w:t> </w:t>
            </w:r>
          </w:p>
        </w:tc>
        <w:tc>
          <w:tcPr>
            <w:tcW w:w="1985" w:type="dxa"/>
            <w:vAlign w:val="center"/>
          </w:tcPr>
          <w:p>
            <w:pPr>
              <w:jc w:val="right"/>
              <w:rPr>
                <w:rFonts w:ascii="Times New Roman" w:hAnsi="Times New Roman"/>
                <w:szCs w:val="21"/>
              </w:rPr>
            </w:pPr>
            <w:r>
              <w:rPr>
                <w:rFonts w:hint="eastAsia" w:ascii="Times New Roman" w:hAnsi="Times New Roman"/>
                <w:color w:val="auto"/>
              </w:rPr>
              <w:t>4,181,207.73</w:t>
            </w:r>
          </w:p>
        </w:tc>
        <w:tc>
          <w:tcPr>
            <w:tcW w:w="1706" w:type="dxa"/>
            <w:vAlign w:val="center"/>
          </w:tcPr>
          <w:p>
            <w:pPr>
              <w:jc w:val="right"/>
              <w:rPr>
                <w:rFonts w:ascii="Times New Roman" w:hAnsi="Times New Roman"/>
                <w:szCs w:val="21"/>
              </w:rPr>
            </w:pPr>
            <w:r>
              <w:rPr>
                <w:rFonts w:hint="eastAsia" w:ascii="Times New Roman" w:hAnsi="Times New Roman"/>
                <w:color w:val="auto"/>
              </w:rPr>
              <w:t>16,832,490.05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pPr>
              <w:pStyle w:val="89"/>
              <w:spacing w:after="0" w:line="240" w:lineRule="auto"/>
              <w:jc w:val="both"/>
              <w:rPr>
                <w:rFonts w:hint="eastAsia" w:ascii="Times New Roman" w:hAnsi="Times New Roman" w:eastAsia="宋体" w:cs="宋体"/>
                <w:sz w:val="21"/>
                <w:szCs w:val="21"/>
                <w:lang w:eastAsia="zh-CN"/>
              </w:rPr>
            </w:pPr>
            <w:r>
              <w:rPr>
                <w:rFonts w:hint="eastAsia" w:ascii="Times New Roman" w:hAnsi="Times New Roman" w:eastAsia="宋体" w:cs="宋体"/>
                <w:sz w:val="21"/>
                <w:szCs w:val="21"/>
                <w:lang w:eastAsia="zh-CN"/>
              </w:rPr>
              <w:t>2025年1月1日余额在本期</w:t>
            </w:r>
          </w:p>
        </w:tc>
        <w:tc>
          <w:tcPr>
            <w:tcW w:w="1560" w:type="dxa"/>
            <w:vAlign w:val="center"/>
          </w:tcPr>
          <w:p>
            <w:pPr>
              <w:jc w:val="right"/>
              <w:rPr>
                <w:rFonts w:ascii="Times New Roman" w:hAnsi="Times New Roman"/>
                <w:szCs w:val="21"/>
              </w:rPr>
            </w:pPr>
          </w:p>
        </w:tc>
        <w:tc>
          <w:tcPr>
            <w:tcW w:w="1985" w:type="dxa"/>
            <w:vAlign w:val="center"/>
          </w:tcPr>
          <w:p>
            <w:pPr>
              <w:jc w:val="right"/>
              <w:rPr>
                <w:rFonts w:ascii="Times New Roman" w:hAnsi="Times New Roman"/>
                <w:szCs w:val="21"/>
              </w:rPr>
            </w:pPr>
          </w:p>
        </w:tc>
        <w:tc>
          <w:tcPr>
            <w:tcW w:w="1985" w:type="dxa"/>
            <w:vAlign w:val="center"/>
          </w:tcPr>
          <w:p>
            <w:pPr>
              <w:jc w:val="right"/>
              <w:rPr>
                <w:rFonts w:ascii="Times New Roman" w:hAnsi="Times New Roman"/>
                <w:szCs w:val="21"/>
              </w:rPr>
            </w:pPr>
          </w:p>
        </w:tc>
        <w:tc>
          <w:tcPr>
            <w:tcW w:w="1706" w:type="dxa"/>
            <w:vAlign w:val="center"/>
          </w:tcPr>
          <w:p>
            <w:pPr>
              <w:jc w:val="righ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pPr>
              <w:pStyle w:val="89"/>
              <w:spacing w:after="0" w:line="240" w:lineRule="auto"/>
              <w:jc w:val="both"/>
              <w:rPr>
                <w:rFonts w:hint="eastAsia" w:ascii="Times New Roman" w:hAnsi="Times New Roman" w:eastAsia="宋体" w:cs="宋体"/>
                <w:sz w:val="21"/>
                <w:szCs w:val="21"/>
                <w:lang w:eastAsia="zh-CN"/>
              </w:rPr>
            </w:pPr>
            <w:r>
              <w:rPr>
                <w:rFonts w:hint="eastAsia" w:ascii="Times New Roman" w:hAnsi="Times New Roman" w:eastAsia="宋体" w:cs="宋体"/>
                <w:sz w:val="21"/>
                <w:szCs w:val="21"/>
                <w:lang w:eastAsia="zh-CN"/>
              </w:rPr>
              <w:t>本期计提</w:t>
            </w:r>
          </w:p>
        </w:tc>
        <w:tc>
          <w:tcPr>
            <w:tcW w:w="1560" w:type="dxa"/>
            <w:vAlign w:val="center"/>
          </w:tcPr>
          <w:p>
            <w:pPr>
              <w:jc w:val="right"/>
              <w:rPr>
                <w:rFonts w:ascii="Times New Roman" w:hAnsi="Times New Roman"/>
                <w:szCs w:val="21"/>
              </w:rPr>
            </w:pPr>
            <w:r>
              <w:rPr>
                <w:rFonts w:hint="eastAsia" w:ascii="Times New Roman" w:hAnsi="Times New Roman"/>
                <w:color w:val="auto"/>
              </w:rPr>
              <w:t>361,001.49</w:t>
            </w:r>
          </w:p>
        </w:tc>
        <w:tc>
          <w:tcPr>
            <w:tcW w:w="1985" w:type="dxa"/>
            <w:vAlign w:val="center"/>
          </w:tcPr>
          <w:p>
            <w:pPr>
              <w:jc w:val="right"/>
              <w:rPr>
                <w:rFonts w:ascii="Times New Roman" w:hAnsi="Times New Roman"/>
                <w:szCs w:val="21"/>
              </w:rPr>
            </w:pPr>
            <w:r>
              <w:rPr>
                <w:rFonts w:hint="eastAsia" w:ascii="Times New Roman" w:hAnsi="Times New Roman"/>
                <w:color w:val="auto"/>
              </w:rPr>
              <w:t>　</w:t>
            </w:r>
          </w:p>
        </w:tc>
        <w:tc>
          <w:tcPr>
            <w:tcW w:w="1985" w:type="dxa"/>
            <w:vAlign w:val="center"/>
          </w:tcPr>
          <w:p>
            <w:pPr>
              <w:jc w:val="right"/>
              <w:rPr>
                <w:rFonts w:ascii="Times New Roman" w:hAnsi="Times New Roman"/>
                <w:szCs w:val="21"/>
              </w:rPr>
            </w:pPr>
            <w:r>
              <w:rPr>
                <w:rFonts w:hint="eastAsia" w:ascii="Times New Roman" w:hAnsi="Times New Roman"/>
                <w:color w:val="auto"/>
              </w:rPr>
              <w:t>1,871,849.65</w:t>
            </w:r>
          </w:p>
        </w:tc>
        <w:tc>
          <w:tcPr>
            <w:tcW w:w="1706" w:type="dxa"/>
            <w:vAlign w:val="center"/>
          </w:tcPr>
          <w:p>
            <w:pPr>
              <w:jc w:val="right"/>
              <w:rPr>
                <w:rFonts w:ascii="Times New Roman" w:hAnsi="Times New Roman"/>
                <w:szCs w:val="21"/>
              </w:rPr>
            </w:pPr>
            <w:r>
              <w:rPr>
                <w:rFonts w:hint="eastAsia" w:ascii="Times New Roman" w:hAnsi="Times New Roman"/>
                <w:color w:val="auto"/>
              </w:rPr>
              <w:t>2,232,851.14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pPr>
              <w:pStyle w:val="89"/>
              <w:spacing w:after="0" w:line="240" w:lineRule="auto"/>
              <w:ind w:right="-84" w:rightChars="-40"/>
              <w:jc w:val="both"/>
              <w:rPr>
                <w:rFonts w:hint="eastAsia" w:ascii="Times New Roman" w:hAnsi="Times New Roman" w:eastAsia="宋体" w:cs="宋体"/>
                <w:sz w:val="21"/>
                <w:szCs w:val="21"/>
                <w:lang w:eastAsia="zh-CN"/>
              </w:rPr>
            </w:pPr>
            <w:r>
              <w:rPr>
                <w:rFonts w:ascii="Times New Roman" w:hAnsi="Times New Roman" w:eastAsia="宋体" w:cs="宋体"/>
                <w:sz w:val="21"/>
                <w:szCs w:val="21"/>
                <w:lang w:eastAsia="zh-CN"/>
              </w:rPr>
              <w:t>2025年12月31日</w:t>
            </w:r>
            <w:r>
              <w:rPr>
                <w:rFonts w:hint="eastAsia" w:ascii="Times New Roman" w:hAnsi="Times New Roman" w:eastAsia="宋体" w:cs="宋体"/>
                <w:sz w:val="21"/>
                <w:szCs w:val="21"/>
                <w:lang w:eastAsia="zh-CN"/>
              </w:rPr>
              <w:t>余额</w:t>
            </w:r>
          </w:p>
        </w:tc>
        <w:tc>
          <w:tcPr>
            <w:tcW w:w="1560" w:type="dxa"/>
            <w:vAlign w:val="center"/>
          </w:tcPr>
          <w:p>
            <w:pPr>
              <w:jc w:val="right"/>
              <w:rPr>
                <w:rFonts w:ascii="Times New Roman" w:hAnsi="Times New Roman"/>
                <w:szCs w:val="21"/>
              </w:rPr>
            </w:pPr>
            <w:r>
              <w:rPr>
                <w:rFonts w:hint="eastAsia" w:ascii="Times New Roman" w:hAnsi="Times New Roman"/>
                <w:color w:val="auto"/>
              </w:rPr>
              <w:t>13,012,283.81</w:t>
            </w:r>
          </w:p>
        </w:tc>
        <w:tc>
          <w:tcPr>
            <w:tcW w:w="1985" w:type="dxa"/>
            <w:vAlign w:val="center"/>
          </w:tcPr>
          <w:p>
            <w:pPr>
              <w:jc w:val="right"/>
              <w:rPr>
                <w:rFonts w:ascii="Times New Roman" w:hAnsi="Times New Roman"/>
                <w:szCs w:val="21"/>
              </w:rPr>
            </w:pPr>
            <w:r>
              <w:rPr>
                <w:rFonts w:hint="eastAsia" w:ascii="Times New Roman" w:hAnsi="Times New Roman"/>
                <w:color w:val="auto"/>
              </w:rPr>
              <w:t>　</w:t>
            </w:r>
          </w:p>
        </w:tc>
        <w:tc>
          <w:tcPr>
            <w:tcW w:w="1985" w:type="dxa"/>
            <w:vAlign w:val="center"/>
          </w:tcPr>
          <w:p>
            <w:pPr>
              <w:jc w:val="right"/>
              <w:rPr>
                <w:rFonts w:ascii="Times New Roman" w:hAnsi="Times New Roman"/>
                <w:szCs w:val="21"/>
              </w:rPr>
            </w:pPr>
            <w:r>
              <w:rPr>
                <w:rFonts w:hint="eastAsia" w:ascii="Times New Roman" w:hAnsi="Times New Roman"/>
                <w:color w:val="auto"/>
              </w:rPr>
              <w:t>6,053,057.38</w:t>
            </w:r>
          </w:p>
        </w:tc>
        <w:tc>
          <w:tcPr>
            <w:tcW w:w="1706" w:type="dxa"/>
            <w:vAlign w:val="center"/>
          </w:tcPr>
          <w:p>
            <w:pPr>
              <w:jc w:val="right"/>
              <w:rPr>
                <w:rFonts w:ascii="Times New Roman" w:hAnsi="Times New Roman"/>
                <w:szCs w:val="21"/>
              </w:rPr>
            </w:pPr>
            <w:r>
              <w:rPr>
                <w:rFonts w:hint="eastAsia" w:ascii="Times New Roman" w:hAnsi="Times New Roman"/>
                <w:color w:val="auto"/>
              </w:rPr>
              <w:t>19,065,341.19</w:t>
            </w:r>
          </w:p>
        </w:tc>
      </w:tr>
    </w:tbl>
    <w:p/>
    <w:p>
      <w:pPr>
        <w:autoSpaceDE w:val="0"/>
        <w:autoSpaceDN w:val="0"/>
        <w:adjustRightInd w:val="0"/>
        <w:ind w:right="105" w:rightChars="50"/>
        <w:rPr>
          <w:szCs w:val="21"/>
        </w:rPr>
      </w:pPr>
      <w:r>
        <w:rPr>
          <w:rFonts w:hint="eastAsia"/>
          <w:szCs w:val="21"/>
        </w:rPr>
        <w:t>各阶段划分依据和坏账准备计提比例</w:t>
      </w:r>
    </w:p>
    <w:sdt>
      <w:sdtPr>
        <w:rPr>
          <w:bCs/>
          <w:szCs w:val="22"/>
        </w:rPr>
        <w:alias w:val="其他应收款各阶段划分依据和坏账准备计提比例"/>
        <w:tag w:val="_GBC_d878dae05a464cf69eea4a309bb1cd21"/>
        <w:id w:val="6939"/>
        <w:placeholder>
          <w:docPart w:val="GBC22222222222222222222222222222"/>
        </w:placeholder>
      </w:sdtPr>
      <w:sdtEndPr>
        <w:rPr>
          <w:bCs/>
          <w:szCs w:val="22"/>
        </w:rPr>
      </w:sdtEndPr>
      <w:sdtContent>
        <w:p>
          <w:pPr>
            <w:rPr>
              <w:bCs/>
              <w:szCs w:val="22"/>
            </w:rPr>
          </w:pPr>
          <w:r>
            <w:rPr>
              <w:rFonts w:hint="eastAsia"/>
              <w:bCs/>
              <w:szCs w:val="22"/>
            </w:rPr>
            <w:t>无</w:t>
          </w:r>
        </w:p>
      </w:sdtContent>
    </w:sdt>
    <w:p/>
    <w:p>
      <w:pPr>
        <w:pStyle w:val="73"/>
      </w:pPr>
      <w:r>
        <w:rPr>
          <w:rFonts w:hint="eastAsia"/>
        </w:rPr>
        <w:t>对本期发生损失准备变动的其他应收款账面余额显著变动的情况说明：</w:t>
      </w:r>
    </w:p>
    <w:sdt>
      <w:sdtPr>
        <w:alias w:val="是否适用：其他应收款本期发生损失准备变动且账面余额显著变动的情况说明[双击切换]"/>
        <w:tag w:val="_GBC_58fcdf70fc84477da132c3f4817c5321"/>
        <w:id w:val="6940"/>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bookmarkEnd w:id="254"/>
    <w:p>
      <w:bookmarkStart w:id="255" w:name="_Hlk534806817"/>
      <w:r>
        <w:rPr>
          <w:rFonts w:hint="eastAsia"/>
        </w:rPr>
        <w:t>本期坏账准备计提金额以及评估金融工具的信用风险是否显著增加的采用依据：</w:t>
      </w:r>
    </w:p>
    <w:sdt>
      <w:sdtPr>
        <w:alias w:val="是否适用：其他应收款本期坏账准备计提金额以及评估金融工具的信用风险显著增加的采用依据[双击切换]"/>
        <w:tag w:val="_GBC_443438be92c7443db5842cb1e5d811cd"/>
        <w:id w:val="6941"/>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bookmarkEnd w:id="255"/>
    <w:p>
      <w:pPr>
        <w:pStyle w:val="6"/>
        <w:numPr>
          <w:ilvl w:val="0"/>
          <w:numId w:val="70"/>
        </w:numPr>
        <w:ind w:leftChars="0"/>
      </w:pPr>
      <w:bookmarkStart w:id="256" w:name="_Hlk532831394"/>
      <w:r>
        <w:rPr>
          <w:rFonts w:hint="eastAsia"/>
        </w:rPr>
        <w:t>坏账准备的情况</w:t>
      </w:r>
    </w:p>
    <w:sdt>
      <w:sdtPr>
        <w:alias w:val="是否适用：其他应收款坏账准备[双击切换]"/>
        <w:tag w:val="_GBC_524ff4c8c6e549ef8e2bf00ca72ddbb6"/>
        <w:id w:val="6942"/>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pStyle w:val="56"/>
        <w:snapToGrid w:val="0"/>
        <w:spacing w:line="240" w:lineRule="atLeast"/>
        <w:ind w:left="425" w:firstLine="0" w:firstLineChars="0"/>
        <w:jc w:val="right"/>
        <w:rPr>
          <w:szCs w:val="21"/>
        </w:rPr>
      </w:pPr>
      <w:r>
        <w:rPr>
          <w:rFonts w:hint="eastAsia"/>
          <w:szCs w:val="21"/>
        </w:rPr>
        <w:t>单位：</w:t>
      </w:r>
      <w:sdt>
        <w:sdtPr>
          <w:rPr>
            <w:rFonts w:hint="eastAsia"/>
            <w:szCs w:val="21"/>
          </w:rPr>
          <w:alias w:val="单位：其他应收款坏账准备"/>
          <w:tag w:val="_GBC_a1cc48852f8047719c9f4b9326a997e3"/>
          <w:id w:val="694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其他应收款坏账准备"/>
          <w:tag w:val="_GBC_cc05d2791f5f4983a0b6c04ec0989295"/>
          <w:id w:val="694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1545"/>
        <w:gridCol w:w="1509"/>
        <w:gridCol w:w="1392"/>
        <w:gridCol w:w="907"/>
        <w:gridCol w:w="1237"/>
        <w:gridCol w:w="1000"/>
        <w:gridCol w:w="1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545" w:type="dxa"/>
            <w:vMerge w:val="restart"/>
            <w:shd w:val="clear" w:color="auto" w:fill="FFFFFF"/>
            <w:vAlign w:val="center"/>
          </w:tcPr>
          <w:sdt>
            <w:sdtPr>
              <w:tag w:val="_PLD_26385dc5e422410c8676e4fee82120cb"/>
              <w:id w:val="6945"/>
            </w:sdtPr>
            <w:sdtContent>
              <w:p>
                <w:pPr>
                  <w:widowControl w:val="0"/>
                  <w:jc w:val="center"/>
                </w:pPr>
                <w:r>
                  <w:t>类别</w:t>
                </w:r>
              </w:p>
            </w:sdtContent>
          </w:sdt>
        </w:tc>
        <w:tc>
          <w:tcPr>
            <w:tcW w:w="1509" w:type="dxa"/>
            <w:vMerge w:val="restart"/>
            <w:shd w:val="clear" w:color="auto" w:fill="FFFFFF"/>
            <w:vAlign w:val="center"/>
          </w:tcPr>
          <w:sdt>
            <w:sdtPr>
              <w:tag w:val="_PLD_325dd74545cb4f67921ea1cc7ed20a2b"/>
              <w:id w:val="6946"/>
            </w:sdtPr>
            <w:sdtContent>
              <w:p>
                <w:pPr>
                  <w:widowControl w:val="0"/>
                  <w:jc w:val="center"/>
                </w:pPr>
                <w:r>
                  <w:t>期初余额</w:t>
                </w:r>
              </w:p>
            </w:sdtContent>
          </w:sdt>
        </w:tc>
        <w:tc>
          <w:tcPr>
            <w:tcW w:w="4536" w:type="dxa"/>
            <w:gridSpan w:val="4"/>
            <w:shd w:val="clear" w:color="auto" w:fill="FFFFFF"/>
            <w:vAlign w:val="center"/>
          </w:tcPr>
          <w:sdt>
            <w:sdtPr>
              <w:tag w:val="_PLD_d513696ccf0b46ccb4ea6d2ef23dbbd2"/>
              <w:id w:val="6947"/>
            </w:sdtPr>
            <w:sdtContent>
              <w:p>
                <w:pPr>
                  <w:widowControl w:val="0"/>
                  <w:jc w:val="center"/>
                </w:pPr>
                <w:r>
                  <w:rPr>
                    <w:rFonts w:hint="eastAsia"/>
                  </w:rPr>
                  <w:t>本期变动</w:t>
                </w:r>
                <w:r>
                  <w:t>金额</w:t>
                </w:r>
              </w:p>
            </w:sdtContent>
          </w:sdt>
        </w:tc>
        <w:tc>
          <w:tcPr>
            <w:tcW w:w="1465" w:type="dxa"/>
            <w:vMerge w:val="restart"/>
            <w:shd w:val="clear" w:color="auto" w:fill="FFFFFF"/>
            <w:vAlign w:val="center"/>
          </w:tcPr>
          <w:sdt>
            <w:sdtPr>
              <w:tag w:val="_PLD_20b48d7d53584edf917ab5d4207d6a9c"/>
              <w:id w:val="6948"/>
            </w:sdtPr>
            <w:sdtContent>
              <w:p>
                <w:pPr>
                  <w:widowControl w:val="0"/>
                  <w:jc w:val="center"/>
                </w:pPr>
                <w:r>
                  <w:t>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545" w:type="dxa"/>
            <w:vMerge w:val="continue"/>
            <w:shd w:val="clear" w:color="auto" w:fill="FFFFFF"/>
            <w:vAlign w:val="center"/>
          </w:tcPr>
          <w:p>
            <w:pPr>
              <w:widowControl w:val="0"/>
              <w:jc w:val="center"/>
            </w:pPr>
          </w:p>
        </w:tc>
        <w:tc>
          <w:tcPr>
            <w:tcW w:w="1509" w:type="dxa"/>
            <w:vMerge w:val="continue"/>
            <w:shd w:val="clear" w:color="auto" w:fill="FFFFFF"/>
            <w:vAlign w:val="center"/>
          </w:tcPr>
          <w:p>
            <w:pPr>
              <w:widowControl w:val="0"/>
              <w:jc w:val="center"/>
            </w:pPr>
          </w:p>
        </w:tc>
        <w:tc>
          <w:tcPr>
            <w:tcW w:w="1392" w:type="dxa"/>
            <w:shd w:val="clear" w:color="auto" w:fill="FFFFFF"/>
            <w:vAlign w:val="center"/>
          </w:tcPr>
          <w:sdt>
            <w:sdtPr>
              <w:tag w:val="_PLD_97824acb5c834e9fbe6cf8e4b6cac761"/>
              <w:id w:val="6949"/>
            </w:sdtPr>
            <w:sdtContent>
              <w:p>
                <w:pPr>
                  <w:widowControl w:val="0"/>
                  <w:jc w:val="center"/>
                </w:pPr>
                <w:r>
                  <w:t>计提</w:t>
                </w:r>
              </w:p>
            </w:sdtContent>
          </w:sdt>
        </w:tc>
        <w:tc>
          <w:tcPr>
            <w:tcW w:w="907" w:type="dxa"/>
            <w:shd w:val="clear" w:color="auto" w:fill="FFFFFF"/>
            <w:vAlign w:val="center"/>
          </w:tcPr>
          <w:sdt>
            <w:sdtPr>
              <w:tag w:val="_PLD_233002cee9bc4108842b58a08731b243"/>
              <w:id w:val="6950"/>
            </w:sdtPr>
            <w:sdtContent>
              <w:p>
                <w:pPr>
                  <w:widowControl w:val="0"/>
                  <w:jc w:val="center"/>
                </w:pPr>
                <w:r>
                  <w:rPr>
                    <w:rFonts w:hint="eastAsia"/>
                  </w:rPr>
                  <w:t>收回或转回</w:t>
                </w:r>
              </w:p>
            </w:sdtContent>
          </w:sdt>
        </w:tc>
        <w:tc>
          <w:tcPr>
            <w:tcW w:w="1237" w:type="dxa"/>
            <w:shd w:val="clear" w:color="auto" w:fill="FFFFFF"/>
            <w:vAlign w:val="center"/>
          </w:tcPr>
          <w:sdt>
            <w:sdtPr>
              <w:tag w:val="_PLD_6bcdf2328a584128aba90aa75e33c767"/>
              <w:id w:val="6951"/>
            </w:sdtPr>
            <w:sdtContent>
              <w:p>
                <w:pPr>
                  <w:widowControl w:val="0"/>
                  <w:jc w:val="center"/>
                </w:pPr>
                <w:r>
                  <w:rPr>
                    <w:rFonts w:hint="eastAsia"/>
                  </w:rPr>
                  <w:t>转销或核销</w:t>
                </w:r>
              </w:p>
            </w:sdtContent>
          </w:sdt>
        </w:tc>
        <w:tc>
          <w:tcPr>
            <w:tcW w:w="1000" w:type="dxa"/>
            <w:shd w:val="clear" w:color="auto" w:fill="FFFFFF"/>
            <w:vAlign w:val="center"/>
          </w:tcPr>
          <w:sdt>
            <w:sdtPr>
              <w:tag w:val="_PLD_da684cd2e7cd4d42baf40bc9d95a0ce8"/>
              <w:id w:val="6952"/>
            </w:sdtPr>
            <w:sdtContent>
              <w:p>
                <w:pPr>
                  <w:widowControl w:val="0"/>
                  <w:jc w:val="center"/>
                </w:pPr>
                <w:r>
                  <w:rPr>
                    <w:rFonts w:hint="eastAsia"/>
                  </w:rPr>
                  <w:t>其他变动</w:t>
                </w:r>
              </w:p>
            </w:sdtContent>
          </w:sdt>
        </w:tc>
        <w:tc>
          <w:tcPr>
            <w:tcW w:w="1465" w:type="dxa"/>
            <w:vMerge w:val="continue"/>
            <w:shd w:val="clear" w:color="auto" w:fill="FFFFFF"/>
            <w:vAlign w:val="center"/>
          </w:tcPr>
          <w:p>
            <w:pPr>
              <w:widowControl w:val="0"/>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545" w:type="dxa"/>
            <w:vAlign w:val="center"/>
          </w:tcPr>
          <w:p>
            <w:pPr>
              <w:widowControl w:val="0"/>
            </w:pPr>
            <w:r>
              <w:rPr>
                <w:rFonts w:hint="eastAsia"/>
                <w:color w:val="auto"/>
              </w:rPr>
              <w:t>单项计提预期信用损失的应收账款</w:t>
            </w:r>
          </w:p>
        </w:tc>
        <w:tc>
          <w:tcPr>
            <w:tcW w:w="1509" w:type="dxa"/>
            <w:vAlign w:val="center"/>
          </w:tcPr>
          <w:p>
            <w:pPr>
              <w:widowControl w:val="0"/>
              <w:jc w:val="right"/>
            </w:pPr>
          </w:p>
        </w:tc>
        <w:tc>
          <w:tcPr>
            <w:tcW w:w="1392" w:type="dxa"/>
            <w:vAlign w:val="center"/>
          </w:tcPr>
          <w:p>
            <w:pPr>
              <w:widowControl w:val="0"/>
              <w:jc w:val="right"/>
            </w:pPr>
          </w:p>
        </w:tc>
        <w:tc>
          <w:tcPr>
            <w:tcW w:w="907" w:type="dxa"/>
            <w:vAlign w:val="center"/>
          </w:tcPr>
          <w:p>
            <w:pPr>
              <w:widowControl w:val="0"/>
              <w:jc w:val="right"/>
            </w:pPr>
          </w:p>
        </w:tc>
        <w:tc>
          <w:tcPr>
            <w:tcW w:w="1237" w:type="dxa"/>
            <w:vAlign w:val="center"/>
          </w:tcPr>
          <w:p>
            <w:pPr>
              <w:widowControl w:val="0"/>
              <w:jc w:val="right"/>
            </w:pPr>
          </w:p>
        </w:tc>
        <w:tc>
          <w:tcPr>
            <w:tcW w:w="1000" w:type="dxa"/>
            <w:vAlign w:val="center"/>
          </w:tcPr>
          <w:p>
            <w:pPr>
              <w:widowControl w:val="0"/>
              <w:jc w:val="right"/>
            </w:pPr>
          </w:p>
        </w:tc>
        <w:tc>
          <w:tcPr>
            <w:tcW w:w="1465" w:type="dxa"/>
            <w:vAlign w:val="center"/>
          </w:tcPr>
          <w:p>
            <w:pPr>
              <w:widowControl w:val="0"/>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545" w:type="dxa"/>
            <w:vAlign w:val="center"/>
          </w:tcPr>
          <w:p>
            <w:pPr>
              <w:widowControl w:val="0"/>
            </w:pPr>
            <w:r>
              <w:rPr>
                <w:rFonts w:hint="eastAsia"/>
                <w:color w:val="auto"/>
              </w:rPr>
              <w:t>按组合计提预期信用损失的应收账款</w:t>
            </w:r>
          </w:p>
        </w:tc>
        <w:tc>
          <w:tcPr>
            <w:tcW w:w="1509" w:type="dxa"/>
            <w:vAlign w:val="center"/>
          </w:tcPr>
          <w:p>
            <w:pPr>
              <w:widowControl w:val="0"/>
              <w:jc w:val="right"/>
            </w:pPr>
          </w:p>
        </w:tc>
        <w:tc>
          <w:tcPr>
            <w:tcW w:w="1392" w:type="dxa"/>
            <w:vAlign w:val="center"/>
          </w:tcPr>
          <w:p>
            <w:pPr>
              <w:widowControl w:val="0"/>
              <w:jc w:val="right"/>
            </w:pPr>
          </w:p>
        </w:tc>
        <w:tc>
          <w:tcPr>
            <w:tcW w:w="907" w:type="dxa"/>
            <w:vAlign w:val="center"/>
          </w:tcPr>
          <w:p>
            <w:pPr>
              <w:widowControl w:val="0"/>
              <w:jc w:val="right"/>
            </w:pPr>
          </w:p>
        </w:tc>
        <w:tc>
          <w:tcPr>
            <w:tcW w:w="1237" w:type="dxa"/>
            <w:vAlign w:val="center"/>
          </w:tcPr>
          <w:p>
            <w:pPr>
              <w:widowControl w:val="0"/>
              <w:jc w:val="right"/>
            </w:pPr>
          </w:p>
        </w:tc>
        <w:tc>
          <w:tcPr>
            <w:tcW w:w="1000" w:type="dxa"/>
            <w:vAlign w:val="center"/>
          </w:tcPr>
          <w:p>
            <w:pPr>
              <w:widowControl w:val="0"/>
              <w:jc w:val="right"/>
            </w:pPr>
          </w:p>
        </w:tc>
        <w:tc>
          <w:tcPr>
            <w:tcW w:w="1465" w:type="dxa"/>
            <w:vAlign w:val="center"/>
          </w:tcPr>
          <w:p>
            <w:pPr>
              <w:widowControl w:val="0"/>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545" w:type="dxa"/>
            <w:vAlign w:val="center"/>
          </w:tcPr>
          <w:p>
            <w:pPr>
              <w:widowControl w:val="0"/>
            </w:pPr>
            <w:r>
              <w:rPr>
                <w:rFonts w:hint="eastAsia"/>
                <w:color w:val="auto"/>
              </w:rPr>
              <w:t>其中：按账龄组合计提坏账准备的应收账款</w:t>
            </w:r>
          </w:p>
        </w:tc>
        <w:tc>
          <w:tcPr>
            <w:tcW w:w="1509" w:type="dxa"/>
            <w:vAlign w:val="center"/>
          </w:tcPr>
          <w:p>
            <w:pPr>
              <w:widowControl w:val="0"/>
              <w:jc w:val="right"/>
            </w:pPr>
          </w:p>
        </w:tc>
        <w:tc>
          <w:tcPr>
            <w:tcW w:w="1392" w:type="dxa"/>
            <w:vAlign w:val="center"/>
          </w:tcPr>
          <w:p>
            <w:pPr>
              <w:widowControl w:val="0"/>
              <w:jc w:val="right"/>
            </w:pPr>
          </w:p>
        </w:tc>
        <w:tc>
          <w:tcPr>
            <w:tcW w:w="907" w:type="dxa"/>
            <w:vAlign w:val="center"/>
          </w:tcPr>
          <w:p>
            <w:pPr>
              <w:widowControl w:val="0"/>
              <w:jc w:val="right"/>
            </w:pPr>
          </w:p>
        </w:tc>
        <w:tc>
          <w:tcPr>
            <w:tcW w:w="1237" w:type="dxa"/>
            <w:vAlign w:val="center"/>
          </w:tcPr>
          <w:p>
            <w:pPr>
              <w:widowControl w:val="0"/>
              <w:jc w:val="right"/>
            </w:pPr>
          </w:p>
        </w:tc>
        <w:tc>
          <w:tcPr>
            <w:tcW w:w="1000" w:type="dxa"/>
            <w:vAlign w:val="center"/>
          </w:tcPr>
          <w:p>
            <w:pPr>
              <w:widowControl w:val="0"/>
              <w:jc w:val="right"/>
            </w:pPr>
          </w:p>
        </w:tc>
        <w:tc>
          <w:tcPr>
            <w:tcW w:w="1465" w:type="dxa"/>
            <w:vAlign w:val="center"/>
          </w:tcPr>
          <w:p>
            <w:pPr>
              <w:widowControl w:val="0"/>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545" w:type="dxa"/>
            <w:vAlign w:val="center"/>
          </w:tcPr>
          <w:p>
            <w:pPr>
              <w:widowControl w:val="0"/>
            </w:pPr>
            <w:r>
              <w:rPr>
                <w:rFonts w:hint="eastAsia"/>
                <w:color w:val="auto"/>
              </w:rPr>
              <w:t>其他应收款坏账准备</w:t>
            </w:r>
          </w:p>
        </w:tc>
        <w:tc>
          <w:tcPr>
            <w:tcW w:w="1509" w:type="dxa"/>
            <w:vAlign w:val="center"/>
          </w:tcPr>
          <w:p>
            <w:pPr>
              <w:widowControl w:val="0"/>
              <w:jc w:val="right"/>
            </w:pPr>
            <w:r>
              <w:rPr>
                <w:rFonts w:hint="eastAsia"/>
                <w:color w:val="auto"/>
              </w:rPr>
              <w:t>16,832,490.05</w:t>
            </w:r>
          </w:p>
        </w:tc>
        <w:tc>
          <w:tcPr>
            <w:tcW w:w="1392" w:type="dxa"/>
            <w:vAlign w:val="center"/>
          </w:tcPr>
          <w:p>
            <w:pPr>
              <w:widowControl w:val="0"/>
              <w:jc w:val="right"/>
            </w:pPr>
            <w:r>
              <w:rPr>
                <w:rFonts w:hint="eastAsia"/>
                <w:color w:val="auto"/>
              </w:rPr>
              <w:t>2,232,851.14</w:t>
            </w:r>
          </w:p>
        </w:tc>
        <w:tc>
          <w:tcPr>
            <w:tcW w:w="907" w:type="dxa"/>
            <w:vAlign w:val="center"/>
          </w:tcPr>
          <w:p>
            <w:pPr>
              <w:widowControl w:val="0"/>
              <w:jc w:val="right"/>
            </w:pPr>
          </w:p>
        </w:tc>
        <w:tc>
          <w:tcPr>
            <w:tcW w:w="1237" w:type="dxa"/>
            <w:vAlign w:val="center"/>
          </w:tcPr>
          <w:p>
            <w:pPr>
              <w:widowControl w:val="0"/>
              <w:jc w:val="right"/>
            </w:pPr>
          </w:p>
        </w:tc>
        <w:tc>
          <w:tcPr>
            <w:tcW w:w="1000" w:type="dxa"/>
            <w:vAlign w:val="center"/>
          </w:tcPr>
          <w:p>
            <w:pPr>
              <w:widowControl w:val="0"/>
              <w:jc w:val="right"/>
            </w:pPr>
          </w:p>
        </w:tc>
        <w:tc>
          <w:tcPr>
            <w:tcW w:w="1465" w:type="dxa"/>
            <w:vAlign w:val="center"/>
          </w:tcPr>
          <w:p>
            <w:pPr>
              <w:widowControl w:val="0"/>
              <w:jc w:val="right"/>
            </w:pPr>
            <w:r>
              <w:rPr>
                <w:rFonts w:hint="eastAsia"/>
                <w:color w:val="auto"/>
              </w:rPr>
              <w:t>19,065,341.19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545" w:type="dxa"/>
            <w:vAlign w:val="center"/>
          </w:tcPr>
          <w:p>
            <w:pPr>
              <w:widowControl w:val="0"/>
              <w:jc w:val="center"/>
            </w:pPr>
            <w:r>
              <w:rPr>
                <w:rFonts w:hint="eastAsia"/>
              </w:rPr>
              <w:t>合计</w:t>
            </w:r>
          </w:p>
        </w:tc>
        <w:tc>
          <w:tcPr>
            <w:tcW w:w="1509" w:type="dxa"/>
            <w:vAlign w:val="center"/>
          </w:tcPr>
          <w:p>
            <w:pPr>
              <w:widowControl w:val="0"/>
              <w:jc w:val="right"/>
            </w:pPr>
            <w:r>
              <w:rPr>
                <w:rFonts w:hint="eastAsia"/>
                <w:color w:val="auto"/>
              </w:rPr>
              <w:t>16,832,490.05</w:t>
            </w:r>
          </w:p>
        </w:tc>
        <w:tc>
          <w:tcPr>
            <w:tcW w:w="1392" w:type="dxa"/>
            <w:vAlign w:val="center"/>
          </w:tcPr>
          <w:p>
            <w:pPr>
              <w:widowControl w:val="0"/>
              <w:jc w:val="right"/>
            </w:pPr>
            <w:r>
              <w:rPr>
                <w:rFonts w:hint="eastAsia"/>
                <w:color w:val="auto"/>
              </w:rPr>
              <w:t>2,232,851.14</w:t>
            </w:r>
          </w:p>
        </w:tc>
        <w:tc>
          <w:tcPr>
            <w:tcW w:w="907" w:type="dxa"/>
            <w:vAlign w:val="center"/>
          </w:tcPr>
          <w:p>
            <w:pPr>
              <w:widowControl w:val="0"/>
              <w:jc w:val="right"/>
            </w:pPr>
          </w:p>
        </w:tc>
        <w:tc>
          <w:tcPr>
            <w:tcW w:w="1237" w:type="dxa"/>
            <w:vAlign w:val="center"/>
          </w:tcPr>
          <w:p>
            <w:pPr>
              <w:widowControl w:val="0"/>
              <w:jc w:val="right"/>
            </w:pPr>
          </w:p>
        </w:tc>
        <w:tc>
          <w:tcPr>
            <w:tcW w:w="1000" w:type="dxa"/>
            <w:vAlign w:val="center"/>
          </w:tcPr>
          <w:p>
            <w:pPr>
              <w:widowControl w:val="0"/>
              <w:jc w:val="right"/>
            </w:pPr>
          </w:p>
        </w:tc>
        <w:tc>
          <w:tcPr>
            <w:tcW w:w="1465" w:type="dxa"/>
            <w:vAlign w:val="center"/>
          </w:tcPr>
          <w:p>
            <w:pPr>
              <w:widowControl w:val="0"/>
              <w:jc w:val="right"/>
            </w:pPr>
            <w:r>
              <w:rPr>
                <w:rFonts w:hint="eastAsia"/>
                <w:color w:val="auto"/>
              </w:rPr>
              <w:t>19,065,341.19</w:t>
            </w:r>
          </w:p>
        </w:tc>
      </w:tr>
    </w:tbl>
    <w:p/>
    <w:p>
      <w:bookmarkStart w:id="257" w:name="_Hlk154157836"/>
      <w:r>
        <w:rPr>
          <w:rFonts w:hint="eastAsia"/>
        </w:rPr>
        <w:t>其中本期坏账准备转回或收回金额重要的：</w:t>
      </w:r>
    </w:p>
    <w:sdt>
      <w:sdtPr>
        <w:alias w:val="是否适用：其中本期其他应收账款坏账准备收回或转回金额重要的[双击切换]"/>
        <w:tag w:val="_GBC_c99a80b9a36440d7b9ed3ce899868361"/>
        <w:id w:val="6953"/>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rPr>
          <w:rFonts w:hint="eastAsia"/>
        </w:rPr>
        <w:t>其他说明：</w:t>
      </w:r>
    </w:p>
    <w:sdt>
      <w:sdtPr>
        <w:alias w:val="其他应收款坏账准备情况的说明"/>
        <w:tag w:val="_GBC_ea3d549b97f449188fd9e2f767cdcd6c"/>
        <w:id w:val="6954"/>
        <w:placeholder>
          <w:docPart w:val="GBC22222222222222222222222222222"/>
        </w:placeholder>
      </w:sdtPr>
      <w:sdtContent>
        <w:p>
          <w:r>
            <w:t>无</w:t>
          </w:r>
        </w:p>
      </w:sdtContent>
    </w:sdt>
    <w:bookmarkEnd w:id="256"/>
    <w:bookmarkEnd w:id="257"/>
    <w:p>
      <w:pPr>
        <w:pStyle w:val="6"/>
        <w:numPr>
          <w:ilvl w:val="0"/>
          <w:numId w:val="70"/>
        </w:numPr>
        <w:ind w:leftChars="0"/>
      </w:pPr>
      <w:r>
        <w:rPr>
          <w:rFonts w:hint="eastAsia"/>
        </w:rPr>
        <w:t>本期实际核销的其他应收款情况</w:t>
      </w:r>
    </w:p>
    <w:sdt>
      <w:sdtPr>
        <w:alias w:val="是否适用：本期实际核销的其他应收款情况[双击切换]"/>
        <w:tag w:val="_GBC_2ce86125d6b94b148fa674141e6497b1"/>
        <w:id w:val="6955"/>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pacing w:line="400" w:lineRule="exact"/>
            <w:textAlignment w:val="auto"/>
            <w:rPr>
              <w:szCs w:val="21"/>
            </w:rPr>
          </w:pPr>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keepNext w:val="0"/>
        <w:keepLines w:val="0"/>
        <w:pageBreakBefore w:val="0"/>
        <w:widowControl/>
        <w:kinsoku/>
        <w:wordWrap/>
        <w:overflowPunct/>
        <w:topLinePunct w:val="0"/>
        <w:autoSpaceDE/>
        <w:autoSpaceDN/>
        <w:bidi w:val="0"/>
        <w:adjustRightInd/>
        <w:spacing w:line="400" w:lineRule="exact"/>
        <w:textAlignment w:val="auto"/>
        <w:rPr>
          <w:szCs w:val="21"/>
        </w:rPr>
      </w:pPr>
      <w:r>
        <w:rPr>
          <w:rFonts w:hint="eastAsia"/>
          <w:szCs w:val="21"/>
        </w:rPr>
        <w:t>其中重要的其他应收款核销情况：</w:t>
      </w:r>
    </w:p>
    <w:sdt>
      <w:sdtPr>
        <w:rPr>
          <w:szCs w:val="21"/>
        </w:rPr>
        <w:alias w:val="是否适用：其中重要的其他应收款核销情况[双击切换]"/>
        <w:tag w:val="_GBC_6f3b8f9a05dc4f2082e4ad20a1930006"/>
        <w:id w:val="6956"/>
        <w:placeholder>
          <w:docPart w:val="GBC22222222222222222222222222222"/>
        </w:placeholder>
      </w:sdtPr>
      <w:sdtEndPr>
        <w:rPr>
          <w:szCs w:val="21"/>
        </w:rPr>
      </w:sdtEndPr>
      <w:sdtContent>
        <w:p>
          <w:pPr>
            <w:keepNext w:val="0"/>
            <w:keepLines w:val="0"/>
            <w:pageBreakBefore w:val="0"/>
            <w:widowControl/>
            <w:kinsoku/>
            <w:wordWrap/>
            <w:overflowPunct/>
            <w:topLinePunct w:val="0"/>
            <w:autoSpaceDE/>
            <w:autoSpaceDN/>
            <w:bidi w:val="0"/>
            <w:adjustRightInd/>
            <w:spacing w:line="400" w:lineRule="exact"/>
            <w:textAlignment w:val="auto"/>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keepNext w:val="0"/>
        <w:keepLines w:val="0"/>
        <w:pageBreakBefore w:val="0"/>
        <w:widowControl/>
        <w:kinsoku/>
        <w:wordWrap/>
        <w:overflowPunct/>
        <w:topLinePunct w:val="0"/>
        <w:autoSpaceDE/>
        <w:autoSpaceDN/>
        <w:bidi w:val="0"/>
        <w:adjustRightInd/>
        <w:snapToGrid w:val="0"/>
        <w:spacing w:line="400" w:lineRule="exact"/>
        <w:textAlignment w:val="auto"/>
        <w:rPr>
          <w:szCs w:val="21"/>
        </w:rPr>
      </w:pPr>
    </w:p>
    <w:p>
      <w:pPr>
        <w:keepNext w:val="0"/>
        <w:keepLines w:val="0"/>
        <w:pageBreakBefore w:val="0"/>
        <w:widowControl/>
        <w:kinsoku/>
        <w:wordWrap/>
        <w:overflowPunct/>
        <w:topLinePunct w:val="0"/>
        <w:autoSpaceDE/>
        <w:autoSpaceDN/>
        <w:bidi w:val="0"/>
        <w:adjustRightInd/>
        <w:snapToGrid w:val="0"/>
        <w:spacing w:line="400" w:lineRule="exact"/>
        <w:textAlignment w:val="auto"/>
        <w:rPr>
          <w:b/>
          <w:bCs/>
          <w:szCs w:val="21"/>
        </w:rPr>
      </w:pPr>
      <w:r>
        <w:rPr>
          <w:rFonts w:hint="eastAsia"/>
          <w:szCs w:val="21"/>
        </w:rPr>
        <w:t>其他应收款核销说明：</w:t>
      </w:r>
    </w:p>
    <w:sdt>
      <w:sdtPr>
        <w:rPr>
          <w:szCs w:val="21"/>
        </w:rPr>
        <w:alias w:val="是否适用：其他应收款冲销坏帐明细的说明[双击切换]"/>
        <w:tag w:val="_GBC_c894606830c4440ba090ef98078b372b"/>
        <w:id w:val="6957"/>
        <w:placeholder>
          <w:docPart w:val="GBC22222222222222222222222222222"/>
        </w:placeholder>
      </w:sdtPr>
      <w:sdtEndPr>
        <w:rPr>
          <w:szCs w:val="21"/>
        </w:rPr>
      </w:sdtEndPr>
      <w:sdtContent>
        <w:p>
          <w:pPr>
            <w:keepNext w:val="0"/>
            <w:keepLines w:val="0"/>
            <w:pageBreakBefore w:val="0"/>
            <w:widowControl/>
            <w:kinsoku/>
            <w:wordWrap/>
            <w:overflowPunct/>
            <w:topLinePunct w:val="0"/>
            <w:autoSpaceDE/>
            <w:autoSpaceDN/>
            <w:bidi w:val="0"/>
            <w:adjustRightInd/>
            <w:snapToGrid w:val="0"/>
            <w:spacing w:line="400" w:lineRule="exact"/>
            <w:textAlignment w:val="auto"/>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snapToGrid w:val="0"/>
        <w:spacing w:line="240" w:lineRule="atLeast"/>
        <w:rPr>
          <w:szCs w:val="21"/>
        </w:rPr>
      </w:pPr>
    </w:p>
    <w:p>
      <w:pPr>
        <w:pStyle w:val="6"/>
        <w:numPr>
          <w:ilvl w:val="0"/>
          <w:numId w:val="70"/>
        </w:numPr>
        <w:ind w:leftChars="0"/>
      </w:pPr>
      <w:r>
        <w:rPr>
          <w:rFonts w:hint="eastAsia"/>
        </w:rPr>
        <w:t>按欠款方归集的期末余额前五名的其他应收款情况</w:t>
      </w:r>
    </w:p>
    <w:sdt>
      <w:sdtPr>
        <w:alias w:val="是否适用：按欠款方归集的期末余额前五名的其他应收款情况[双击切换]"/>
        <w:tag w:val="_GBC_0b74443f29a947149aa61439ac83ec9a"/>
        <w:id w:val="6958"/>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财务附注：其他应收账款前五名欠款情况"/>
          <w:tag w:val="_GBC_06f7a71e039445228d80a5741df4c4f7"/>
          <w:id w:val="695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财务附注：其他应收账款前五名欠款情况"/>
          <w:tag w:val="_GBC_54cf5f95e62e4f5f8ccb31731efadf32"/>
          <w:id w:val="696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5"/>
        <w:gridCol w:w="1652"/>
        <w:gridCol w:w="1391"/>
        <w:gridCol w:w="1379"/>
        <w:gridCol w:w="1353"/>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65" w:type="dxa"/>
            <w:vAlign w:val="center"/>
          </w:tcPr>
          <w:sdt>
            <w:sdtPr>
              <w:tag w:val="_PLD_f30fc2dc8886472699c892f0395ab05e"/>
              <w:id w:val="6961"/>
            </w:sdtPr>
            <w:sdtContent>
              <w:p>
                <w:pPr>
                  <w:ind w:right="105"/>
                  <w:jc w:val="center"/>
                  <w:rPr>
                    <w:szCs w:val="21"/>
                  </w:rPr>
                </w:pPr>
                <w:r>
                  <w:rPr>
                    <w:rFonts w:hint="eastAsia"/>
                    <w:szCs w:val="21"/>
                  </w:rPr>
                  <w:t>单位名称</w:t>
                </w:r>
              </w:p>
            </w:sdtContent>
          </w:sdt>
        </w:tc>
        <w:tc>
          <w:tcPr>
            <w:tcW w:w="1652" w:type="dxa"/>
            <w:vAlign w:val="center"/>
          </w:tcPr>
          <w:sdt>
            <w:sdtPr>
              <w:tag w:val="_PLD_1bc905abb4bf4c679b9fbe0a7587d651"/>
              <w:id w:val="6962"/>
            </w:sdtPr>
            <w:sdtContent>
              <w:p>
                <w:pPr>
                  <w:ind w:right="73"/>
                  <w:jc w:val="center"/>
                  <w:rPr>
                    <w:szCs w:val="21"/>
                  </w:rPr>
                </w:pPr>
                <w:r>
                  <w:rPr>
                    <w:rFonts w:hint="eastAsia"/>
                    <w:szCs w:val="21"/>
                  </w:rPr>
                  <w:t>期末余额</w:t>
                </w:r>
              </w:p>
            </w:sdtContent>
          </w:sdt>
        </w:tc>
        <w:tc>
          <w:tcPr>
            <w:tcW w:w="1391" w:type="dxa"/>
            <w:vAlign w:val="center"/>
          </w:tcPr>
          <w:sdt>
            <w:sdtPr>
              <w:tag w:val="_PLD_055b75c0a3cf450e995ac7e13fdc0c08"/>
              <w:id w:val="6963"/>
            </w:sdtPr>
            <w:sdtContent>
              <w:p>
                <w:pPr>
                  <w:jc w:val="center"/>
                  <w:rPr>
                    <w:szCs w:val="21"/>
                  </w:rPr>
                </w:pPr>
                <w:r>
                  <w:rPr>
                    <w:rFonts w:hint="eastAsia"/>
                    <w:szCs w:val="21"/>
                  </w:rPr>
                  <w:t>占其他应收款期末余额合计数的比例(</w:t>
                </w:r>
                <w:r>
                  <w:rPr>
                    <w:szCs w:val="21"/>
                  </w:rPr>
                  <w:t>%)</w:t>
                </w:r>
              </w:p>
            </w:sdtContent>
          </w:sdt>
        </w:tc>
        <w:tc>
          <w:tcPr>
            <w:tcW w:w="1379" w:type="dxa"/>
            <w:vAlign w:val="center"/>
          </w:tcPr>
          <w:sdt>
            <w:sdtPr>
              <w:tag w:val="_PLD_44129b8132114de2a4d33c4acb8af98f"/>
              <w:id w:val="6964"/>
            </w:sdtPr>
            <w:sdtContent>
              <w:p>
                <w:pPr>
                  <w:ind w:right="73"/>
                  <w:jc w:val="center"/>
                  <w:rPr>
                    <w:szCs w:val="21"/>
                  </w:rPr>
                </w:pPr>
                <w:r>
                  <w:rPr>
                    <w:rFonts w:hint="eastAsia"/>
                    <w:szCs w:val="21"/>
                  </w:rPr>
                  <w:t>款项的性质</w:t>
                </w:r>
              </w:p>
            </w:sdtContent>
          </w:sdt>
        </w:tc>
        <w:tc>
          <w:tcPr>
            <w:tcW w:w="1353" w:type="dxa"/>
            <w:vAlign w:val="center"/>
          </w:tcPr>
          <w:sdt>
            <w:sdtPr>
              <w:tag w:val="_PLD_d9231de346f74815b1bc7c82527b1ef5"/>
              <w:id w:val="6965"/>
            </w:sdtPr>
            <w:sdtContent>
              <w:p>
                <w:pPr>
                  <w:ind w:right="73"/>
                  <w:jc w:val="center"/>
                  <w:rPr>
                    <w:szCs w:val="21"/>
                  </w:rPr>
                </w:pPr>
                <w:r>
                  <w:rPr>
                    <w:rFonts w:hint="eastAsia"/>
                    <w:szCs w:val="21"/>
                  </w:rPr>
                  <w:t>账龄</w:t>
                </w:r>
              </w:p>
            </w:sdtContent>
          </w:sdt>
        </w:tc>
        <w:tc>
          <w:tcPr>
            <w:tcW w:w="1706" w:type="dxa"/>
            <w:vAlign w:val="center"/>
          </w:tcPr>
          <w:sdt>
            <w:sdtPr>
              <w:tag w:val="_PLD_a7951a260c094fc8b8b64f2d1e6a933e"/>
              <w:id w:val="6966"/>
            </w:sdtPr>
            <w:sdtContent>
              <w:p>
                <w:pPr>
                  <w:jc w:val="center"/>
                  <w:rPr>
                    <w:szCs w:val="21"/>
                  </w:rPr>
                </w:pPr>
                <w:r>
                  <w:rPr>
                    <w:rFonts w:hint="eastAsia"/>
                    <w:szCs w:val="21"/>
                  </w:rPr>
                  <w:t>坏账准备</w:t>
                </w:r>
              </w:p>
              <w:p>
                <w:pPr>
                  <w:jc w:val="center"/>
                  <w:rPr>
                    <w:szCs w:val="21"/>
                  </w:rPr>
                </w:pPr>
                <w:r>
                  <w:rPr>
                    <w:rFonts w:hint="eastAsia"/>
                    <w:szCs w:val="21"/>
                  </w:rPr>
                  <w:t>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65" w:type="dxa"/>
            <w:vAlign w:val="center"/>
          </w:tcPr>
          <w:p>
            <w:pPr>
              <w:widowControl w:val="0"/>
              <w:jc w:val="both"/>
              <w:rPr>
                <w:rFonts w:hint="eastAsia"/>
                <w:color w:val="auto"/>
              </w:rPr>
            </w:pPr>
            <w:r>
              <w:rPr>
                <w:rFonts w:hint="eastAsia"/>
                <w:color w:val="auto"/>
              </w:rPr>
              <w:t>斑马易购电子商务有限公司</w:t>
            </w:r>
          </w:p>
        </w:tc>
        <w:tc>
          <w:tcPr>
            <w:tcW w:w="1652" w:type="dxa"/>
            <w:shd w:val="clear" w:color="auto" w:fill="auto"/>
            <w:vAlign w:val="center"/>
          </w:tcPr>
          <w:p>
            <w:pPr>
              <w:widowControl w:val="0"/>
              <w:jc w:val="right"/>
              <w:rPr>
                <w:rFonts w:hint="eastAsia"/>
                <w:color w:val="auto"/>
                <w:lang w:val="en-US" w:eastAsia="zh-CN"/>
              </w:rPr>
            </w:pPr>
            <w:r>
              <w:rPr>
                <w:rFonts w:hint="eastAsia"/>
                <w:color w:val="auto"/>
              </w:rPr>
              <w:t>4,200,000.00</w:t>
            </w:r>
          </w:p>
        </w:tc>
        <w:tc>
          <w:tcPr>
            <w:tcW w:w="1391" w:type="dxa"/>
            <w:shd w:val="clear" w:color="auto" w:fill="auto"/>
            <w:vAlign w:val="center"/>
          </w:tcPr>
          <w:p>
            <w:pPr>
              <w:widowControl w:val="0"/>
              <w:jc w:val="right"/>
              <w:rPr>
                <w:rFonts w:hint="eastAsia"/>
                <w:color w:val="auto"/>
                <w:lang w:val="en-US" w:eastAsia="zh-CN"/>
              </w:rPr>
            </w:pPr>
            <w:r>
              <w:rPr>
                <w:rFonts w:hint="eastAsia"/>
                <w:color w:val="auto"/>
              </w:rPr>
              <w:t>12.50</w:t>
            </w:r>
          </w:p>
        </w:tc>
        <w:tc>
          <w:tcPr>
            <w:tcW w:w="1379" w:type="dxa"/>
            <w:shd w:val="clear" w:color="auto" w:fill="auto"/>
            <w:vAlign w:val="center"/>
          </w:tcPr>
          <w:p>
            <w:pPr>
              <w:widowControl w:val="0"/>
              <w:jc w:val="center"/>
              <w:rPr>
                <w:rFonts w:hint="eastAsia"/>
                <w:color w:val="auto"/>
                <w:lang w:val="en-US" w:eastAsia="zh-CN"/>
              </w:rPr>
            </w:pPr>
            <w:r>
              <w:rPr>
                <w:rFonts w:hint="eastAsia"/>
                <w:color w:val="auto"/>
              </w:rPr>
              <w:t>保证金</w:t>
            </w:r>
          </w:p>
        </w:tc>
        <w:tc>
          <w:tcPr>
            <w:tcW w:w="1353" w:type="dxa"/>
            <w:vAlign w:val="center"/>
          </w:tcPr>
          <w:p>
            <w:pPr>
              <w:widowControl w:val="0"/>
              <w:jc w:val="center"/>
              <w:rPr>
                <w:rFonts w:hint="eastAsia"/>
                <w:color w:val="auto"/>
              </w:rPr>
            </w:pPr>
            <w:r>
              <w:rPr>
                <w:rFonts w:hint="eastAsia"/>
                <w:color w:val="auto"/>
              </w:rPr>
              <w:t>3-5年</w:t>
            </w:r>
          </w:p>
        </w:tc>
        <w:tc>
          <w:tcPr>
            <w:tcW w:w="1706" w:type="dxa"/>
            <w:shd w:val="clear" w:color="auto" w:fill="auto"/>
            <w:vAlign w:val="center"/>
          </w:tcPr>
          <w:p>
            <w:pPr>
              <w:widowControl w:val="0"/>
              <w:jc w:val="right"/>
              <w:rPr>
                <w:rFonts w:hint="eastAsia"/>
                <w:color w:val="auto"/>
                <w:lang w:val="en-US" w:eastAsia="zh-CN"/>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65" w:type="dxa"/>
            <w:vAlign w:val="center"/>
          </w:tcPr>
          <w:p>
            <w:pPr>
              <w:widowControl w:val="0"/>
              <w:jc w:val="both"/>
              <w:rPr>
                <w:rFonts w:hint="eastAsia"/>
                <w:color w:val="auto"/>
              </w:rPr>
            </w:pPr>
            <w:r>
              <w:rPr>
                <w:rFonts w:hint="eastAsia"/>
                <w:color w:val="auto"/>
              </w:rPr>
              <w:t>广西亿康南药药业种植有限责任公司结算款</w:t>
            </w:r>
          </w:p>
        </w:tc>
        <w:tc>
          <w:tcPr>
            <w:tcW w:w="1652" w:type="dxa"/>
            <w:shd w:val="clear" w:color="auto" w:fill="auto"/>
            <w:vAlign w:val="center"/>
          </w:tcPr>
          <w:p>
            <w:pPr>
              <w:widowControl w:val="0"/>
              <w:jc w:val="right"/>
              <w:rPr>
                <w:rFonts w:hint="eastAsia"/>
                <w:color w:val="auto"/>
                <w:lang w:val="en-US" w:eastAsia="zh-CN"/>
              </w:rPr>
            </w:pPr>
            <w:r>
              <w:rPr>
                <w:rFonts w:hint="eastAsia"/>
                <w:color w:val="auto"/>
              </w:rPr>
              <w:t>3,801,452.43</w:t>
            </w:r>
          </w:p>
        </w:tc>
        <w:tc>
          <w:tcPr>
            <w:tcW w:w="1391" w:type="dxa"/>
            <w:shd w:val="clear" w:color="auto" w:fill="auto"/>
            <w:vAlign w:val="center"/>
          </w:tcPr>
          <w:p>
            <w:pPr>
              <w:widowControl w:val="0"/>
              <w:jc w:val="right"/>
              <w:rPr>
                <w:rFonts w:hint="eastAsia"/>
                <w:color w:val="auto"/>
                <w:lang w:val="en-US" w:eastAsia="zh-CN"/>
              </w:rPr>
            </w:pPr>
            <w:r>
              <w:rPr>
                <w:rFonts w:hint="eastAsia"/>
                <w:color w:val="auto"/>
              </w:rPr>
              <w:t>11.31</w:t>
            </w:r>
          </w:p>
        </w:tc>
        <w:tc>
          <w:tcPr>
            <w:tcW w:w="1379" w:type="dxa"/>
            <w:shd w:val="clear" w:color="auto" w:fill="auto"/>
            <w:vAlign w:val="center"/>
          </w:tcPr>
          <w:p>
            <w:pPr>
              <w:widowControl w:val="0"/>
              <w:jc w:val="center"/>
              <w:rPr>
                <w:rFonts w:hint="eastAsia"/>
                <w:color w:val="auto"/>
                <w:lang w:val="en-US" w:eastAsia="zh-CN"/>
              </w:rPr>
            </w:pPr>
            <w:r>
              <w:rPr>
                <w:rFonts w:hint="eastAsia"/>
                <w:color w:val="auto"/>
              </w:rPr>
              <w:t>往来款</w:t>
            </w:r>
          </w:p>
        </w:tc>
        <w:tc>
          <w:tcPr>
            <w:tcW w:w="1353" w:type="dxa"/>
            <w:vAlign w:val="center"/>
          </w:tcPr>
          <w:p>
            <w:pPr>
              <w:widowControl w:val="0"/>
              <w:jc w:val="center"/>
              <w:rPr>
                <w:rFonts w:hint="eastAsia"/>
                <w:color w:val="auto"/>
              </w:rPr>
            </w:pPr>
            <w:r>
              <w:rPr>
                <w:rFonts w:hint="eastAsia"/>
                <w:color w:val="auto"/>
              </w:rPr>
              <w:t>5年以上</w:t>
            </w:r>
          </w:p>
        </w:tc>
        <w:tc>
          <w:tcPr>
            <w:tcW w:w="1706" w:type="dxa"/>
            <w:shd w:val="clear" w:color="auto" w:fill="auto"/>
            <w:vAlign w:val="center"/>
          </w:tcPr>
          <w:p>
            <w:pPr>
              <w:widowControl w:val="0"/>
              <w:jc w:val="right"/>
              <w:rPr>
                <w:rFonts w:hint="eastAsia"/>
                <w:color w:val="auto"/>
                <w:lang w:val="en-US" w:eastAsia="zh-CN"/>
              </w:rPr>
            </w:pPr>
            <w:r>
              <w:rPr>
                <w:rFonts w:hint="eastAsia"/>
                <w:color w:val="auto"/>
              </w:rPr>
              <w:t>3,801,452.43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65" w:type="dxa"/>
            <w:vAlign w:val="center"/>
          </w:tcPr>
          <w:p>
            <w:pPr>
              <w:widowControl w:val="0"/>
              <w:jc w:val="both"/>
              <w:rPr>
                <w:rFonts w:hint="eastAsia"/>
                <w:color w:val="auto"/>
              </w:rPr>
            </w:pPr>
            <w:r>
              <w:rPr>
                <w:rFonts w:hint="eastAsia"/>
                <w:color w:val="auto"/>
              </w:rPr>
              <w:t>义乌市太古名进出口有限公司</w:t>
            </w:r>
          </w:p>
        </w:tc>
        <w:tc>
          <w:tcPr>
            <w:tcW w:w="1652" w:type="dxa"/>
            <w:shd w:val="clear" w:color="auto" w:fill="auto"/>
            <w:vAlign w:val="center"/>
          </w:tcPr>
          <w:p>
            <w:pPr>
              <w:widowControl w:val="0"/>
              <w:jc w:val="right"/>
              <w:rPr>
                <w:rFonts w:hint="eastAsia"/>
                <w:color w:val="auto"/>
                <w:lang w:val="en-US" w:eastAsia="zh-CN"/>
              </w:rPr>
            </w:pPr>
            <w:r>
              <w:rPr>
                <w:rFonts w:hint="eastAsia"/>
                <w:color w:val="auto"/>
              </w:rPr>
              <w:t>3,119,749.41</w:t>
            </w:r>
          </w:p>
        </w:tc>
        <w:tc>
          <w:tcPr>
            <w:tcW w:w="1391" w:type="dxa"/>
            <w:shd w:val="clear" w:color="auto" w:fill="auto"/>
            <w:vAlign w:val="center"/>
          </w:tcPr>
          <w:p>
            <w:pPr>
              <w:widowControl w:val="0"/>
              <w:jc w:val="right"/>
              <w:rPr>
                <w:rFonts w:hint="eastAsia"/>
                <w:color w:val="auto"/>
                <w:lang w:val="en-US" w:eastAsia="zh-CN"/>
              </w:rPr>
            </w:pPr>
            <w:r>
              <w:rPr>
                <w:rFonts w:hint="eastAsia"/>
                <w:color w:val="auto"/>
              </w:rPr>
              <w:t>9.28</w:t>
            </w:r>
          </w:p>
        </w:tc>
        <w:tc>
          <w:tcPr>
            <w:tcW w:w="1379" w:type="dxa"/>
            <w:shd w:val="clear" w:color="auto" w:fill="auto"/>
            <w:vAlign w:val="center"/>
          </w:tcPr>
          <w:p>
            <w:pPr>
              <w:widowControl w:val="0"/>
              <w:jc w:val="center"/>
              <w:rPr>
                <w:rFonts w:hint="eastAsia"/>
                <w:color w:val="auto"/>
                <w:lang w:val="en-US" w:eastAsia="zh-CN"/>
              </w:rPr>
            </w:pPr>
            <w:r>
              <w:rPr>
                <w:rFonts w:hint="eastAsia"/>
                <w:color w:val="auto"/>
              </w:rPr>
              <w:t>往来款</w:t>
            </w:r>
          </w:p>
        </w:tc>
        <w:tc>
          <w:tcPr>
            <w:tcW w:w="1353" w:type="dxa"/>
            <w:vAlign w:val="center"/>
          </w:tcPr>
          <w:p>
            <w:pPr>
              <w:widowControl w:val="0"/>
              <w:jc w:val="center"/>
              <w:rPr>
                <w:rFonts w:hint="eastAsia"/>
                <w:color w:val="auto"/>
              </w:rPr>
            </w:pPr>
            <w:r>
              <w:rPr>
                <w:rFonts w:hint="eastAsia"/>
                <w:color w:val="auto"/>
              </w:rPr>
              <w:t>3-4年</w:t>
            </w:r>
          </w:p>
        </w:tc>
        <w:tc>
          <w:tcPr>
            <w:tcW w:w="1706" w:type="dxa"/>
            <w:shd w:val="clear" w:color="auto" w:fill="auto"/>
            <w:vAlign w:val="center"/>
          </w:tcPr>
          <w:p>
            <w:pPr>
              <w:widowControl w:val="0"/>
              <w:jc w:val="right"/>
              <w:rPr>
                <w:rFonts w:hint="eastAsia"/>
                <w:color w:val="auto"/>
                <w:lang w:val="en-US" w:eastAsia="zh-CN"/>
              </w:rPr>
            </w:pPr>
            <w:r>
              <w:rPr>
                <w:rFonts w:hint="eastAsia"/>
                <w:color w:val="auto"/>
              </w:rPr>
              <w:t>3,119,749.41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65" w:type="dxa"/>
            <w:vAlign w:val="center"/>
          </w:tcPr>
          <w:p>
            <w:pPr>
              <w:widowControl w:val="0"/>
              <w:jc w:val="both"/>
              <w:rPr>
                <w:rFonts w:hint="eastAsia"/>
                <w:color w:val="auto"/>
              </w:rPr>
            </w:pPr>
            <w:r>
              <w:rPr>
                <w:rFonts w:hint="eastAsia"/>
                <w:color w:val="auto"/>
              </w:rPr>
              <w:t>广西博纳文化传播有限公司</w:t>
            </w:r>
          </w:p>
        </w:tc>
        <w:tc>
          <w:tcPr>
            <w:tcW w:w="1652" w:type="dxa"/>
            <w:shd w:val="clear" w:color="auto" w:fill="auto"/>
            <w:vAlign w:val="center"/>
          </w:tcPr>
          <w:p>
            <w:pPr>
              <w:widowControl w:val="0"/>
              <w:jc w:val="right"/>
              <w:rPr>
                <w:rFonts w:hint="eastAsia"/>
                <w:color w:val="auto"/>
                <w:lang w:val="en-US" w:eastAsia="zh-CN"/>
              </w:rPr>
            </w:pPr>
            <w:r>
              <w:rPr>
                <w:rFonts w:hint="eastAsia"/>
                <w:color w:val="auto"/>
              </w:rPr>
              <w:t>2,000,000.00</w:t>
            </w:r>
          </w:p>
        </w:tc>
        <w:tc>
          <w:tcPr>
            <w:tcW w:w="1391" w:type="dxa"/>
            <w:shd w:val="clear" w:color="auto" w:fill="auto"/>
            <w:vAlign w:val="center"/>
          </w:tcPr>
          <w:p>
            <w:pPr>
              <w:widowControl w:val="0"/>
              <w:jc w:val="right"/>
              <w:rPr>
                <w:rFonts w:hint="eastAsia"/>
                <w:color w:val="auto"/>
                <w:lang w:val="en-US" w:eastAsia="zh-CN"/>
              </w:rPr>
            </w:pPr>
            <w:r>
              <w:rPr>
                <w:rFonts w:hint="eastAsia"/>
                <w:color w:val="auto"/>
              </w:rPr>
              <w:t>5.95</w:t>
            </w:r>
          </w:p>
        </w:tc>
        <w:tc>
          <w:tcPr>
            <w:tcW w:w="1379" w:type="dxa"/>
            <w:shd w:val="clear" w:color="auto" w:fill="auto"/>
            <w:vAlign w:val="center"/>
          </w:tcPr>
          <w:p>
            <w:pPr>
              <w:widowControl w:val="0"/>
              <w:jc w:val="center"/>
              <w:rPr>
                <w:rFonts w:hint="eastAsia"/>
                <w:color w:val="auto"/>
                <w:lang w:val="en-US" w:eastAsia="zh-CN"/>
              </w:rPr>
            </w:pPr>
            <w:r>
              <w:rPr>
                <w:rFonts w:hint="eastAsia"/>
                <w:color w:val="auto"/>
              </w:rPr>
              <w:t>往来款</w:t>
            </w:r>
          </w:p>
        </w:tc>
        <w:tc>
          <w:tcPr>
            <w:tcW w:w="1353" w:type="dxa"/>
            <w:vAlign w:val="center"/>
          </w:tcPr>
          <w:p>
            <w:pPr>
              <w:widowControl w:val="0"/>
              <w:jc w:val="center"/>
              <w:rPr>
                <w:rFonts w:hint="eastAsia"/>
                <w:color w:val="auto"/>
              </w:rPr>
            </w:pPr>
            <w:r>
              <w:rPr>
                <w:rFonts w:hint="eastAsia"/>
                <w:color w:val="auto"/>
              </w:rPr>
              <w:t>5年以上</w:t>
            </w:r>
          </w:p>
        </w:tc>
        <w:tc>
          <w:tcPr>
            <w:tcW w:w="1706" w:type="dxa"/>
            <w:shd w:val="clear" w:color="auto" w:fill="auto"/>
            <w:vAlign w:val="center"/>
          </w:tcPr>
          <w:p>
            <w:pPr>
              <w:widowControl w:val="0"/>
              <w:jc w:val="right"/>
              <w:rPr>
                <w:rFonts w:hint="eastAsia"/>
                <w:color w:val="auto"/>
                <w:lang w:val="en-US" w:eastAsia="zh-CN"/>
              </w:rPr>
            </w:pPr>
            <w:r>
              <w:rPr>
                <w:rFonts w:hint="eastAsia"/>
                <w:color w:val="auto"/>
              </w:rPr>
              <w:t>2,000,000.00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65" w:type="dxa"/>
            <w:vAlign w:val="center"/>
          </w:tcPr>
          <w:p>
            <w:pPr>
              <w:widowControl w:val="0"/>
              <w:jc w:val="both"/>
              <w:rPr>
                <w:rFonts w:hint="eastAsia"/>
                <w:color w:val="auto"/>
              </w:rPr>
            </w:pPr>
            <w:r>
              <w:rPr>
                <w:rFonts w:hint="eastAsia"/>
                <w:color w:val="auto"/>
              </w:rPr>
              <w:t>安徽冠达物流有限公司</w:t>
            </w:r>
          </w:p>
        </w:tc>
        <w:tc>
          <w:tcPr>
            <w:tcW w:w="1652" w:type="dxa"/>
            <w:shd w:val="clear" w:color="auto" w:fill="auto"/>
            <w:vAlign w:val="center"/>
          </w:tcPr>
          <w:p>
            <w:pPr>
              <w:widowControl w:val="0"/>
              <w:jc w:val="right"/>
              <w:rPr>
                <w:rFonts w:hint="eastAsia"/>
                <w:color w:val="auto"/>
                <w:lang w:val="en-US" w:eastAsia="zh-CN"/>
              </w:rPr>
            </w:pPr>
            <w:r>
              <w:rPr>
                <w:rFonts w:hint="eastAsia"/>
                <w:color w:val="auto"/>
              </w:rPr>
              <w:t>1,778,627.52</w:t>
            </w:r>
          </w:p>
        </w:tc>
        <w:tc>
          <w:tcPr>
            <w:tcW w:w="1391" w:type="dxa"/>
            <w:shd w:val="clear" w:color="auto" w:fill="auto"/>
            <w:vAlign w:val="center"/>
          </w:tcPr>
          <w:p>
            <w:pPr>
              <w:widowControl w:val="0"/>
              <w:jc w:val="right"/>
              <w:rPr>
                <w:rFonts w:hint="eastAsia"/>
                <w:color w:val="auto"/>
                <w:lang w:val="en-US" w:eastAsia="zh-CN"/>
              </w:rPr>
            </w:pPr>
            <w:r>
              <w:rPr>
                <w:rFonts w:hint="eastAsia"/>
                <w:color w:val="auto"/>
              </w:rPr>
              <w:t>5.29</w:t>
            </w:r>
          </w:p>
        </w:tc>
        <w:tc>
          <w:tcPr>
            <w:tcW w:w="1379" w:type="dxa"/>
            <w:shd w:val="clear" w:color="auto" w:fill="auto"/>
            <w:vAlign w:val="center"/>
          </w:tcPr>
          <w:p>
            <w:pPr>
              <w:widowControl w:val="0"/>
              <w:jc w:val="center"/>
              <w:rPr>
                <w:rFonts w:hint="eastAsia"/>
                <w:color w:val="auto"/>
                <w:lang w:val="en-US" w:eastAsia="zh-CN"/>
              </w:rPr>
            </w:pPr>
            <w:r>
              <w:rPr>
                <w:rFonts w:hint="eastAsia"/>
                <w:color w:val="auto"/>
              </w:rPr>
              <w:t>往来款</w:t>
            </w:r>
          </w:p>
        </w:tc>
        <w:tc>
          <w:tcPr>
            <w:tcW w:w="1353" w:type="dxa"/>
            <w:vAlign w:val="center"/>
          </w:tcPr>
          <w:p>
            <w:pPr>
              <w:widowControl w:val="0"/>
              <w:jc w:val="center"/>
              <w:rPr>
                <w:rFonts w:hint="eastAsia"/>
                <w:color w:val="auto"/>
              </w:rPr>
            </w:pPr>
            <w:r>
              <w:rPr>
                <w:rFonts w:hint="eastAsia"/>
                <w:color w:val="auto"/>
              </w:rPr>
              <w:t>0.5-1年</w:t>
            </w:r>
          </w:p>
        </w:tc>
        <w:tc>
          <w:tcPr>
            <w:tcW w:w="1706" w:type="dxa"/>
            <w:shd w:val="clear" w:color="auto" w:fill="auto"/>
            <w:vAlign w:val="center"/>
          </w:tcPr>
          <w:p>
            <w:pPr>
              <w:widowControl w:val="0"/>
              <w:jc w:val="right"/>
              <w:rPr>
                <w:rFonts w:hint="eastAsia"/>
                <w:color w:val="auto"/>
                <w:lang w:val="en-US" w:eastAsia="zh-CN"/>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65" w:type="dxa"/>
            <w:vAlign w:val="center"/>
          </w:tcPr>
          <w:p>
            <w:pPr>
              <w:widowControl w:val="0"/>
              <w:jc w:val="center"/>
              <w:rPr>
                <w:rFonts w:hint="eastAsia"/>
                <w:color w:val="auto"/>
              </w:rPr>
            </w:pPr>
            <w:r>
              <w:rPr>
                <w:rFonts w:hint="eastAsia"/>
                <w:color w:val="auto"/>
              </w:rPr>
              <w:t>合计</w:t>
            </w:r>
          </w:p>
        </w:tc>
        <w:tc>
          <w:tcPr>
            <w:tcW w:w="1652" w:type="dxa"/>
            <w:shd w:val="clear" w:color="auto" w:fill="auto"/>
            <w:vAlign w:val="center"/>
          </w:tcPr>
          <w:p>
            <w:pPr>
              <w:widowControl w:val="0"/>
              <w:jc w:val="right"/>
              <w:rPr>
                <w:rFonts w:hint="eastAsia"/>
                <w:color w:val="auto"/>
                <w:lang w:val="en-US" w:eastAsia="zh-CN"/>
              </w:rPr>
            </w:pPr>
            <w:r>
              <w:rPr>
                <w:rFonts w:hint="eastAsia"/>
                <w:color w:val="auto"/>
              </w:rPr>
              <w:t>14,899,829.36</w:t>
            </w:r>
          </w:p>
        </w:tc>
        <w:tc>
          <w:tcPr>
            <w:tcW w:w="1391" w:type="dxa"/>
            <w:shd w:val="clear" w:color="auto" w:fill="auto"/>
            <w:vAlign w:val="center"/>
          </w:tcPr>
          <w:p>
            <w:pPr>
              <w:widowControl w:val="0"/>
              <w:jc w:val="right"/>
              <w:rPr>
                <w:rFonts w:hint="eastAsia"/>
                <w:color w:val="auto"/>
                <w:lang w:val="en-US" w:eastAsia="zh-CN"/>
              </w:rPr>
            </w:pPr>
            <w:r>
              <w:rPr>
                <w:rFonts w:hint="eastAsia"/>
                <w:color w:val="auto"/>
              </w:rPr>
              <w:t>44.33</w:t>
            </w:r>
          </w:p>
        </w:tc>
        <w:tc>
          <w:tcPr>
            <w:tcW w:w="1379" w:type="dxa"/>
            <w:vAlign w:val="center"/>
          </w:tcPr>
          <w:p>
            <w:pPr>
              <w:widowControl w:val="0"/>
              <w:jc w:val="right"/>
              <w:rPr>
                <w:rFonts w:hint="eastAsia"/>
                <w:color w:val="auto"/>
              </w:rPr>
            </w:pPr>
            <w:r>
              <w:rPr>
                <w:rFonts w:hint="eastAsia"/>
                <w:color w:val="auto"/>
              </w:rPr>
              <w:t>/</w:t>
            </w:r>
          </w:p>
        </w:tc>
        <w:tc>
          <w:tcPr>
            <w:tcW w:w="1353" w:type="dxa"/>
            <w:vAlign w:val="center"/>
          </w:tcPr>
          <w:p>
            <w:pPr>
              <w:widowControl w:val="0"/>
              <w:jc w:val="right"/>
              <w:rPr>
                <w:rFonts w:hint="eastAsia"/>
                <w:color w:val="auto"/>
              </w:rPr>
            </w:pPr>
            <w:r>
              <w:rPr>
                <w:rFonts w:hint="eastAsia"/>
                <w:color w:val="auto"/>
              </w:rPr>
              <w:t>/</w:t>
            </w:r>
          </w:p>
        </w:tc>
        <w:tc>
          <w:tcPr>
            <w:tcW w:w="1706" w:type="dxa"/>
            <w:shd w:val="clear" w:color="auto" w:fill="auto"/>
            <w:vAlign w:val="center"/>
          </w:tcPr>
          <w:p>
            <w:pPr>
              <w:widowControl w:val="0"/>
              <w:jc w:val="right"/>
              <w:rPr>
                <w:rFonts w:hint="eastAsia"/>
                <w:color w:val="auto"/>
                <w:lang w:val="en-US" w:eastAsia="zh-CN"/>
              </w:rPr>
            </w:pPr>
            <w:r>
              <w:rPr>
                <w:rFonts w:hint="eastAsia"/>
                <w:color w:val="auto"/>
              </w:rPr>
              <w:t>8,921,201.84</w:t>
            </w:r>
          </w:p>
        </w:tc>
      </w:tr>
    </w:tbl>
    <w:p>
      <w:pPr>
        <w:widowControl w:val="0"/>
        <w:jc w:val="right"/>
        <w:rPr>
          <w:rFonts w:hint="eastAsia"/>
          <w:color w:val="auto"/>
        </w:rPr>
      </w:pPr>
    </w:p>
    <w:p>
      <w:pPr>
        <w:pStyle w:val="6"/>
        <w:numPr>
          <w:ilvl w:val="0"/>
          <w:numId w:val="70"/>
        </w:numPr>
        <w:ind w:leftChars="0"/>
        <w:rPr>
          <w:rFonts w:hint="eastAsia" w:ascii="宋体" w:hAnsi="宋体" w:cs="宋体"/>
          <w:kern w:val="0"/>
          <w:szCs w:val="24"/>
        </w:rPr>
      </w:pPr>
      <w:r>
        <w:rPr>
          <w:rFonts w:ascii="宋体" w:hAnsi="宋体" w:cs="宋体"/>
          <w:kern w:val="0"/>
          <w:szCs w:val="24"/>
        </w:rPr>
        <w:t>因资金集中管理而列报于其他应收款</w:t>
      </w:r>
    </w:p>
    <w:sdt>
      <w:sdtPr>
        <w:alias w:val="是否适用：因资金集中管理而列报于其他应收款[双击切换]"/>
        <w:tag w:val="_GBC_b8da09aaaa6f41fc9a0da9e70575d260"/>
        <w:id w:val="6967"/>
        <w:placeholder>
          <w:docPart w:val="GBC22222222222222222222222222222"/>
        </w:placeholder>
      </w:sdtPr>
      <w:sdtContent>
        <w:p>
          <w:pPr>
            <w:snapToGrid w:val="0"/>
            <w:spacing w:line="240" w:lineRule="atLeast"/>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napToGrid w:val="0"/>
        <w:spacing w:line="240" w:lineRule="atLeast"/>
      </w:pPr>
    </w:p>
    <w:p>
      <w:r>
        <w:rPr>
          <w:rFonts w:hint="eastAsia"/>
        </w:rPr>
        <w:t>其他</w:t>
      </w:r>
      <w:r>
        <w:t>说明：</w:t>
      </w:r>
    </w:p>
    <w:sdt>
      <w:sdtPr>
        <w:rPr>
          <w:rFonts w:hint="eastAsia"/>
          <w:szCs w:val="21"/>
        </w:rPr>
        <w:alias w:val="是否适用：其他应收款的其他说明[双击切换]"/>
        <w:tag w:val="_GBC_f19370687b664bbeafd6d2809311f81e"/>
        <w:id w:val="6968"/>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4"/>
        <w:numPr>
          <w:ilvl w:val="0"/>
          <w:numId w:val="62"/>
        </w:numPr>
      </w:pPr>
      <w:r>
        <w:rPr>
          <w:rFonts w:hint="eastAsia"/>
        </w:rPr>
        <w:t>存货</w:t>
      </w:r>
    </w:p>
    <w:p>
      <w:pPr>
        <w:pStyle w:val="5"/>
        <w:numPr>
          <w:ilvl w:val="3"/>
          <w:numId w:val="71"/>
        </w:numPr>
        <w:ind w:left="426" w:hanging="426"/>
        <w:rPr>
          <w:rFonts w:hint="eastAsia"/>
        </w:rPr>
      </w:pPr>
      <w:bookmarkStart w:id="258" w:name="_Hlk532992451"/>
      <w:bookmarkStart w:id="259" w:name="_Hlk24116366"/>
      <w:r>
        <w:rPr>
          <w:rFonts w:hint="eastAsia"/>
        </w:rPr>
        <w:t>存货分类</w:t>
      </w:r>
    </w:p>
    <w:sdt>
      <w:sdtPr>
        <w:alias w:val="是否适用：存货分类[双击切换]"/>
        <w:tag w:val="_GBC_357bbe1b1f034d20ba175209243f1121"/>
        <w:id w:val="6969"/>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存货分类"/>
          <w:tag w:val="_GBC_d8d041ff281d42b2825673de12d9cf99"/>
          <w:id w:val="697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存货分类"/>
          <w:tag w:val="_GBC_dfe02fee4d9a4b77b46c5afad867d464"/>
          <w:id w:val="697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9555" w:type="dxa"/>
        <w:tblInd w:w="-2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440"/>
        <w:gridCol w:w="1331"/>
        <w:gridCol w:w="1404"/>
        <w:gridCol w:w="1380"/>
        <w:gridCol w:w="1236"/>
        <w:gridCol w:w="1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260" w:type="dxa"/>
            <w:vMerge w:val="restart"/>
            <w:vAlign w:val="center"/>
          </w:tcPr>
          <w:sdt>
            <w:sdtPr>
              <w:rPr>
                <w:sz w:val="18"/>
                <w:szCs w:val="18"/>
              </w:rPr>
              <w:tag w:val="_PLD_c7ef81863f9f475b86b8ee43ac7e9274"/>
              <w:id w:val="6972"/>
            </w:sdtPr>
            <w:sdtEndPr>
              <w:rPr>
                <w:sz w:val="18"/>
                <w:szCs w:val="18"/>
              </w:rPr>
            </w:sdtEndPr>
            <w:sdtContent>
              <w:p>
                <w:pPr>
                  <w:jc w:val="center"/>
                  <w:rPr>
                    <w:sz w:val="18"/>
                    <w:szCs w:val="18"/>
                  </w:rPr>
                </w:pPr>
                <w:r>
                  <w:rPr>
                    <w:rFonts w:hint="eastAsia"/>
                    <w:sz w:val="18"/>
                    <w:szCs w:val="18"/>
                  </w:rPr>
                  <w:t>项目</w:t>
                </w:r>
              </w:p>
            </w:sdtContent>
          </w:sdt>
        </w:tc>
        <w:tc>
          <w:tcPr>
            <w:tcW w:w="4175" w:type="dxa"/>
            <w:gridSpan w:val="3"/>
            <w:vAlign w:val="center"/>
          </w:tcPr>
          <w:sdt>
            <w:sdtPr>
              <w:rPr>
                <w:sz w:val="18"/>
                <w:szCs w:val="18"/>
              </w:rPr>
              <w:tag w:val="_PLD_68fbd4316a69442d924038f565882f99"/>
              <w:id w:val="6973"/>
            </w:sdtPr>
            <w:sdtEndPr>
              <w:rPr>
                <w:sz w:val="18"/>
                <w:szCs w:val="18"/>
              </w:rPr>
            </w:sdtEndPr>
            <w:sdtContent>
              <w:p>
                <w:pPr>
                  <w:jc w:val="center"/>
                  <w:rPr>
                    <w:sz w:val="18"/>
                    <w:szCs w:val="18"/>
                  </w:rPr>
                </w:pPr>
                <w:r>
                  <w:rPr>
                    <w:rFonts w:hint="eastAsia"/>
                    <w:sz w:val="18"/>
                    <w:szCs w:val="18"/>
                  </w:rPr>
                  <w:t>期末余额</w:t>
                </w:r>
              </w:p>
            </w:sdtContent>
          </w:sdt>
        </w:tc>
        <w:tc>
          <w:tcPr>
            <w:tcW w:w="4120" w:type="dxa"/>
            <w:gridSpan w:val="3"/>
            <w:vAlign w:val="center"/>
          </w:tcPr>
          <w:sdt>
            <w:sdtPr>
              <w:rPr>
                <w:sz w:val="18"/>
                <w:szCs w:val="18"/>
              </w:rPr>
              <w:tag w:val="_PLD_39f6313de32c45ce95b6a2ef18238d4a"/>
              <w:id w:val="6974"/>
            </w:sdtPr>
            <w:sdtEndPr>
              <w:rPr>
                <w:sz w:val="18"/>
                <w:szCs w:val="18"/>
              </w:rPr>
            </w:sdtEndPr>
            <w:sdtContent>
              <w:p>
                <w:pPr>
                  <w:jc w:val="center"/>
                  <w:rPr>
                    <w:sz w:val="18"/>
                    <w:szCs w:val="18"/>
                  </w:rPr>
                </w:pPr>
                <w:r>
                  <w:rPr>
                    <w:rFonts w:hint="eastAsia"/>
                    <w:sz w:val="18"/>
                    <w:szCs w:val="18"/>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60" w:type="dxa"/>
            <w:vMerge w:val="continue"/>
            <w:vAlign w:val="center"/>
          </w:tcPr>
          <w:p>
            <w:pPr>
              <w:ind w:right="5"/>
              <w:jc w:val="center"/>
              <w:rPr>
                <w:sz w:val="18"/>
                <w:szCs w:val="18"/>
              </w:rPr>
            </w:pPr>
          </w:p>
        </w:tc>
        <w:tc>
          <w:tcPr>
            <w:tcW w:w="1440" w:type="dxa"/>
            <w:vAlign w:val="center"/>
          </w:tcPr>
          <w:sdt>
            <w:sdtPr>
              <w:rPr>
                <w:sz w:val="18"/>
                <w:szCs w:val="18"/>
              </w:rPr>
              <w:tag w:val="_PLD_73436d894fc444d5b519a3b75a689324"/>
              <w:id w:val="6975"/>
            </w:sdtPr>
            <w:sdtEndPr>
              <w:rPr>
                <w:sz w:val="18"/>
                <w:szCs w:val="18"/>
              </w:rPr>
            </w:sdtEndPr>
            <w:sdtContent>
              <w:p>
                <w:pPr>
                  <w:ind w:right="5"/>
                  <w:jc w:val="center"/>
                  <w:rPr>
                    <w:sz w:val="18"/>
                    <w:szCs w:val="18"/>
                  </w:rPr>
                </w:pPr>
                <w:r>
                  <w:rPr>
                    <w:rFonts w:hint="eastAsia"/>
                    <w:sz w:val="18"/>
                    <w:szCs w:val="18"/>
                  </w:rPr>
                  <w:t>账面余额</w:t>
                </w:r>
              </w:p>
            </w:sdtContent>
          </w:sdt>
        </w:tc>
        <w:tc>
          <w:tcPr>
            <w:tcW w:w="1331" w:type="dxa"/>
            <w:vAlign w:val="center"/>
          </w:tcPr>
          <w:p>
            <w:pPr>
              <w:ind w:right="5"/>
              <w:jc w:val="center"/>
              <w:rPr>
                <w:sz w:val="18"/>
                <w:szCs w:val="18"/>
              </w:rPr>
            </w:pPr>
            <w:sdt>
              <w:sdtPr>
                <w:rPr>
                  <w:sz w:val="18"/>
                  <w:szCs w:val="18"/>
                </w:rPr>
                <w:tag w:val="_PLD_09cd496fa8624ad4a9538b5b209e6d5a"/>
                <w:id w:val="6976"/>
              </w:sdtPr>
              <w:sdtEndPr>
                <w:rPr>
                  <w:sz w:val="18"/>
                  <w:szCs w:val="18"/>
                </w:rPr>
              </w:sdtEndPr>
              <w:sdtContent>
                <w:r>
                  <w:rPr>
                    <w:rFonts w:hint="eastAsia"/>
                    <w:sz w:val="18"/>
                    <w:szCs w:val="18"/>
                  </w:rPr>
                  <w:t>存货跌价准备</w:t>
                </w:r>
                <w:r>
                  <w:rPr>
                    <w:sz w:val="18"/>
                    <w:szCs w:val="18"/>
                  </w:rPr>
                  <w:t>/合同履约成本减值准备</w:t>
                </w:r>
              </w:sdtContent>
            </w:sdt>
          </w:p>
        </w:tc>
        <w:tc>
          <w:tcPr>
            <w:tcW w:w="1404" w:type="dxa"/>
            <w:vAlign w:val="center"/>
          </w:tcPr>
          <w:sdt>
            <w:sdtPr>
              <w:rPr>
                <w:sz w:val="18"/>
                <w:szCs w:val="18"/>
              </w:rPr>
              <w:tag w:val="_PLD_2c7532c412cf491899c310ef9902157e"/>
              <w:id w:val="6977"/>
            </w:sdtPr>
            <w:sdtEndPr>
              <w:rPr>
                <w:sz w:val="18"/>
                <w:szCs w:val="18"/>
              </w:rPr>
            </w:sdtEndPr>
            <w:sdtContent>
              <w:p>
                <w:pPr>
                  <w:ind w:right="5"/>
                  <w:jc w:val="center"/>
                  <w:rPr>
                    <w:sz w:val="18"/>
                    <w:szCs w:val="18"/>
                  </w:rPr>
                </w:pPr>
                <w:r>
                  <w:rPr>
                    <w:rFonts w:hint="eastAsia"/>
                    <w:sz w:val="18"/>
                    <w:szCs w:val="18"/>
                  </w:rPr>
                  <w:t>账面价值</w:t>
                </w:r>
              </w:p>
            </w:sdtContent>
          </w:sdt>
        </w:tc>
        <w:tc>
          <w:tcPr>
            <w:tcW w:w="1380" w:type="dxa"/>
            <w:vAlign w:val="center"/>
          </w:tcPr>
          <w:sdt>
            <w:sdtPr>
              <w:rPr>
                <w:sz w:val="18"/>
                <w:szCs w:val="18"/>
              </w:rPr>
              <w:tag w:val="_PLD_6c2924a6d3da466f96c5c2e2f2d81de1"/>
              <w:id w:val="6978"/>
            </w:sdtPr>
            <w:sdtEndPr>
              <w:rPr>
                <w:sz w:val="18"/>
                <w:szCs w:val="18"/>
              </w:rPr>
            </w:sdtEndPr>
            <w:sdtContent>
              <w:p>
                <w:pPr>
                  <w:ind w:right="5"/>
                  <w:jc w:val="center"/>
                  <w:rPr>
                    <w:sz w:val="18"/>
                    <w:szCs w:val="18"/>
                  </w:rPr>
                </w:pPr>
                <w:r>
                  <w:rPr>
                    <w:rFonts w:hint="eastAsia"/>
                    <w:sz w:val="18"/>
                    <w:szCs w:val="18"/>
                  </w:rPr>
                  <w:t>账面余额</w:t>
                </w:r>
              </w:p>
            </w:sdtContent>
          </w:sdt>
        </w:tc>
        <w:tc>
          <w:tcPr>
            <w:tcW w:w="1236" w:type="dxa"/>
            <w:vAlign w:val="center"/>
          </w:tcPr>
          <w:p>
            <w:pPr>
              <w:ind w:right="5"/>
              <w:jc w:val="center"/>
              <w:rPr>
                <w:sz w:val="18"/>
                <w:szCs w:val="18"/>
              </w:rPr>
            </w:pPr>
            <w:sdt>
              <w:sdtPr>
                <w:rPr>
                  <w:sz w:val="18"/>
                  <w:szCs w:val="18"/>
                </w:rPr>
                <w:tag w:val="_PLD_e5df78ba36d146dfb7eedab7ddd98031"/>
                <w:id w:val="6979"/>
              </w:sdtPr>
              <w:sdtEndPr>
                <w:rPr>
                  <w:sz w:val="18"/>
                  <w:szCs w:val="18"/>
                </w:rPr>
              </w:sdtEndPr>
              <w:sdtContent>
                <w:r>
                  <w:rPr>
                    <w:rFonts w:hint="eastAsia"/>
                    <w:sz w:val="18"/>
                    <w:szCs w:val="18"/>
                  </w:rPr>
                  <w:t>存货跌价准备</w:t>
                </w:r>
                <w:r>
                  <w:rPr>
                    <w:sz w:val="18"/>
                    <w:szCs w:val="18"/>
                  </w:rPr>
                  <w:t>/合同履约成本减值准备</w:t>
                </w:r>
              </w:sdtContent>
            </w:sdt>
          </w:p>
        </w:tc>
        <w:tc>
          <w:tcPr>
            <w:tcW w:w="1504" w:type="dxa"/>
            <w:vAlign w:val="center"/>
          </w:tcPr>
          <w:sdt>
            <w:sdtPr>
              <w:rPr>
                <w:sz w:val="18"/>
                <w:szCs w:val="18"/>
              </w:rPr>
              <w:tag w:val="_PLD_ba07e513b5504e03b2dcef7d8421fa16"/>
              <w:id w:val="6980"/>
            </w:sdtPr>
            <w:sdtEndPr>
              <w:rPr>
                <w:sz w:val="18"/>
                <w:szCs w:val="18"/>
              </w:rPr>
            </w:sdtEndPr>
            <w:sdtContent>
              <w:p>
                <w:pPr>
                  <w:ind w:right="5"/>
                  <w:jc w:val="center"/>
                  <w:rPr>
                    <w:sz w:val="18"/>
                    <w:szCs w:val="18"/>
                  </w:rPr>
                </w:pPr>
                <w:r>
                  <w:rPr>
                    <w:rFonts w:hint="eastAsia"/>
                    <w:sz w:val="18"/>
                    <w:szCs w:val="18"/>
                  </w:rPr>
                  <w:t>账面价值</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60" w:type="dxa"/>
            <w:vAlign w:val="center"/>
          </w:tcPr>
          <w:p>
            <w:pPr>
              <w:ind w:right="5"/>
              <w:rPr>
                <w:sz w:val="18"/>
                <w:szCs w:val="18"/>
              </w:rPr>
            </w:pPr>
            <w:r>
              <w:rPr>
                <w:rFonts w:hint="eastAsia"/>
                <w:sz w:val="18"/>
                <w:szCs w:val="18"/>
              </w:rPr>
              <w:t>原材料</w:t>
            </w:r>
          </w:p>
        </w:tc>
        <w:tc>
          <w:tcPr>
            <w:tcW w:w="1440" w:type="dxa"/>
            <w:vAlign w:val="center"/>
          </w:tcPr>
          <w:p>
            <w:pPr>
              <w:ind w:right="5"/>
              <w:jc w:val="right"/>
              <w:rPr>
                <w:sz w:val="18"/>
                <w:szCs w:val="18"/>
              </w:rPr>
            </w:pPr>
            <w:r>
              <w:rPr>
                <w:rFonts w:hint="eastAsia"/>
                <w:color w:val="auto"/>
                <w:sz w:val="18"/>
                <w:szCs w:val="18"/>
              </w:rPr>
              <w:t>51,640,816.16</w:t>
            </w:r>
          </w:p>
        </w:tc>
        <w:tc>
          <w:tcPr>
            <w:tcW w:w="1331" w:type="dxa"/>
            <w:vAlign w:val="center"/>
          </w:tcPr>
          <w:p>
            <w:pPr>
              <w:ind w:right="5"/>
              <w:jc w:val="right"/>
              <w:rPr>
                <w:sz w:val="18"/>
                <w:szCs w:val="18"/>
              </w:rPr>
            </w:pPr>
            <w:r>
              <w:rPr>
                <w:rFonts w:hint="eastAsia"/>
                <w:color w:val="auto"/>
                <w:sz w:val="18"/>
                <w:szCs w:val="18"/>
              </w:rPr>
              <w:t>707,367.34</w:t>
            </w:r>
          </w:p>
        </w:tc>
        <w:tc>
          <w:tcPr>
            <w:tcW w:w="1404" w:type="dxa"/>
            <w:vAlign w:val="center"/>
          </w:tcPr>
          <w:p>
            <w:pPr>
              <w:ind w:right="5"/>
              <w:jc w:val="right"/>
              <w:rPr>
                <w:sz w:val="18"/>
                <w:szCs w:val="18"/>
              </w:rPr>
            </w:pPr>
            <w:r>
              <w:rPr>
                <w:rFonts w:hint="eastAsia"/>
                <w:color w:val="auto"/>
                <w:sz w:val="18"/>
                <w:szCs w:val="18"/>
              </w:rPr>
              <w:t>50,933,448.82</w:t>
            </w:r>
          </w:p>
        </w:tc>
        <w:tc>
          <w:tcPr>
            <w:tcW w:w="1380" w:type="dxa"/>
            <w:vAlign w:val="center"/>
          </w:tcPr>
          <w:p>
            <w:pPr>
              <w:ind w:right="5"/>
              <w:jc w:val="right"/>
              <w:rPr>
                <w:sz w:val="18"/>
                <w:szCs w:val="18"/>
              </w:rPr>
            </w:pPr>
            <w:r>
              <w:rPr>
                <w:rFonts w:hint="eastAsia"/>
                <w:color w:val="auto"/>
                <w:sz w:val="18"/>
                <w:szCs w:val="18"/>
              </w:rPr>
              <w:t>49,893,957.29</w:t>
            </w:r>
          </w:p>
        </w:tc>
        <w:tc>
          <w:tcPr>
            <w:tcW w:w="1236" w:type="dxa"/>
            <w:vAlign w:val="center"/>
          </w:tcPr>
          <w:p>
            <w:pPr>
              <w:ind w:right="5"/>
              <w:jc w:val="right"/>
              <w:rPr>
                <w:sz w:val="18"/>
                <w:szCs w:val="18"/>
              </w:rPr>
            </w:pPr>
            <w:r>
              <w:rPr>
                <w:rFonts w:hint="eastAsia"/>
                <w:color w:val="auto"/>
                <w:sz w:val="18"/>
                <w:szCs w:val="18"/>
              </w:rPr>
              <w:t>575,384.91</w:t>
            </w:r>
          </w:p>
        </w:tc>
        <w:tc>
          <w:tcPr>
            <w:tcW w:w="1504" w:type="dxa"/>
            <w:vAlign w:val="center"/>
          </w:tcPr>
          <w:p>
            <w:pPr>
              <w:ind w:right="5"/>
              <w:jc w:val="right"/>
              <w:rPr>
                <w:sz w:val="18"/>
                <w:szCs w:val="18"/>
              </w:rPr>
            </w:pPr>
            <w:r>
              <w:rPr>
                <w:rFonts w:hint="eastAsia"/>
                <w:color w:val="auto"/>
                <w:sz w:val="18"/>
                <w:szCs w:val="18"/>
              </w:rPr>
              <w:t>49,318,572.38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60" w:type="dxa"/>
            <w:vAlign w:val="center"/>
          </w:tcPr>
          <w:p>
            <w:pPr>
              <w:ind w:right="5"/>
              <w:rPr>
                <w:sz w:val="18"/>
                <w:szCs w:val="18"/>
              </w:rPr>
            </w:pPr>
            <w:r>
              <w:rPr>
                <w:rFonts w:hint="eastAsia"/>
                <w:sz w:val="18"/>
                <w:szCs w:val="18"/>
              </w:rPr>
              <w:t>在产品</w:t>
            </w:r>
          </w:p>
        </w:tc>
        <w:tc>
          <w:tcPr>
            <w:tcW w:w="1440" w:type="dxa"/>
            <w:vAlign w:val="center"/>
          </w:tcPr>
          <w:p>
            <w:pPr>
              <w:ind w:right="5"/>
              <w:jc w:val="right"/>
              <w:rPr>
                <w:sz w:val="18"/>
                <w:szCs w:val="18"/>
              </w:rPr>
            </w:pPr>
            <w:r>
              <w:rPr>
                <w:rFonts w:hint="eastAsia"/>
                <w:color w:val="auto"/>
                <w:sz w:val="18"/>
                <w:szCs w:val="18"/>
              </w:rPr>
              <w:t>21,678,279.83</w:t>
            </w:r>
          </w:p>
        </w:tc>
        <w:tc>
          <w:tcPr>
            <w:tcW w:w="1331" w:type="dxa"/>
            <w:vAlign w:val="center"/>
          </w:tcPr>
          <w:p>
            <w:pPr>
              <w:ind w:right="5"/>
              <w:jc w:val="right"/>
              <w:rPr>
                <w:sz w:val="18"/>
                <w:szCs w:val="18"/>
              </w:rPr>
            </w:pPr>
          </w:p>
        </w:tc>
        <w:tc>
          <w:tcPr>
            <w:tcW w:w="1404" w:type="dxa"/>
            <w:vAlign w:val="center"/>
          </w:tcPr>
          <w:p>
            <w:pPr>
              <w:ind w:right="5"/>
              <w:jc w:val="right"/>
              <w:rPr>
                <w:sz w:val="18"/>
                <w:szCs w:val="18"/>
              </w:rPr>
            </w:pPr>
            <w:r>
              <w:rPr>
                <w:rFonts w:hint="eastAsia"/>
                <w:color w:val="auto"/>
                <w:sz w:val="18"/>
                <w:szCs w:val="18"/>
              </w:rPr>
              <w:t>21,678,279.83</w:t>
            </w:r>
          </w:p>
        </w:tc>
        <w:tc>
          <w:tcPr>
            <w:tcW w:w="1380" w:type="dxa"/>
            <w:vAlign w:val="center"/>
          </w:tcPr>
          <w:p>
            <w:pPr>
              <w:ind w:right="5"/>
              <w:jc w:val="right"/>
              <w:rPr>
                <w:sz w:val="18"/>
                <w:szCs w:val="18"/>
              </w:rPr>
            </w:pPr>
            <w:r>
              <w:rPr>
                <w:rFonts w:hint="eastAsia"/>
                <w:color w:val="auto"/>
                <w:sz w:val="18"/>
                <w:szCs w:val="18"/>
              </w:rPr>
              <w:t>23,439,249.14</w:t>
            </w:r>
          </w:p>
        </w:tc>
        <w:tc>
          <w:tcPr>
            <w:tcW w:w="1236" w:type="dxa"/>
            <w:vAlign w:val="center"/>
          </w:tcPr>
          <w:p>
            <w:pPr>
              <w:ind w:right="5"/>
              <w:jc w:val="right"/>
              <w:rPr>
                <w:sz w:val="18"/>
                <w:szCs w:val="18"/>
              </w:rPr>
            </w:pPr>
          </w:p>
        </w:tc>
        <w:tc>
          <w:tcPr>
            <w:tcW w:w="1504" w:type="dxa"/>
            <w:vAlign w:val="center"/>
          </w:tcPr>
          <w:p>
            <w:pPr>
              <w:ind w:right="5"/>
              <w:jc w:val="right"/>
              <w:rPr>
                <w:sz w:val="18"/>
                <w:szCs w:val="18"/>
              </w:rPr>
            </w:pPr>
            <w:r>
              <w:rPr>
                <w:rFonts w:hint="eastAsia"/>
                <w:color w:val="auto"/>
                <w:sz w:val="18"/>
                <w:szCs w:val="18"/>
              </w:rPr>
              <w:t>23,439,249.14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60" w:type="dxa"/>
            <w:vAlign w:val="center"/>
          </w:tcPr>
          <w:p>
            <w:pPr>
              <w:ind w:right="5"/>
              <w:rPr>
                <w:sz w:val="18"/>
                <w:szCs w:val="18"/>
              </w:rPr>
            </w:pPr>
            <w:r>
              <w:rPr>
                <w:rFonts w:hint="eastAsia"/>
                <w:sz w:val="18"/>
                <w:szCs w:val="18"/>
              </w:rPr>
              <w:t>库存商品</w:t>
            </w:r>
          </w:p>
        </w:tc>
        <w:tc>
          <w:tcPr>
            <w:tcW w:w="1440" w:type="dxa"/>
            <w:vAlign w:val="center"/>
          </w:tcPr>
          <w:p>
            <w:pPr>
              <w:ind w:right="5"/>
              <w:jc w:val="right"/>
              <w:rPr>
                <w:sz w:val="18"/>
                <w:szCs w:val="18"/>
              </w:rPr>
            </w:pPr>
            <w:r>
              <w:rPr>
                <w:rFonts w:hint="eastAsia"/>
                <w:color w:val="auto"/>
                <w:sz w:val="18"/>
                <w:szCs w:val="18"/>
              </w:rPr>
              <w:t>104,215,153.20</w:t>
            </w:r>
          </w:p>
        </w:tc>
        <w:tc>
          <w:tcPr>
            <w:tcW w:w="1331" w:type="dxa"/>
            <w:vAlign w:val="center"/>
          </w:tcPr>
          <w:p>
            <w:pPr>
              <w:ind w:right="5"/>
              <w:jc w:val="right"/>
              <w:rPr>
                <w:sz w:val="18"/>
                <w:szCs w:val="18"/>
              </w:rPr>
            </w:pPr>
            <w:r>
              <w:rPr>
                <w:rFonts w:hint="eastAsia"/>
                <w:color w:val="auto"/>
                <w:sz w:val="18"/>
                <w:szCs w:val="18"/>
              </w:rPr>
              <w:t>2,892,272.66</w:t>
            </w:r>
          </w:p>
        </w:tc>
        <w:tc>
          <w:tcPr>
            <w:tcW w:w="1404" w:type="dxa"/>
            <w:vAlign w:val="center"/>
          </w:tcPr>
          <w:p>
            <w:pPr>
              <w:ind w:right="5"/>
              <w:jc w:val="right"/>
              <w:rPr>
                <w:sz w:val="18"/>
                <w:szCs w:val="18"/>
              </w:rPr>
            </w:pPr>
            <w:r>
              <w:rPr>
                <w:rFonts w:hint="eastAsia"/>
                <w:color w:val="auto"/>
                <w:sz w:val="18"/>
                <w:szCs w:val="18"/>
              </w:rPr>
              <w:t>101,322,880.54</w:t>
            </w:r>
          </w:p>
        </w:tc>
        <w:tc>
          <w:tcPr>
            <w:tcW w:w="1380" w:type="dxa"/>
            <w:vAlign w:val="center"/>
          </w:tcPr>
          <w:p>
            <w:pPr>
              <w:ind w:right="5"/>
              <w:jc w:val="right"/>
              <w:rPr>
                <w:sz w:val="18"/>
                <w:szCs w:val="18"/>
              </w:rPr>
            </w:pPr>
            <w:r>
              <w:rPr>
                <w:rFonts w:hint="eastAsia"/>
                <w:color w:val="auto"/>
                <w:sz w:val="18"/>
                <w:szCs w:val="18"/>
              </w:rPr>
              <w:t>132,414,036.35</w:t>
            </w:r>
          </w:p>
        </w:tc>
        <w:tc>
          <w:tcPr>
            <w:tcW w:w="1236" w:type="dxa"/>
            <w:vAlign w:val="center"/>
          </w:tcPr>
          <w:p>
            <w:pPr>
              <w:ind w:right="5"/>
              <w:jc w:val="right"/>
              <w:rPr>
                <w:sz w:val="18"/>
                <w:szCs w:val="18"/>
              </w:rPr>
            </w:pPr>
            <w:r>
              <w:rPr>
                <w:rFonts w:hint="eastAsia"/>
                <w:color w:val="auto"/>
                <w:sz w:val="18"/>
                <w:szCs w:val="18"/>
              </w:rPr>
              <w:t>2,291,542.49</w:t>
            </w:r>
          </w:p>
        </w:tc>
        <w:tc>
          <w:tcPr>
            <w:tcW w:w="1504" w:type="dxa"/>
            <w:vAlign w:val="center"/>
          </w:tcPr>
          <w:p>
            <w:pPr>
              <w:ind w:right="5"/>
              <w:jc w:val="right"/>
              <w:rPr>
                <w:sz w:val="18"/>
                <w:szCs w:val="18"/>
              </w:rPr>
            </w:pPr>
            <w:r>
              <w:rPr>
                <w:rFonts w:hint="eastAsia"/>
                <w:color w:val="auto"/>
                <w:sz w:val="18"/>
                <w:szCs w:val="18"/>
              </w:rPr>
              <w:t>130,122,493.86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60" w:type="dxa"/>
            <w:vAlign w:val="center"/>
          </w:tcPr>
          <w:p>
            <w:pPr>
              <w:autoSpaceDE w:val="0"/>
              <w:autoSpaceDN w:val="0"/>
              <w:adjustRightInd w:val="0"/>
              <w:rPr>
                <w:sz w:val="18"/>
                <w:szCs w:val="18"/>
              </w:rPr>
            </w:pPr>
            <w:r>
              <w:rPr>
                <w:rFonts w:hint="eastAsia"/>
                <w:sz w:val="18"/>
                <w:szCs w:val="18"/>
              </w:rPr>
              <w:t>周转材料</w:t>
            </w:r>
          </w:p>
        </w:tc>
        <w:tc>
          <w:tcPr>
            <w:tcW w:w="1440" w:type="dxa"/>
            <w:vAlign w:val="center"/>
          </w:tcPr>
          <w:p>
            <w:pPr>
              <w:jc w:val="right"/>
              <w:rPr>
                <w:sz w:val="18"/>
                <w:szCs w:val="18"/>
              </w:rPr>
            </w:pPr>
            <w:r>
              <w:rPr>
                <w:rFonts w:hint="eastAsia"/>
                <w:color w:val="auto"/>
                <w:sz w:val="18"/>
                <w:szCs w:val="18"/>
              </w:rPr>
              <w:t>30,622,439.57</w:t>
            </w:r>
          </w:p>
        </w:tc>
        <w:tc>
          <w:tcPr>
            <w:tcW w:w="1331" w:type="dxa"/>
            <w:vAlign w:val="center"/>
          </w:tcPr>
          <w:p>
            <w:pPr>
              <w:jc w:val="right"/>
              <w:rPr>
                <w:sz w:val="18"/>
                <w:szCs w:val="18"/>
              </w:rPr>
            </w:pPr>
            <w:r>
              <w:rPr>
                <w:rFonts w:hint="eastAsia"/>
                <w:color w:val="auto"/>
                <w:sz w:val="18"/>
                <w:szCs w:val="18"/>
              </w:rPr>
              <w:t>46,277.52</w:t>
            </w:r>
          </w:p>
        </w:tc>
        <w:tc>
          <w:tcPr>
            <w:tcW w:w="1404" w:type="dxa"/>
            <w:vAlign w:val="center"/>
          </w:tcPr>
          <w:p>
            <w:pPr>
              <w:jc w:val="right"/>
              <w:rPr>
                <w:sz w:val="18"/>
                <w:szCs w:val="18"/>
              </w:rPr>
            </w:pPr>
            <w:r>
              <w:rPr>
                <w:rFonts w:hint="eastAsia"/>
                <w:color w:val="auto"/>
                <w:sz w:val="18"/>
                <w:szCs w:val="18"/>
              </w:rPr>
              <w:t>30,576,162.05</w:t>
            </w:r>
          </w:p>
        </w:tc>
        <w:tc>
          <w:tcPr>
            <w:tcW w:w="1380" w:type="dxa"/>
            <w:vAlign w:val="center"/>
          </w:tcPr>
          <w:p>
            <w:pPr>
              <w:ind w:right="5"/>
              <w:jc w:val="right"/>
              <w:rPr>
                <w:sz w:val="18"/>
                <w:szCs w:val="18"/>
              </w:rPr>
            </w:pPr>
            <w:r>
              <w:rPr>
                <w:rFonts w:hint="eastAsia"/>
                <w:color w:val="auto"/>
                <w:sz w:val="18"/>
                <w:szCs w:val="18"/>
              </w:rPr>
              <w:t>34,113,744.29</w:t>
            </w:r>
          </w:p>
        </w:tc>
        <w:tc>
          <w:tcPr>
            <w:tcW w:w="1236" w:type="dxa"/>
            <w:vAlign w:val="center"/>
          </w:tcPr>
          <w:p>
            <w:pPr>
              <w:ind w:right="5"/>
              <w:jc w:val="right"/>
              <w:rPr>
                <w:sz w:val="18"/>
                <w:szCs w:val="18"/>
              </w:rPr>
            </w:pPr>
            <w:r>
              <w:rPr>
                <w:rFonts w:hint="eastAsia"/>
                <w:color w:val="auto"/>
                <w:sz w:val="18"/>
                <w:szCs w:val="18"/>
              </w:rPr>
              <w:t>90,621.72</w:t>
            </w:r>
          </w:p>
        </w:tc>
        <w:tc>
          <w:tcPr>
            <w:tcW w:w="1504" w:type="dxa"/>
            <w:vAlign w:val="center"/>
          </w:tcPr>
          <w:p>
            <w:pPr>
              <w:ind w:right="5"/>
              <w:jc w:val="right"/>
              <w:rPr>
                <w:sz w:val="18"/>
                <w:szCs w:val="18"/>
              </w:rPr>
            </w:pPr>
            <w:r>
              <w:rPr>
                <w:rFonts w:hint="eastAsia"/>
                <w:color w:val="auto"/>
                <w:sz w:val="18"/>
                <w:szCs w:val="18"/>
              </w:rPr>
              <w:t>34,023,122.57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60" w:type="dxa"/>
            <w:vAlign w:val="center"/>
          </w:tcPr>
          <w:sdt>
            <w:sdtPr>
              <w:rPr>
                <w:sz w:val="18"/>
                <w:szCs w:val="18"/>
              </w:rPr>
              <w:tag w:val="_PLD_829093a5994c498e972dcdab10a0784f"/>
              <w:id w:val="6981"/>
            </w:sdtPr>
            <w:sdtEndPr>
              <w:rPr>
                <w:sz w:val="18"/>
                <w:szCs w:val="18"/>
              </w:rPr>
            </w:sdtEndPr>
            <w:sdtContent>
              <w:p>
                <w:pPr>
                  <w:autoSpaceDE w:val="0"/>
                  <w:autoSpaceDN w:val="0"/>
                  <w:adjustRightInd w:val="0"/>
                  <w:rPr>
                    <w:sz w:val="18"/>
                    <w:szCs w:val="18"/>
                  </w:rPr>
                </w:pPr>
                <w:r>
                  <w:rPr>
                    <w:rFonts w:hint="eastAsia"/>
                    <w:sz w:val="18"/>
                    <w:szCs w:val="18"/>
                  </w:rPr>
                  <w:t>自制半成品</w:t>
                </w:r>
              </w:p>
            </w:sdtContent>
          </w:sdt>
        </w:tc>
        <w:tc>
          <w:tcPr>
            <w:tcW w:w="1440" w:type="dxa"/>
            <w:vAlign w:val="center"/>
          </w:tcPr>
          <w:p>
            <w:pPr>
              <w:jc w:val="right"/>
              <w:rPr>
                <w:sz w:val="18"/>
                <w:szCs w:val="18"/>
              </w:rPr>
            </w:pPr>
            <w:r>
              <w:rPr>
                <w:rFonts w:hint="eastAsia"/>
                <w:color w:val="auto"/>
                <w:sz w:val="18"/>
                <w:szCs w:val="18"/>
              </w:rPr>
              <w:t>24,930,975.30</w:t>
            </w:r>
          </w:p>
        </w:tc>
        <w:tc>
          <w:tcPr>
            <w:tcW w:w="1331" w:type="dxa"/>
            <w:vAlign w:val="center"/>
          </w:tcPr>
          <w:p>
            <w:pPr>
              <w:jc w:val="right"/>
              <w:rPr>
                <w:sz w:val="18"/>
                <w:szCs w:val="18"/>
              </w:rPr>
            </w:pPr>
          </w:p>
        </w:tc>
        <w:tc>
          <w:tcPr>
            <w:tcW w:w="1404" w:type="dxa"/>
            <w:vAlign w:val="center"/>
          </w:tcPr>
          <w:p>
            <w:pPr>
              <w:jc w:val="right"/>
              <w:rPr>
                <w:sz w:val="18"/>
                <w:szCs w:val="18"/>
              </w:rPr>
            </w:pPr>
            <w:r>
              <w:rPr>
                <w:rFonts w:hint="eastAsia"/>
                <w:color w:val="auto"/>
                <w:sz w:val="18"/>
                <w:szCs w:val="18"/>
              </w:rPr>
              <w:t>24,930,975.30</w:t>
            </w:r>
          </w:p>
        </w:tc>
        <w:tc>
          <w:tcPr>
            <w:tcW w:w="1380" w:type="dxa"/>
            <w:vAlign w:val="center"/>
          </w:tcPr>
          <w:p>
            <w:pPr>
              <w:ind w:right="5"/>
              <w:jc w:val="right"/>
              <w:rPr>
                <w:sz w:val="18"/>
                <w:szCs w:val="18"/>
              </w:rPr>
            </w:pPr>
            <w:r>
              <w:rPr>
                <w:rFonts w:hint="eastAsia"/>
                <w:color w:val="auto"/>
                <w:sz w:val="18"/>
                <w:szCs w:val="18"/>
              </w:rPr>
              <w:t>29,932,388.76</w:t>
            </w:r>
          </w:p>
        </w:tc>
        <w:tc>
          <w:tcPr>
            <w:tcW w:w="1236" w:type="dxa"/>
            <w:vAlign w:val="center"/>
          </w:tcPr>
          <w:p>
            <w:pPr>
              <w:ind w:right="5"/>
              <w:jc w:val="right"/>
              <w:rPr>
                <w:sz w:val="18"/>
                <w:szCs w:val="18"/>
              </w:rPr>
            </w:pPr>
          </w:p>
        </w:tc>
        <w:tc>
          <w:tcPr>
            <w:tcW w:w="1504" w:type="dxa"/>
            <w:vAlign w:val="center"/>
          </w:tcPr>
          <w:p>
            <w:pPr>
              <w:ind w:right="5"/>
              <w:jc w:val="right"/>
              <w:rPr>
                <w:sz w:val="18"/>
                <w:szCs w:val="18"/>
              </w:rPr>
            </w:pPr>
            <w:r>
              <w:rPr>
                <w:rFonts w:hint="eastAsia"/>
                <w:color w:val="auto"/>
                <w:sz w:val="18"/>
                <w:szCs w:val="18"/>
              </w:rPr>
              <w:t>29,932,388.76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60" w:type="dxa"/>
            <w:vAlign w:val="center"/>
          </w:tcPr>
          <w:sdt>
            <w:sdtPr>
              <w:rPr>
                <w:sz w:val="18"/>
                <w:szCs w:val="18"/>
              </w:rPr>
              <w:tag w:val="_PLD_60c2d86c91d74ee38652271126fb82d1"/>
              <w:id w:val="6982"/>
            </w:sdtPr>
            <w:sdtEndPr>
              <w:rPr>
                <w:sz w:val="18"/>
                <w:szCs w:val="18"/>
              </w:rPr>
            </w:sdtEndPr>
            <w:sdtContent>
              <w:p>
                <w:pPr>
                  <w:autoSpaceDE w:val="0"/>
                  <w:autoSpaceDN w:val="0"/>
                  <w:adjustRightInd w:val="0"/>
                  <w:rPr>
                    <w:sz w:val="18"/>
                    <w:szCs w:val="18"/>
                  </w:rPr>
                </w:pPr>
                <w:r>
                  <w:rPr>
                    <w:rFonts w:hint="eastAsia"/>
                    <w:sz w:val="18"/>
                    <w:szCs w:val="18"/>
                  </w:rPr>
                  <w:t>发出商品</w:t>
                </w:r>
              </w:p>
            </w:sdtContent>
          </w:sdt>
        </w:tc>
        <w:tc>
          <w:tcPr>
            <w:tcW w:w="1440" w:type="dxa"/>
            <w:vAlign w:val="center"/>
          </w:tcPr>
          <w:p>
            <w:pPr>
              <w:ind w:right="5"/>
              <w:jc w:val="right"/>
              <w:rPr>
                <w:sz w:val="18"/>
                <w:szCs w:val="18"/>
              </w:rPr>
            </w:pPr>
            <w:r>
              <w:rPr>
                <w:rFonts w:hint="eastAsia"/>
                <w:color w:val="auto"/>
                <w:sz w:val="18"/>
                <w:szCs w:val="18"/>
              </w:rPr>
              <w:t>5,011,866.64</w:t>
            </w:r>
          </w:p>
        </w:tc>
        <w:tc>
          <w:tcPr>
            <w:tcW w:w="1331" w:type="dxa"/>
            <w:vAlign w:val="center"/>
          </w:tcPr>
          <w:p>
            <w:pPr>
              <w:ind w:right="5"/>
              <w:jc w:val="right"/>
              <w:rPr>
                <w:sz w:val="18"/>
                <w:szCs w:val="18"/>
              </w:rPr>
            </w:pPr>
            <w:r>
              <w:rPr>
                <w:rFonts w:hint="eastAsia"/>
                <w:color w:val="auto"/>
                <w:sz w:val="18"/>
                <w:szCs w:val="18"/>
              </w:rPr>
              <w:t>321,700.34</w:t>
            </w:r>
          </w:p>
        </w:tc>
        <w:tc>
          <w:tcPr>
            <w:tcW w:w="1404" w:type="dxa"/>
            <w:vAlign w:val="center"/>
          </w:tcPr>
          <w:p>
            <w:pPr>
              <w:ind w:right="5"/>
              <w:jc w:val="right"/>
              <w:rPr>
                <w:sz w:val="18"/>
                <w:szCs w:val="18"/>
              </w:rPr>
            </w:pPr>
            <w:r>
              <w:rPr>
                <w:rFonts w:hint="eastAsia"/>
                <w:color w:val="auto"/>
                <w:sz w:val="18"/>
                <w:szCs w:val="18"/>
              </w:rPr>
              <w:t>4,690,166.30</w:t>
            </w:r>
          </w:p>
        </w:tc>
        <w:tc>
          <w:tcPr>
            <w:tcW w:w="1380" w:type="dxa"/>
            <w:vAlign w:val="center"/>
          </w:tcPr>
          <w:p>
            <w:pPr>
              <w:ind w:right="5"/>
              <w:jc w:val="right"/>
              <w:rPr>
                <w:sz w:val="18"/>
                <w:szCs w:val="18"/>
              </w:rPr>
            </w:pPr>
            <w:r>
              <w:rPr>
                <w:rFonts w:hint="eastAsia"/>
                <w:color w:val="auto"/>
                <w:sz w:val="18"/>
                <w:szCs w:val="18"/>
              </w:rPr>
              <w:t>1,561,595.65</w:t>
            </w:r>
          </w:p>
        </w:tc>
        <w:tc>
          <w:tcPr>
            <w:tcW w:w="1236" w:type="dxa"/>
            <w:vAlign w:val="center"/>
          </w:tcPr>
          <w:p>
            <w:pPr>
              <w:ind w:right="5"/>
              <w:jc w:val="right"/>
              <w:rPr>
                <w:sz w:val="18"/>
                <w:szCs w:val="18"/>
              </w:rPr>
            </w:pPr>
            <w:r>
              <w:rPr>
                <w:rFonts w:hint="eastAsia"/>
                <w:color w:val="auto"/>
                <w:sz w:val="18"/>
                <w:szCs w:val="18"/>
              </w:rPr>
              <w:t>350,164.58</w:t>
            </w:r>
          </w:p>
        </w:tc>
        <w:tc>
          <w:tcPr>
            <w:tcW w:w="1504" w:type="dxa"/>
            <w:vAlign w:val="center"/>
          </w:tcPr>
          <w:p>
            <w:pPr>
              <w:ind w:right="5"/>
              <w:jc w:val="right"/>
              <w:rPr>
                <w:sz w:val="18"/>
                <w:szCs w:val="18"/>
              </w:rPr>
            </w:pPr>
            <w:r>
              <w:rPr>
                <w:rFonts w:hint="eastAsia"/>
                <w:color w:val="auto"/>
                <w:sz w:val="18"/>
                <w:szCs w:val="18"/>
              </w:rPr>
              <w:t>1,211,431.07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60" w:type="dxa"/>
            <w:vAlign w:val="center"/>
          </w:tcPr>
          <w:p>
            <w:pPr>
              <w:ind w:right="-216" w:rightChars="0"/>
              <w:rPr>
                <w:sz w:val="18"/>
                <w:szCs w:val="18"/>
              </w:rPr>
            </w:pPr>
            <w:r>
              <w:rPr>
                <w:rFonts w:hint="eastAsia"/>
                <w:color w:val="auto"/>
                <w:sz w:val="18"/>
                <w:szCs w:val="18"/>
              </w:rPr>
              <w:t>委托加工物资</w:t>
            </w:r>
          </w:p>
        </w:tc>
        <w:tc>
          <w:tcPr>
            <w:tcW w:w="1440" w:type="dxa"/>
            <w:vAlign w:val="center"/>
          </w:tcPr>
          <w:p>
            <w:pPr>
              <w:ind w:right="5"/>
              <w:jc w:val="right"/>
              <w:rPr>
                <w:sz w:val="18"/>
                <w:szCs w:val="18"/>
              </w:rPr>
            </w:pPr>
            <w:r>
              <w:rPr>
                <w:rFonts w:hint="eastAsia"/>
                <w:color w:val="auto"/>
                <w:sz w:val="18"/>
                <w:szCs w:val="18"/>
              </w:rPr>
              <w:t>979,843.98</w:t>
            </w:r>
          </w:p>
        </w:tc>
        <w:tc>
          <w:tcPr>
            <w:tcW w:w="1331" w:type="dxa"/>
            <w:vAlign w:val="center"/>
          </w:tcPr>
          <w:p>
            <w:pPr>
              <w:ind w:right="5"/>
              <w:jc w:val="right"/>
              <w:rPr>
                <w:sz w:val="18"/>
                <w:szCs w:val="18"/>
              </w:rPr>
            </w:pPr>
            <w:r>
              <w:rPr>
                <w:rFonts w:hint="eastAsia"/>
                <w:color w:val="auto"/>
                <w:sz w:val="18"/>
                <w:szCs w:val="18"/>
              </w:rPr>
              <w:t>268,561.12</w:t>
            </w:r>
          </w:p>
        </w:tc>
        <w:tc>
          <w:tcPr>
            <w:tcW w:w="1404" w:type="dxa"/>
            <w:vAlign w:val="center"/>
          </w:tcPr>
          <w:p>
            <w:pPr>
              <w:ind w:right="5"/>
              <w:jc w:val="right"/>
              <w:rPr>
                <w:sz w:val="18"/>
                <w:szCs w:val="18"/>
              </w:rPr>
            </w:pPr>
            <w:r>
              <w:rPr>
                <w:rFonts w:hint="eastAsia"/>
                <w:color w:val="auto"/>
                <w:sz w:val="18"/>
                <w:szCs w:val="18"/>
              </w:rPr>
              <w:t>711,282.86</w:t>
            </w:r>
          </w:p>
        </w:tc>
        <w:tc>
          <w:tcPr>
            <w:tcW w:w="1380" w:type="dxa"/>
            <w:vAlign w:val="center"/>
          </w:tcPr>
          <w:p>
            <w:pPr>
              <w:ind w:right="5"/>
              <w:jc w:val="right"/>
              <w:rPr>
                <w:sz w:val="18"/>
                <w:szCs w:val="18"/>
              </w:rPr>
            </w:pPr>
            <w:r>
              <w:rPr>
                <w:rFonts w:hint="eastAsia"/>
                <w:color w:val="auto"/>
                <w:sz w:val="18"/>
                <w:szCs w:val="18"/>
              </w:rPr>
              <w:t>2,026,371.22</w:t>
            </w:r>
          </w:p>
        </w:tc>
        <w:tc>
          <w:tcPr>
            <w:tcW w:w="1236" w:type="dxa"/>
            <w:vAlign w:val="center"/>
          </w:tcPr>
          <w:p>
            <w:pPr>
              <w:ind w:right="5"/>
              <w:jc w:val="right"/>
              <w:rPr>
                <w:sz w:val="18"/>
                <w:szCs w:val="18"/>
              </w:rPr>
            </w:pPr>
            <w:r>
              <w:rPr>
                <w:rFonts w:hint="eastAsia"/>
                <w:color w:val="auto"/>
                <w:sz w:val="18"/>
                <w:szCs w:val="18"/>
              </w:rPr>
              <w:t>195,199.97</w:t>
            </w:r>
          </w:p>
        </w:tc>
        <w:tc>
          <w:tcPr>
            <w:tcW w:w="1504" w:type="dxa"/>
            <w:vAlign w:val="center"/>
          </w:tcPr>
          <w:p>
            <w:pPr>
              <w:ind w:right="5"/>
              <w:jc w:val="right"/>
              <w:rPr>
                <w:sz w:val="18"/>
                <w:szCs w:val="18"/>
              </w:rPr>
            </w:pPr>
            <w:r>
              <w:rPr>
                <w:rFonts w:hint="eastAsia"/>
                <w:color w:val="auto"/>
                <w:sz w:val="18"/>
                <w:szCs w:val="18"/>
              </w:rPr>
              <w:t>1,831,171.25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60" w:type="dxa"/>
            <w:vAlign w:val="center"/>
          </w:tcPr>
          <w:p>
            <w:pPr>
              <w:ind w:right="5"/>
              <w:jc w:val="center"/>
              <w:rPr>
                <w:sz w:val="18"/>
                <w:szCs w:val="18"/>
              </w:rPr>
            </w:pPr>
            <w:r>
              <w:rPr>
                <w:rFonts w:hint="eastAsia"/>
                <w:sz w:val="18"/>
                <w:szCs w:val="18"/>
              </w:rPr>
              <w:t>合计</w:t>
            </w:r>
          </w:p>
        </w:tc>
        <w:tc>
          <w:tcPr>
            <w:tcW w:w="1440" w:type="dxa"/>
            <w:vAlign w:val="center"/>
          </w:tcPr>
          <w:p>
            <w:pPr>
              <w:ind w:right="5"/>
              <w:jc w:val="right"/>
              <w:rPr>
                <w:sz w:val="18"/>
                <w:szCs w:val="18"/>
              </w:rPr>
            </w:pPr>
            <w:r>
              <w:rPr>
                <w:rFonts w:hint="eastAsia"/>
                <w:color w:val="auto"/>
                <w:sz w:val="18"/>
                <w:szCs w:val="18"/>
              </w:rPr>
              <w:t>239,079,374.68</w:t>
            </w:r>
          </w:p>
        </w:tc>
        <w:tc>
          <w:tcPr>
            <w:tcW w:w="1331" w:type="dxa"/>
            <w:vAlign w:val="center"/>
          </w:tcPr>
          <w:p>
            <w:pPr>
              <w:ind w:right="5"/>
              <w:jc w:val="right"/>
              <w:rPr>
                <w:sz w:val="18"/>
                <w:szCs w:val="18"/>
              </w:rPr>
            </w:pPr>
            <w:r>
              <w:rPr>
                <w:rFonts w:hint="eastAsia"/>
                <w:color w:val="auto"/>
                <w:sz w:val="18"/>
                <w:szCs w:val="18"/>
              </w:rPr>
              <w:t>4,236,178.98</w:t>
            </w:r>
          </w:p>
        </w:tc>
        <w:tc>
          <w:tcPr>
            <w:tcW w:w="1404" w:type="dxa"/>
            <w:vAlign w:val="center"/>
          </w:tcPr>
          <w:p>
            <w:pPr>
              <w:ind w:right="5"/>
              <w:jc w:val="right"/>
              <w:rPr>
                <w:sz w:val="18"/>
                <w:szCs w:val="18"/>
              </w:rPr>
            </w:pPr>
            <w:r>
              <w:rPr>
                <w:rFonts w:hint="eastAsia"/>
                <w:color w:val="auto"/>
                <w:sz w:val="18"/>
                <w:szCs w:val="18"/>
              </w:rPr>
              <w:t>234,843,195.70</w:t>
            </w:r>
          </w:p>
        </w:tc>
        <w:tc>
          <w:tcPr>
            <w:tcW w:w="1380" w:type="dxa"/>
            <w:vAlign w:val="center"/>
          </w:tcPr>
          <w:p>
            <w:pPr>
              <w:ind w:right="5"/>
              <w:jc w:val="right"/>
              <w:rPr>
                <w:sz w:val="18"/>
                <w:szCs w:val="18"/>
              </w:rPr>
            </w:pPr>
            <w:r>
              <w:rPr>
                <w:rFonts w:hint="eastAsia"/>
                <w:color w:val="auto"/>
                <w:sz w:val="18"/>
                <w:szCs w:val="18"/>
              </w:rPr>
              <w:t>273,381,342.70</w:t>
            </w:r>
          </w:p>
        </w:tc>
        <w:tc>
          <w:tcPr>
            <w:tcW w:w="1236" w:type="dxa"/>
            <w:vAlign w:val="center"/>
          </w:tcPr>
          <w:p>
            <w:pPr>
              <w:ind w:right="5"/>
              <w:jc w:val="right"/>
              <w:rPr>
                <w:sz w:val="18"/>
                <w:szCs w:val="18"/>
              </w:rPr>
            </w:pPr>
            <w:r>
              <w:rPr>
                <w:rFonts w:hint="eastAsia"/>
                <w:color w:val="auto"/>
                <w:sz w:val="18"/>
                <w:szCs w:val="18"/>
              </w:rPr>
              <w:t>3,502,913.67</w:t>
            </w:r>
          </w:p>
        </w:tc>
        <w:tc>
          <w:tcPr>
            <w:tcW w:w="1504" w:type="dxa"/>
            <w:vAlign w:val="center"/>
          </w:tcPr>
          <w:p>
            <w:pPr>
              <w:ind w:right="5"/>
              <w:jc w:val="right"/>
              <w:rPr>
                <w:sz w:val="18"/>
                <w:szCs w:val="18"/>
              </w:rPr>
            </w:pPr>
            <w:r>
              <w:rPr>
                <w:rFonts w:hint="eastAsia"/>
                <w:color w:val="auto"/>
                <w:sz w:val="18"/>
                <w:szCs w:val="18"/>
              </w:rPr>
              <w:t>269,878,429.03</w:t>
            </w:r>
          </w:p>
        </w:tc>
      </w:tr>
    </w:tbl>
    <w:p>
      <w:pPr>
        <w:rPr>
          <w:szCs w:val="21"/>
        </w:rPr>
      </w:pPr>
    </w:p>
    <w:bookmarkEnd w:id="258"/>
    <w:bookmarkEnd w:id="259"/>
    <w:p>
      <w:pPr>
        <w:pStyle w:val="5"/>
        <w:numPr>
          <w:ilvl w:val="3"/>
          <w:numId w:val="71"/>
        </w:numPr>
        <w:ind w:left="426" w:hanging="426"/>
        <w:rPr>
          <w:rFonts w:eastAsia="宋体" w:cs="宋体" w:asciiTheme="minorHAnsi" w:hAnsiTheme="minorHAnsi"/>
          <w:kern w:val="0"/>
          <w:szCs w:val="22"/>
        </w:rPr>
      </w:pPr>
      <w:bookmarkStart w:id="260" w:name="_Hlk182484983"/>
      <w:r>
        <w:rPr>
          <w:rFonts w:hint="eastAsia" w:eastAsia="宋体" w:cs="宋体" w:asciiTheme="minorHAnsi" w:hAnsiTheme="minorHAnsi"/>
          <w:kern w:val="0"/>
          <w:szCs w:val="22"/>
        </w:rPr>
        <w:t>确认为存货的数据资源</w:t>
      </w:r>
    </w:p>
    <w:sdt>
      <w:sdtPr>
        <w:rPr>
          <w:rFonts w:hint="eastAsia"/>
          <w:color w:val="000000" w:themeColor="text1"/>
          <w14:textFill>
            <w14:solidFill>
              <w14:schemeClr w14:val="tx1"/>
            </w14:solidFill>
          </w14:textFill>
        </w:rPr>
        <w:alias w:val="是否适用：确认为存货的数据资源[双击切换]"/>
        <w:tag w:val="_GBC_a7d9b8c6ebca4003bf262295877405d7"/>
        <w:id w:val="6983"/>
        <w:placeholder>
          <w:docPart w:val="GBC22222222222222222222222222222"/>
        </w:placeholder>
      </w:sdtPr>
      <w:sdtEndPr>
        <w:rPr>
          <w:rFonts w:hint="eastAsia"/>
          <w:color w:val="000000" w:themeColor="text1"/>
          <w14:textFill>
            <w14:solidFill>
              <w14:schemeClr w14:val="tx1"/>
            </w14:solidFill>
          </w14:textFill>
        </w:rPr>
      </w:sdtEndPr>
      <w:sdtContent>
        <w:p>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w:instrText>
          </w:r>
          <w:r>
            <w:rPr>
              <w:rFonts w:hint="eastAsia" w:ascii="宋体" w:hAnsi="宋体"/>
              <w:color w:val="000000" w:themeColor="text1"/>
              <w14:textFill>
                <w14:solidFill>
                  <w14:schemeClr w14:val="tx1"/>
                </w14:solidFill>
              </w14:textFill>
            </w:rPr>
            <w:instrText xml:space="preserve">MACROBUTTON  SnrToggleCheckbox □适用</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pPr>
        <w:rPr>
          <w:color w:val="000000" w:themeColor="text1"/>
          <w14:textFill>
            <w14:solidFill>
              <w14:schemeClr w14:val="tx1"/>
            </w14:solidFill>
          </w14:textFill>
        </w:rPr>
      </w:pPr>
    </w:p>
    <w:bookmarkEnd w:id="260"/>
    <w:sdt>
      <w:sdtPr>
        <w:tag w:val="_PLD_b03e65bc536a43eab5570263a106c71d"/>
        <w:id w:val="6984"/>
      </w:sdtPr>
      <w:sdtContent>
        <w:p>
          <w:pPr>
            <w:pStyle w:val="5"/>
            <w:numPr>
              <w:ilvl w:val="3"/>
              <w:numId w:val="71"/>
            </w:numPr>
            <w:ind w:left="426" w:hanging="426"/>
            <w:rPr>
              <w:rFonts w:hint="eastAsia"/>
              <w:b w:val="0"/>
              <w:bCs w:val="0"/>
            </w:rPr>
          </w:pPr>
          <w:bookmarkStart w:id="261" w:name="_Hlk533079150"/>
          <w:r>
            <w:t>存货跌价准备及合同履约成本减值准备</w:t>
          </w:r>
        </w:p>
      </w:sdtContent>
    </w:sdt>
    <w:sdt>
      <w:sdtPr>
        <w:alias w:val="是否适用：存货跌价准备[双击切换]"/>
        <w:tag w:val="_GBC_c61866b530ae491eb21bee1edd36619e"/>
        <w:id w:val="6985"/>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存货跌价准备"/>
          <w:tag w:val="_GBC_2d3e3a5e2ff44ef3bbef756054f246f3"/>
          <w:id w:val="698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存货跌价准备"/>
          <w:tag w:val="_GBC_c51bd05fe51f4b609e7e1904eb064d34"/>
          <w:id w:val="69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1"/>
        <w:gridCol w:w="1368"/>
        <w:gridCol w:w="1409"/>
        <w:gridCol w:w="1063"/>
        <w:gridCol w:w="1328"/>
        <w:gridCol w:w="1012"/>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1501" w:type="dxa"/>
            <w:vMerge w:val="restart"/>
            <w:tcBorders>
              <w:top w:val="single" w:color="auto" w:sz="4" w:space="0"/>
              <w:left w:val="single" w:color="auto" w:sz="4" w:space="0"/>
              <w:bottom w:val="single" w:color="auto" w:sz="4" w:space="0"/>
              <w:right w:val="single" w:color="auto" w:sz="4" w:space="0"/>
            </w:tcBorders>
            <w:vAlign w:val="center"/>
          </w:tcPr>
          <w:sdt>
            <w:sdtPr>
              <w:tag w:val="_PLD_4ac7cc4fa4994c1db43ed3b367defc13"/>
              <w:id w:val="6988"/>
            </w:sdtPr>
            <w:sdtContent>
              <w:p>
                <w:pPr>
                  <w:jc w:val="center"/>
                  <w:rPr>
                    <w:szCs w:val="21"/>
                  </w:rPr>
                </w:pPr>
                <w:r>
                  <w:rPr>
                    <w:rFonts w:hint="eastAsia"/>
                    <w:szCs w:val="21"/>
                  </w:rPr>
                  <w:t>项目</w:t>
                </w:r>
              </w:p>
            </w:sdtContent>
          </w:sdt>
        </w:tc>
        <w:tc>
          <w:tcPr>
            <w:tcW w:w="1368" w:type="dxa"/>
            <w:vMerge w:val="restart"/>
            <w:tcBorders>
              <w:top w:val="single" w:color="auto" w:sz="4" w:space="0"/>
              <w:left w:val="single" w:color="auto" w:sz="4" w:space="0"/>
              <w:bottom w:val="single" w:color="auto" w:sz="4" w:space="0"/>
              <w:right w:val="single" w:color="auto" w:sz="4" w:space="0"/>
            </w:tcBorders>
            <w:vAlign w:val="center"/>
          </w:tcPr>
          <w:sdt>
            <w:sdtPr>
              <w:tag w:val="_PLD_7a2e758257864908b13bf89a561f9b5a"/>
              <w:id w:val="6989"/>
            </w:sdtPr>
            <w:sdtContent>
              <w:p>
                <w:pPr>
                  <w:jc w:val="center"/>
                  <w:rPr>
                    <w:szCs w:val="21"/>
                  </w:rPr>
                </w:pPr>
                <w:r>
                  <w:rPr>
                    <w:rFonts w:hint="eastAsia"/>
                    <w:szCs w:val="21"/>
                  </w:rPr>
                  <w:t>期初余额</w:t>
                </w:r>
              </w:p>
            </w:sdtContent>
          </w:sdt>
        </w:tc>
        <w:tc>
          <w:tcPr>
            <w:tcW w:w="2472" w:type="dxa"/>
            <w:gridSpan w:val="2"/>
            <w:tcBorders>
              <w:top w:val="single" w:color="auto" w:sz="4" w:space="0"/>
              <w:left w:val="single" w:color="auto" w:sz="4" w:space="0"/>
              <w:right w:val="single" w:color="auto" w:sz="4" w:space="0"/>
            </w:tcBorders>
            <w:vAlign w:val="center"/>
          </w:tcPr>
          <w:sdt>
            <w:sdtPr>
              <w:tag w:val="_PLD_d95d27d30a6440b5ba0d3798473f422e"/>
              <w:id w:val="6990"/>
            </w:sdtPr>
            <w:sdtContent>
              <w:p>
                <w:pPr>
                  <w:jc w:val="center"/>
                  <w:rPr>
                    <w:szCs w:val="21"/>
                  </w:rPr>
                </w:pPr>
                <w:r>
                  <w:rPr>
                    <w:rFonts w:hint="eastAsia"/>
                    <w:szCs w:val="21"/>
                  </w:rPr>
                  <w:t>本期增加金额</w:t>
                </w:r>
              </w:p>
            </w:sdtContent>
          </w:sdt>
        </w:tc>
        <w:tc>
          <w:tcPr>
            <w:tcW w:w="2340" w:type="dxa"/>
            <w:gridSpan w:val="2"/>
            <w:tcBorders>
              <w:top w:val="single" w:color="auto" w:sz="4" w:space="0"/>
              <w:left w:val="single" w:color="auto" w:sz="4" w:space="0"/>
              <w:right w:val="single" w:color="auto" w:sz="4" w:space="0"/>
            </w:tcBorders>
            <w:vAlign w:val="center"/>
          </w:tcPr>
          <w:sdt>
            <w:sdtPr>
              <w:tag w:val="_PLD_cb7d37811bf944e4a7bb31b4366efaeb"/>
              <w:id w:val="6991"/>
            </w:sdtPr>
            <w:sdtContent>
              <w:p>
                <w:pPr>
                  <w:jc w:val="center"/>
                  <w:rPr>
                    <w:szCs w:val="21"/>
                  </w:rPr>
                </w:pPr>
                <w:r>
                  <w:rPr>
                    <w:rFonts w:hint="eastAsia"/>
                    <w:szCs w:val="21"/>
                  </w:rPr>
                  <w:t>本期减少金额</w:t>
                </w:r>
              </w:p>
            </w:sdtContent>
          </w:sdt>
        </w:tc>
        <w:tc>
          <w:tcPr>
            <w:tcW w:w="1363" w:type="dxa"/>
            <w:vMerge w:val="restart"/>
            <w:tcBorders>
              <w:top w:val="single" w:color="auto" w:sz="4" w:space="0"/>
              <w:left w:val="single" w:color="auto" w:sz="4" w:space="0"/>
              <w:bottom w:val="single" w:color="auto" w:sz="4" w:space="0"/>
              <w:right w:val="single" w:color="auto" w:sz="4" w:space="0"/>
            </w:tcBorders>
            <w:vAlign w:val="center"/>
          </w:tcPr>
          <w:sdt>
            <w:sdtPr>
              <w:tag w:val="_PLD_b2523ee7f028451790c9f2ef6e216a59"/>
              <w:id w:val="6992"/>
            </w:sdtPr>
            <w:sdtContent>
              <w:p>
                <w:pPr>
                  <w:jc w:val="center"/>
                  <w:rPr>
                    <w:szCs w:val="21"/>
                  </w:rPr>
                </w:pPr>
                <w:r>
                  <w:rPr>
                    <w:rFonts w:hint="eastAsia"/>
                    <w:szCs w:val="21"/>
                  </w:rPr>
                  <w:t>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01" w:type="dxa"/>
            <w:vMerge w:val="continue"/>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368" w:type="dxa"/>
            <w:vMerge w:val="continue"/>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409" w:type="dxa"/>
            <w:tcBorders>
              <w:left w:val="single" w:color="auto" w:sz="4" w:space="0"/>
              <w:bottom w:val="single" w:color="auto" w:sz="4" w:space="0"/>
              <w:right w:val="single" w:color="auto" w:sz="4" w:space="0"/>
            </w:tcBorders>
            <w:vAlign w:val="center"/>
          </w:tcPr>
          <w:sdt>
            <w:sdtPr>
              <w:tag w:val="_PLD_16a8dea59b924b23a28ea45988190955"/>
              <w:id w:val="6993"/>
            </w:sdtPr>
            <w:sdtContent>
              <w:p>
                <w:pPr>
                  <w:jc w:val="center"/>
                  <w:rPr>
                    <w:szCs w:val="21"/>
                  </w:rPr>
                </w:pPr>
                <w:r>
                  <w:rPr>
                    <w:rFonts w:hint="eastAsia"/>
                    <w:szCs w:val="21"/>
                  </w:rPr>
                  <w:t>计提</w:t>
                </w:r>
              </w:p>
            </w:sdtContent>
          </w:sdt>
        </w:tc>
        <w:tc>
          <w:tcPr>
            <w:tcW w:w="1063" w:type="dxa"/>
            <w:tcBorders>
              <w:left w:val="single" w:color="auto" w:sz="4" w:space="0"/>
              <w:bottom w:val="single" w:color="auto" w:sz="4" w:space="0"/>
              <w:right w:val="single" w:color="auto" w:sz="4" w:space="0"/>
            </w:tcBorders>
            <w:vAlign w:val="center"/>
          </w:tcPr>
          <w:sdt>
            <w:sdtPr>
              <w:tag w:val="_PLD_621a418b64e54315a5981611a5504791"/>
              <w:id w:val="6994"/>
            </w:sdtPr>
            <w:sdtContent>
              <w:p>
                <w:pPr>
                  <w:jc w:val="center"/>
                  <w:rPr>
                    <w:szCs w:val="21"/>
                  </w:rPr>
                </w:pPr>
                <w:r>
                  <w:rPr>
                    <w:rFonts w:hint="eastAsia"/>
                    <w:szCs w:val="21"/>
                  </w:rPr>
                  <w:t>其他</w:t>
                </w:r>
              </w:p>
            </w:sdtContent>
          </w:sdt>
        </w:tc>
        <w:tc>
          <w:tcPr>
            <w:tcW w:w="1328" w:type="dxa"/>
            <w:tcBorders>
              <w:top w:val="single" w:color="auto" w:sz="4" w:space="0"/>
              <w:left w:val="single" w:color="auto" w:sz="4" w:space="0"/>
              <w:bottom w:val="single" w:color="auto" w:sz="4" w:space="0"/>
              <w:right w:val="single" w:color="auto" w:sz="4" w:space="0"/>
            </w:tcBorders>
            <w:vAlign w:val="center"/>
          </w:tcPr>
          <w:sdt>
            <w:sdtPr>
              <w:tag w:val="_PLD_1928b16982a747c59a563fa4d086d9fc"/>
              <w:id w:val="6995"/>
            </w:sdtPr>
            <w:sdtContent>
              <w:p>
                <w:pPr>
                  <w:jc w:val="center"/>
                  <w:rPr>
                    <w:szCs w:val="21"/>
                  </w:rPr>
                </w:pPr>
                <w:r>
                  <w:rPr>
                    <w:rFonts w:hint="eastAsia"/>
                    <w:szCs w:val="21"/>
                  </w:rPr>
                  <w:t>转回或转销</w:t>
                </w:r>
              </w:p>
            </w:sdtContent>
          </w:sdt>
        </w:tc>
        <w:tc>
          <w:tcPr>
            <w:tcW w:w="1012" w:type="dxa"/>
            <w:tcBorders>
              <w:top w:val="single" w:color="auto" w:sz="4" w:space="0"/>
              <w:left w:val="single" w:color="auto" w:sz="4" w:space="0"/>
              <w:bottom w:val="single" w:color="auto" w:sz="4" w:space="0"/>
              <w:right w:val="single" w:color="auto" w:sz="4" w:space="0"/>
            </w:tcBorders>
            <w:vAlign w:val="center"/>
          </w:tcPr>
          <w:sdt>
            <w:sdtPr>
              <w:tag w:val="_PLD_1472e7afb261461b8468e1969b080fd5"/>
              <w:id w:val="6996"/>
            </w:sdtPr>
            <w:sdtContent>
              <w:p>
                <w:pPr>
                  <w:jc w:val="center"/>
                  <w:rPr>
                    <w:szCs w:val="21"/>
                  </w:rPr>
                </w:pPr>
                <w:r>
                  <w:rPr>
                    <w:rFonts w:hint="eastAsia"/>
                    <w:szCs w:val="21"/>
                  </w:rPr>
                  <w:t>其他</w:t>
                </w:r>
              </w:p>
            </w:sdtContent>
          </w:sdt>
        </w:tc>
        <w:tc>
          <w:tcPr>
            <w:tcW w:w="1363" w:type="dxa"/>
            <w:vMerge w:val="continue"/>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01"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原材料</w:t>
            </w:r>
          </w:p>
        </w:tc>
        <w:tc>
          <w:tcPr>
            <w:tcW w:w="1368" w:type="dxa"/>
            <w:tcBorders>
              <w:top w:val="single" w:color="auto" w:sz="4" w:space="0"/>
              <w:left w:val="single" w:color="auto" w:sz="4" w:space="0"/>
              <w:bottom w:val="single" w:color="auto" w:sz="4" w:space="0"/>
              <w:right w:val="single" w:color="auto" w:sz="4" w:space="0"/>
            </w:tcBorders>
            <w:vAlign w:val="center"/>
          </w:tcPr>
          <w:p>
            <w:pPr>
              <w:ind w:right="5"/>
              <w:jc w:val="right"/>
              <w:rPr>
                <w:szCs w:val="21"/>
              </w:rPr>
            </w:pPr>
            <w:r>
              <w:rPr>
                <w:rFonts w:hint="eastAsia"/>
                <w:color w:val="auto"/>
                <w:szCs w:val="21"/>
              </w:rPr>
              <w:t>575,384.91</w:t>
            </w:r>
          </w:p>
        </w:tc>
        <w:tc>
          <w:tcPr>
            <w:tcW w:w="140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403,795.14</w:t>
            </w:r>
          </w:p>
        </w:tc>
        <w:tc>
          <w:tcPr>
            <w:tcW w:w="1063"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32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271,812.71</w:t>
            </w:r>
          </w:p>
        </w:tc>
        <w:tc>
          <w:tcPr>
            <w:tcW w:w="1012"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363" w:type="dxa"/>
            <w:tcBorders>
              <w:top w:val="single" w:color="auto" w:sz="4" w:space="0"/>
              <w:left w:val="single" w:color="auto" w:sz="4" w:space="0"/>
              <w:bottom w:val="single" w:color="auto" w:sz="4" w:space="0"/>
              <w:right w:val="single" w:color="auto" w:sz="4" w:space="0"/>
            </w:tcBorders>
            <w:vAlign w:val="center"/>
          </w:tcPr>
          <w:p>
            <w:pPr>
              <w:ind w:right="5"/>
              <w:jc w:val="right"/>
              <w:rPr>
                <w:szCs w:val="21"/>
              </w:rPr>
            </w:pPr>
            <w:r>
              <w:rPr>
                <w:rFonts w:hint="eastAsia"/>
                <w:color w:val="auto"/>
                <w:szCs w:val="21"/>
              </w:rPr>
              <w:t>707,367.34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01"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库存商品</w:t>
            </w:r>
          </w:p>
        </w:tc>
        <w:tc>
          <w:tcPr>
            <w:tcW w:w="1368" w:type="dxa"/>
            <w:tcBorders>
              <w:top w:val="single" w:color="auto" w:sz="4" w:space="0"/>
              <w:left w:val="single" w:color="auto" w:sz="4" w:space="0"/>
              <w:bottom w:val="single" w:color="auto" w:sz="4" w:space="0"/>
              <w:right w:val="single" w:color="auto" w:sz="4" w:space="0"/>
            </w:tcBorders>
            <w:vAlign w:val="center"/>
          </w:tcPr>
          <w:p>
            <w:pPr>
              <w:ind w:right="5"/>
              <w:jc w:val="right"/>
              <w:rPr>
                <w:szCs w:val="21"/>
              </w:rPr>
            </w:pPr>
            <w:r>
              <w:rPr>
                <w:rFonts w:hint="eastAsia"/>
                <w:color w:val="auto"/>
                <w:szCs w:val="21"/>
              </w:rPr>
              <w:t>2,291,542.49</w:t>
            </w:r>
          </w:p>
        </w:tc>
        <w:tc>
          <w:tcPr>
            <w:tcW w:w="140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1,767,732.51</w:t>
            </w:r>
          </w:p>
        </w:tc>
        <w:tc>
          <w:tcPr>
            <w:tcW w:w="1063"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32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1,167,002.34</w:t>
            </w:r>
          </w:p>
        </w:tc>
        <w:tc>
          <w:tcPr>
            <w:tcW w:w="1012" w:type="dxa"/>
            <w:tcBorders>
              <w:left w:val="single" w:color="auto" w:sz="4" w:space="0"/>
              <w:right w:val="single" w:color="auto" w:sz="4" w:space="0"/>
            </w:tcBorders>
            <w:vAlign w:val="center"/>
          </w:tcPr>
          <w:p>
            <w:pPr>
              <w:jc w:val="right"/>
              <w:rPr>
                <w:szCs w:val="21"/>
              </w:rPr>
            </w:pPr>
          </w:p>
        </w:tc>
        <w:tc>
          <w:tcPr>
            <w:tcW w:w="1363" w:type="dxa"/>
            <w:tcBorders>
              <w:top w:val="single" w:color="auto" w:sz="4" w:space="0"/>
              <w:left w:val="single" w:color="auto" w:sz="4" w:space="0"/>
              <w:bottom w:val="single" w:color="auto" w:sz="4" w:space="0"/>
              <w:right w:val="single" w:color="auto" w:sz="4" w:space="0"/>
            </w:tcBorders>
            <w:vAlign w:val="center"/>
          </w:tcPr>
          <w:p>
            <w:pPr>
              <w:ind w:right="5"/>
              <w:jc w:val="right"/>
              <w:rPr>
                <w:szCs w:val="21"/>
              </w:rPr>
            </w:pPr>
            <w:r>
              <w:rPr>
                <w:rFonts w:hint="eastAsia"/>
                <w:color w:val="auto"/>
                <w:szCs w:val="21"/>
              </w:rPr>
              <w:t>2,892,272.66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01"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周转材料</w:t>
            </w:r>
          </w:p>
        </w:tc>
        <w:tc>
          <w:tcPr>
            <w:tcW w:w="1368" w:type="dxa"/>
            <w:tcBorders>
              <w:top w:val="single" w:color="auto" w:sz="4" w:space="0"/>
              <w:left w:val="single" w:color="auto" w:sz="4" w:space="0"/>
              <w:bottom w:val="single" w:color="auto" w:sz="4" w:space="0"/>
              <w:right w:val="single" w:color="auto" w:sz="4" w:space="0"/>
            </w:tcBorders>
            <w:vAlign w:val="center"/>
          </w:tcPr>
          <w:p>
            <w:pPr>
              <w:ind w:right="5"/>
              <w:jc w:val="right"/>
              <w:rPr>
                <w:szCs w:val="21"/>
              </w:rPr>
            </w:pPr>
            <w:r>
              <w:rPr>
                <w:rFonts w:hint="eastAsia"/>
                <w:color w:val="auto"/>
                <w:szCs w:val="21"/>
              </w:rPr>
              <w:t>90,621.72</w:t>
            </w:r>
          </w:p>
        </w:tc>
        <w:tc>
          <w:tcPr>
            <w:tcW w:w="140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13,719.93</w:t>
            </w:r>
          </w:p>
        </w:tc>
        <w:tc>
          <w:tcPr>
            <w:tcW w:w="1063"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32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58,064.13</w:t>
            </w:r>
          </w:p>
        </w:tc>
        <w:tc>
          <w:tcPr>
            <w:tcW w:w="1012" w:type="dxa"/>
            <w:tcBorders>
              <w:left w:val="single" w:color="auto" w:sz="4" w:space="0"/>
              <w:right w:val="single" w:color="auto" w:sz="4" w:space="0"/>
            </w:tcBorders>
            <w:vAlign w:val="center"/>
          </w:tcPr>
          <w:p>
            <w:pPr>
              <w:jc w:val="right"/>
              <w:rPr>
                <w:szCs w:val="21"/>
              </w:rPr>
            </w:pPr>
          </w:p>
        </w:tc>
        <w:tc>
          <w:tcPr>
            <w:tcW w:w="136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46,277.52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01" w:type="dxa"/>
            <w:tcBorders>
              <w:top w:val="single" w:color="auto" w:sz="4" w:space="0"/>
              <w:left w:val="single" w:color="auto" w:sz="4" w:space="0"/>
              <w:bottom w:val="single" w:color="auto" w:sz="4" w:space="0"/>
              <w:right w:val="single" w:color="auto" w:sz="4" w:space="0"/>
            </w:tcBorders>
            <w:vAlign w:val="center"/>
          </w:tcPr>
          <w:sdt>
            <w:sdtPr>
              <w:tag w:val="_PLD_362bf96317fb4a899426ae32edb8eb8e"/>
              <w:id w:val="6997"/>
            </w:sdtPr>
            <w:sdtContent>
              <w:p>
                <w:pPr>
                  <w:rPr>
                    <w:szCs w:val="21"/>
                  </w:rPr>
                </w:pPr>
                <w:r>
                  <w:rPr>
                    <w:rFonts w:hint="eastAsia"/>
                    <w:szCs w:val="21"/>
                  </w:rPr>
                  <w:t>发出商品</w:t>
                </w:r>
              </w:p>
            </w:sdtContent>
          </w:sdt>
        </w:tc>
        <w:tc>
          <w:tcPr>
            <w:tcW w:w="1368" w:type="dxa"/>
            <w:tcBorders>
              <w:top w:val="single" w:color="auto" w:sz="4" w:space="0"/>
              <w:left w:val="single" w:color="auto" w:sz="4" w:space="0"/>
              <w:bottom w:val="single" w:color="auto" w:sz="4" w:space="0"/>
              <w:right w:val="single" w:color="auto" w:sz="4" w:space="0"/>
            </w:tcBorders>
            <w:vAlign w:val="center"/>
          </w:tcPr>
          <w:p>
            <w:pPr>
              <w:ind w:right="5"/>
              <w:jc w:val="right"/>
              <w:rPr>
                <w:szCs w:val="21"/>
              </w:rPr>
            </w:pPr>
            <w:r>
              <w:rPr>
                <w:rFonts w:hint="eastAsia"/>
                <w:color w:val="auto"/>
                <w:szCs w:val="21"/>
              </w:rPr>
              <w:t>350,164.58</w:t>
            </w:r>
          </w:p>
        </w:tc>
        <w:tc>
          <w:tcPr>
            <w:tcW w:w="1409"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063"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32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28,464.24</w:t>
            </w:r>
          </w:p>
        </w:tc>
        <w:tc>
          <w:tcPr>
            <w:tcW w:w="1012" w:type="dxa"/>
            <w:tcBorders>
              <w:left w:val="single" w:color="auto" w:sz="4" w:space="0"/>
              <w:right w:val="single" w:color="auto" w:sz="4" w:space="0"/>
            </w:tcBorders>
            <w:vAlign w:val="center"/>
          </w:tcPr>
          <w:p>
            <w:pPr>
              <w:jc w:val="right"/>
              <w:rPr>
                <w:szCs w:val="21"/>
              </w:rPr>
            </w:pPr>
          </w:p>
        </w:tc>
        <w:tc>
          <w:tcPr>
            <w:tcW w:w="136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321,700.34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01" w:type="dxa"/>
            <w:tcBorders>
              <w:top w:val="single" w:color="auto" w:sz="4" w:space="0"/>
              <w:left w:val="single" w:color="auto" w:sz="4" w:space="0"/>
              <w:bottom w:val="single" w:color="auto" w:sz="4" w:space="0"/>
              <w:right w:val="single" w:color="auto" w:sz="4" w:space="0"/>
            </w:tcBorders>
            <w:vAlign w:val="center"/>
          </w:tcPr>
          <w:sdt>
            <w:sdtPr>
              <w:tag w:val="_PLD_fb8d31487bc54ce3a5a05869f4dc39da"/>
              <w:id w:val="6998"/>
            </w:sdtPr>
            <w:sdtContent>
              <w:p>
                <w:r>
                  <w:rPr>
                    <w:rFonts w:hint="eastAsia"/>
                  </w:rPr>
                  <w:t>委托加工物资</w:t>
                </w:r>
              </w:p>
            </w:sdtContent>
          </w:sdt>
        </w:tc>
        <w:tc>
          <w:tcPr>
            <w:tcW w:w="1368" w:type="dxa"/>
            <w:tcBorders>
              <w:top w:val="single" w:color="auto" w:sz="4" w:space="0"/>
              <w:left w:val="single" w:color="auto" w:sz="4" w:space="0"/>
              <w:bottom w:val="single" w:color="auto" w:sz="4" w:space="0"/>
              <w:right w:val="single" w:color="auto" w:sz="4" w:space="0"/>
            </w:tcBorders>
            <w:vAlign w:val="center"/>
          </w:tcPr>
          <w:p>
            <w:pPr>
              <w:ind w:right="5"/>
              <w:jc w:val="right"/>
              <w:rPr>
                <w:szCs w:val="21"/>
              </w:rPr>
            </w:pPr>
            <w:r>
              <w:rPr>
                <w:rFonts w:hint="eastAsia"/>
                <w:color w:val="auto"/>
              </w:rPr>
              <w:t>195,199.97</w:t>
            </w:r>
          </w:p>
        </w:tc>
        <w:tc>
          <w:tcPr>
            <w:tcW w:w="140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73,361.15</w:t>
            </w:r>
          </w:p>
        </w:tc>
        <w:tc>
          <w:tcPr>
            <w:tcW w:w="1063"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328"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012" w:type="dxa"/>
            <w:tcBorders>
              <w:left w:val="single" w:color="auto" w:sz="4" w:space="0"/>
              <w:right w:val="single" w:color="auto" w:sz="4" w:space="0"/>
            </w:tcBorders>
            <w:vAlign w:val="center"/>
          </w:tcPr>
          <w:p>
            <w:pPr>
              <w:jc w:val="right"/>
              <w:rPr>
                <w:szCs w:val="21"/>
              </w:rPr>
            </w:pPr>
          </w:p>
        </w:tc>
        <w:tc>
          <w:tcPr>
            <w:tcW w:w="136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268,561.12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01"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合计</w:t>
            </w:r>
          </w:p>
        </w:tc>
        <w:tc>
          <w:tcPr>
            <w:tcW w:w="1368" w:type="dxa"/>
            <w:tcBorders>
              <w:top w:val="single" w:color="auto" w:sz="4" w:space="0"/>
              <w:left w:val="single" w:color="auto" w:sz="4" w:space="0"/>
              <w:bottom w:val="single" w:color="auto" w:sz="4" w:space="0"/>
              <w:right w:val="single" w:color="auto" w:sz="4" w:space="0"/>
            </w:tcBorders>
            <w:vAlign w:val="center"/>
          </w:tcPr>
          <w:p>
            <w:pPr>
              <w:ind w:right="5"/>
              <w:jc w:val="right"/>
              <w:rPr>
                <w:szCs w:val="21"/>
              </w:rPr>
            </w:pPr>
            <w:r>
              <w:rPr>
                <w:rFonts w:hint="eastAsia"/>
                <w:color w:val="auto"/>
                <w:szCs w:val="21"/>
              </w:rPr>
              <w:t>3,502,913.67</w:t>
            </w:r>
          </w:p>
        </w:tc>
        <w:tc>
          <w:tcPr>
            <w:tcW w:w="140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2,258,608.73</w:t>
            </w:r>
          </w:p>
        </w:tc>
        <w:tc>
          <w:tcPr>
            <w:tcW w:w="1063"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32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1,525,343.42</w:t>
            </w:r>
          </w:p>
        </w:tc>
        <w:tc>
          <w:tcPr>
            <w:tcW w:w="1012" w:type="dxa"/>
            <w:tcBorders>
              <w:left w:val="single" w:color="auto" w:sz="4" w:space="0"/>
              <w:bottom w:val="single" w:color="auto" w:sz="4" w:space="0"/>
              <w:right w:val="single" w:color="auto" w:sz="4" w:space="0"/>
            </w:tcBorders>
            <w:vAlign w:val="center"/>
          </w:tcPr>
          <w:p>
            <w:pPr>
              <w:jc w:val="right"/>
              <w:rPr>
                <w:szCs w:val="21"/>
              </w:rPr>
            </w:pPr>
          </w:p>
        </w:tc>
        <w:tc>
          <w:tcPr>
            <w:tcW w:w="1363" w:type="dxa"/>
            <w:tcBorders>
              <w:top w:val="single" w:color="auto" w:sz="4" w:space="0"/>
              <w:left w:val="single" w:color="auto" w:sz="4" w:space="0"/>
              <w:bottom w:val="single" w:color="auto" w:sz="4" w:space="0"/>
              <w:right w:val="single" w:color="auto" w:sz="4" w:space="0"/>
            </w:tcBorders>
            <w:vAlign w:val="center"/>
          </w:tcPr>
          <w:p>
            <w:pPr>
              <w:ind w:right="5"/>
              <w:jc w:val="right"/>
              <w:rPr>
                <w:szCs w:val="21"/>
              </w:rPr>
            </w:pPr>
            <w:r>
              <w:rPr>
                <w:rFonts w:hint="eastAsia"/>
                <w:color w:val="auto"/>
                <w:szCs w:val="21"/>
              </w:rPr>
              <w:t>4,236,178.98</w:t>
            </w:r>
          </w:p>
        </w:tc>
      </w:tr>
    </w:tbl>
    <w:p/>
    <w:bookmarkEnd w:id="261"/>
    <w:p>
      <w:r>
        <w:t>本期转回或转销存货跌价准备的原因</w:t>
      </w:r>
    </w:p>
    <w:sdt>
      <w:sdtPr>
        <w:rPr>
          <w:szCs w:val="21"/>
        </w:rPr>
        <w:alias w:val="是否适用：本期转回或转销存货跌价准备的原因[双击切换]"/>
        <w:tag w:val="_GBC_91edca895f07450c8e82d2352caede25"/>
        <w:id w:val="6999"/>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ascii="宋体" w:hAnsi="宋体" w:eastAsia="宋体" w:cs="宋体"/>
          <w:sz w:val="21"/>
          <w:szCs w:val="21"/>
        </w:rPr>
        <w:alias w:val="本期转回或转销存货跌价准备的原因"/>
        <w:tag w:val="_GBC_fbdc95fc52944622930b173756172429"/>
        <w:id w:val="7000"/>
        <w:placeholder>
          <w:docPart w:val="GBC22222222222222222222222222222"/>
        </w:placeholder>
      </w:sdtPr>
      <w:sdtEndPr>
        <w:rPr>
          <w:rFonts w:hint="eastAsia" w:ascii="宋体" w:hAnsi="宋体" w:eastAsia="宋体" w:cs="宋体"/>
          <w:sz w:val="21"/>
          <w:szCs w:val="21"/>
        </w:rPr>
      </w:sdtEndPr>
      <w:sdtContent>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5"/>
            <w:gridCol w:w="5748"/>
            <w:gridCol w:w="2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pct"/>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宋体" w:hAnsi="宋体" w:eastAsia="宋体" w:cs="宋体"/>
                    <w:sz w:val="21"/>
                    <w:szCs w:val="21"/>
                  </w:rPr>
                </w:pPr>
                <w:r>
                  <w:rPr>
                    <w:rFonts w:hint="eastAsia" w:ascii="宋体" w:hAnsi="宋体" w:eastAsia="宋体" w:cs="宋体"/>
                    <w:sz w:val="21"/>
                    <w:szCs w:val="21"/>
                  </w:rPr>
                  <w:t>项目</w:t>
                </w:r>
              </w:p>
            </w:tc>
            <w:tc>
              <w:tcPr>
                <w:tcW w:w="3176" w:type="pct"/>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宋体" w:hAnsi="宋体" w:eastAsia="宋体" w:cs="宋体"/>
                    <w:sz w:val="21"/>
                    <w:szCs w:val="21"/>
                  </w:rPr>
                </w:pPr>
                <w:r>
                  <w:rPr>
                    <w:rFonts w:hint="eastAsia" w:ascii="宋体" w:hAnsi="宋体" w:eastAsia="宋体" w:cs="宋体"/>
                    <w:sz w:val="21"/>
                    <w:szCs w:val="21"/>
                  </w:rPr>
                  <w:t>确定可变现净值的具体依据</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宋体" w:hAnsi="宋体" w:eastAsia="宋体" w:cs="宋体"/>
                    <w:sz w:val="21"/>
                    <w:szCs w:val="21"/>
                  </w:rPr>
                </w:pPr>
                <w:r>
                  <w:rPr>
                    <w:rFonts w:hint="eastAsia" w:ascii="宋体" w:hAnsi="宋体" w:eastAsia="宋体" w:cs="宋体"/>
                    <w:sz w:val="21"/>
                    <w:szCs w:val="21"/>
                  </w:rPr>
                  <w:t>本期转销存货跌价准备的</w:t>
                </w:r>
              </w:p>
              <w:p>
                <w:pPr>
                  <w:widowControl w:val="0"/>
                  <w:jc w:val="center"/>
                  <w:rPr>
                    <w:rFonts w:hint="eastAsia" w:ascii="宋体" w:hAnsi="宋体" w:eastAsia="宋体" w:cs="宋体"/>
                    <w:sz w:val="21"/>
                    <w:szCs w:val="21"/>
                  </w:rPr>
                </w:pPr>
                <w:r>
                  <w:rPr>
                    <w:rFonts w:hint="eastAsia" w:ascii="宋体" w:hAnsi="宋体" w:eastAsia="宋体" w:cs="宋体"/>
                    <w:sz w:val="21"/>
                    <w:szCs w:val="21"/>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pct"/>
                <w:tcBorders>
                  <w:top w:val="single" w:color="auto" w:sz="4" w:space="0"/>
                  <w:left w:val="single" w:color="auto" w:sz="4" w:space="0"/>
                  <w:bottom w:val="single" w:color="auto" w:sz="4" w:space="0"/>
                  <w:right w:val="single" w:color="auto" w:sz="4" w:space="0"/>
                </w:tcBorders>
                <w:vAlign w:val="center"/>
              </w:tcPr>
              <w:p>
                <w:pPr>
                  <w:widowControl w:val="0"/>
                  <w:jc w:val="both"/>
                  <w:rPr>
                    <w:rFonts w:hint="eastAsia" w:ascii="宋体" w:hAnsi="宋体" w:eastAsia="宋体" w:cs="宋体"/>
                    <w:sz w:val="21"/>
                    <w:szCs w:val="21"/>
                  </w:rPr>
                </w:pPr>
                <w:r>
                  <w:rPr>
                    <w:rFonts w:hint="eastAsia" w:ascii="宋体" w:hAnsi="宋体" w:eastAsia="宋体" w:cs="宋体"/>
                    <w:sz w:val="21"/>
                    <w:szCs w:val="21"/>
                  </w:rPr>
                  <w:t>原材料</w:t>
                </w:r>
              </w:p>
            </w:tc>
            <w:tc>
              <w:tcPr>
                <w:tcW w:w="3176" w:type="pct"/>
                <w:tcBorders>
                  <w:top w:val="single" w:color="auto" w:sz="4" w:space="0"/>
                  <w:left w:val="single" w:color="auto" w:sz="4" w:space="0"/>
                  <w:bottom w:val="single" w:color="auto" w:sz="4" w:space="0"/>
                  <w:right w:val="single" w:color="auto" w:sz="4" w:space="0"/>
                </w:tcBorders>
                <w:vAlign w:val="center"/>
              </w:tcPr>
              <w:p>
                <w:pPr>
                  <w:widowControl w:val="0"/>
                  <w:jc w:val="both"/>
                  <w:rPr>
                    <w:rFonts w:hint="eastAsia" w:ascii="宋体" w:hAnsi="宋体" w:eastAsia="宋体" w:cs="宋体"/>
                    <w:sz w:val="21"/>
                    <w:szCs w:val="21"/>
                  </w:rPr>
                </w:pPr>
                <w:r>
                  <w:rPr>
                    <w:rFonts w:hint="eastAsia" w:ascii="宋体" w:hAnsi="宋体" w:eastAsia="宋体" w:cs="宋体"/>
                    <w:sz w:val="21"/>
                    <w:szCs w:val="21"/>
                  </w:rPr>
                  <w:t>估计售价减去至完工时估计将要发生的成本、估计的销售费用和相关税费后的金额</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宋体" w:hAnsi="宋体" w:eastAsia="宋体" w:cs="宋体"/>
                    <w:sz w:val="21"/>
                    <w:szCs w:val="21"/>
                  </w:rPr>
                </w:pPr>
                <w:r>
                  <w:rPr>
                    <w:rFonts w:hint="eastAsia" w:ascii="宋体" w:hAnsi="宋体" w:eastAsia="宋体" w:cs="宋体"/>
                    <w:sz w:val="21"/>
                    <w:szCs w:val="21"/>
                  </w:rPr>
                  <w:t>报废或销售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pct"/>
                <w:tcBorders>
                  <w:top w:val="single" w:color="auto" w:sz="4" w:space="0"/>
                  <w:left w:val="single" w:color="auto" w:sz="4" w:space="0"/>
                  <w:bottom w:val="single" w:color="auto" w:sz="4" w:space="0"/>
                  <w:right w:val="single" w:color="auto" w:sz="4" w:space="0"/>
                </w:tcBorders>
                <w:vAlign w:val="center"/>
              </w:tcPr>
              <w:p>
                <w:pPr>
                  <w:widowControl w:val="0"/>
                  <w:jc w:val="both"/>
                  <w:rPr>
                    <w:rFonts w:hint="eastAsia" w:ascii="宋体" w:hAnsi="宋体" w:eastAsia="宋体" w:cs="宋体"/>
                    <w:sz w:val="21"/>
                    <w:szCs w:val="21"/>
                  </w:rPr>
                </w:pPr>
                <w:r>
                  <w:rPr>
                    <w:rFonts w:hint="eastAsia" w:ascii="宋体" w:hAnsi="宋体" w:eastAsia="宋体" w:cs="宋体"/>
                    <w:sz w:val="21"/>
                    <w:szCs w:val="21"/>
                  </w:rPr>
                  <w:t>库存商品</w:t>
                </w:r>
              </w:p>
            </w:tc>
            <w:tc>
              <w:tcPr>
                <w:tcW w:w="3176" w:type="pct"/>
                <w:tcBorders>
                  <w:top w:val="single" w:color="auto" w:sz="4" w:space="0"/>
                  <w:left w:val="single" w:color="auto" w:sz="4" w:space="0"/>
                  <w:bottom w:val="single" w:color="auto" w:sz="4" w:space="0"/>
                  <w:right w:val="single" w:color="auto" w:sz="4" w:space="0"/>
                </w:tcBorders>
                <w:vAlign w:val="center"/>
              </w:tcPr>
              <w:p>
                <w:pPr>
                  <w:widowControl w:val="0"/>
                  <w:jc w:val="both"/>
                  <w:rPr>
                    <w:rFonts w:hint="eastAsia" w:ascii="宋体" w:hAnsi="宋体" w:eastAsia="宋体" w:cs="宋体"/>
                    <w:sz w:val="21"/>
                    <w:szCs w:val="21"/>
                  </w:rPr>
                </w:pPr>
                <w:r>
                  <w:rPr>
                    <w:rFonts w:hint="eastAsia" w:ascii="宋体" w:hAnsi="宋体" w:eastAsia="宋体" w:cs="宋体"/>
                    <w:sz w:val="21"/>
                    <w:szCs w:val="21"/>
                  </w:rPr>
                  <w:t>估计售价减去至完工时估计将要发生的成本、估计的销售费用和相关税费后的金额</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宋体" w:hAnsi="宋体" w:eastAsia="宋体" w:cs="宋体"/>
                    <w:sz w:val="21"/>
                    <w:szCs w:val="21"/>
                  </w:rPr>
                </w:pPr>
                <w:r>
                  <w:rPr>
                    <w:rFonts w:hint="eastAsia" w:ascii="宋体" w:hAnsi="宋体" w:eastAsia="宋体" w:cs="宋体"/>
                    <w:sz w:val="21"/>
                    <w:szCs w:val="21"/>
                  </w:rPr>
                  <w:t>报废或销售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pct"/>
                <w:tcBorders>
                  <w:top w:val="single" w:color="auto" w:sz="4" w:space="0"/>
                  <w:left w:val="single" w:color="auto" w:sz="4" w:space="0"/>
                  <w:bottom w:val="single" w:color="auto" w:sz="4" w:space="0"/>
                  <w:right w:val="single" w:color="auto" w:sz="4" w:space="0"/>
                </w:tcBorders>
                <w:vAlign w:val="center"/>
              </w:tcPr>
              <w:p>
                <w:pPr>
                  <w:widowControl w:val="0"/>
                  <w:jc w:val="both"/>
                  <w:rPr>
                    <w:rFonts w:hint="eastAsia" w:ascii="宋体" w:hAnsi="宋体" w:eastAsia="宋体" w:cs="宋体"/>
                    <w:sz w:val="21"/>
                    <w:szCs w:val="21"/>
                  </w:rPr>
                </w:pPr>
                <w:r>
                  <w:rPr>
                    <w:rFonts w:hint="eastAsia" w:ascii="宋体" w:hAnsi="宋体" w:eastAsia="宋体" w:cs="宋体"/>
                    <w:sz w:val="21"/>
                    <w:szCs w:val="21"/>
                  </w:rPr>
                  <w:t>周转材料</w:t>
                </w:r>
              </w:p>
            </w:tc>
            <w:tc>
              <w:tcPr>
                <w:tcW w:w="3176" w:type="pct"/>
                <w:tcBorders>
                  <w:top w:val="single" w:color="auto" w:sz="4" w:space="0"/>
                  <w:left w:val="single" w:color="auto" w:sz="4" w:space="0"/>
                  <w:bottom w:val="single" w:color="auto" w:sz="4" w:space="0"/>
                  <w:right w:val="single" w:color="auto" w:sz="4" w:space="0"/>
                </w:tcBorders>
                <w:vAlign w:val="center"/>
              </w:tcPr>
              <w:p>
                <w:pPr>
                  <w:widowControl w:val="0"/>
                  <w:jc w:val="both"/>
                  <w:rPr>
                    <w:rFonts w:hint="eastAsia" w:ascii="宋体" w:hAnsi="宋体" w:eastAsia="宋体" w:cs="宋体"/>
                    <w:sz w:val="21"/>
                    <w:szCs w:val="21"/>
                  </w:rPr>
                </w:pPr>
                <w:r>
                  <w:rPr>
                    <w:rFonts w:hint="eastAsia" w:ascii="宋体" w:hAnsi="宋体" w:eastAsia="宋体" w:cs="宋体"/>
                    <w:sz w:val="21"/>
                    <w:szCs w:val="21"/>
                  </w:rPr>
                  <w:t>估计售价减去至完工时估计将要发生的成本、估计的销售费用和相关税费后的金额</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宋体" w:hAnsi="宋体" w:eastAsia="宋体" w:cs="宋体"/>
                    <w:sz w:val="21"/>
                    <w:szCs w:val="21"/>
                  </w:rPr>
                </w:pPr>
                <w:r>
                  <w:rPr>
                    <w:rFonts w:hint="eastAsia" w:ascii="宋体" w:hAnsi="宋体" w:eastAsia="宋体" w:cs="宋体"/>
                    <w:sz w:val="21"/>
                    <w:szCs w:val="21"/>
                  </w:rPr>
                  <w:t>报废或销售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pct"/>
                <w:tcBorders>
                  <w:top w:val="single" w:color="auto" w:sz="4" w:space="0"/>
                  <w:left w:val="single" w:color="auto" w:sz="4" w:space="0"/>
                  <w:bottom w:val="single" w:color="auto" w:sz="4" w:space="0"/>
                  <w:right w:val="single" w:color="auto" w:sz="4" w:space="0"/>
                </w:tcBorders>
                <w:vAlign w:val="center"/>
              </w:tcPr>
              <w:p>
                <w:pPr>
                  <w:widowControl w:val="0"/>
                  <w:jc w:val="both"/>
                  <w:rPr>
                    <w:rFonts w:hint="eastAsia" w:ascii="宋体" w:hAnsi="宋体" w:eastAsia="宋体" w:cs="宋体"/>
                    <w:sz w:val="21"/>
                    <w:szCs w:val="21"/>
                  </w:rPr>
                </w:pPr>
                <w:r>
                  <w:rPr>
                    <w:rFonts w:hint="eastAsia" w:ascii="宋体" w:hAnsi="宋体" w:eastAsia="宋体" w:cs="宋体"/>
                    <w:sz w:val="21"/>
                    <w:szCs w:val="21"/>
                  </w:rPr>
                  <w:t>发出商品</w:t>
                </w:r>
              </w:p>
            </w:tc>
            <w:tc>
              <w:tcPr>
                <w:tcW w:w="3176" w:type="pct"/>
                <w:tcBorders>
                  <w:top w:val="single" w:color="auto" w:sz="4" w:space="0"/>
                  <w:left w:val="single" w:color="auto" w:sz="4" w:space="0"/>
                  <w:bottom w:val="single" w:color="auto" w:sz="4" w:space="0"/>
                  <w:right w:val="single" w:color="auto" w:sz="4" w:space="0"/>
                </w:tcBorders>
                <w:vAlign w:val="center"/>
              </w:tcPr>
              <w:p>
                <w:pPr>
                  <w:widowControl w:val="0"/>
                  <w:jc w:val="both"/>
                  <w:rPr>
                    <w:rFonts w:hint="eastAsia" w:ascii="宋体" w:hAnsi="宋体" w:eastAsia="宋体" w:cs="宋体"/>
                    <w:sz w:val="21"/>
                    <w:szCs w:val="21"/>
                  </w:rPr>
                </w:pPr>
                <w:r>
                  <w:rPr>
                    <w:rFonts w:hint="eastAsia" w:ascii="宋体" w:hAnsi="宋体" w:eastAsia="宋体" w:cs="宋体"/>
                    <w:sz w:val="21"/>
                    <w:szCs w:val="21"/>
                  </w:rPr>
                  <w:t>估计售价减去至完工时估计将要发生的成本、估计的销售费用和相关税费后的金额</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宋体" w:hAnsi="宋体" w:eastAsia="宋体" w:cs="宋体"/>
                    <w:sz w:val="21"/>
                    <w:szCs w:val="21"/>
                  </w:rPr>
                </w:pPr>
                <w:r>
                  <w:rPr>
                    <w:rFonts w:hint="eastAsia" w:ascii="宋体" w:hAnsi="宋体" w:eastAsia="宋体" w:cs="宋体"/>
                    <w:sz w:val="21"/>
                    <w:szCs w:val="21"/>
                  </w:rPr>
                  <w:t>报废或销售</w:t>
                </w:r>
              </w:p>
            </w:tc>
          </w:tr>
        </w:tbl>
      </w:sdtContent>
    </w:sdt>
    <w:p>
      <w:pPr>
        <w:rPr>
          <w:rFonts w:hint="eastAsia" w:ascii="宋体" w:hAnsi="宋体" w:eastAsia="宋体" w:cs="宋体"/>
          <w:sz w:val="21"/>
          <w:szCs w:val="21"/>
        </w:rPr>
      </w:pPr>
    </w:p>
    <w:p>
      <w:r>
        <w:rPr>
          <w:rFonts w:hint="eastAsia"/>
        </w:rPr>
        <w:t>按组合计提存货跌价准备</w:t>
      </w:r>
    </w:p>
    <w:sdt>
      <w:sdtPr>
        <w:alias w:val="是否适用：按组合计提存货跌价准备[双击切换]"/>
        <w:tag w:val="_GBC_7654282f8cf847d8a55f8274afb7a726"/>
        <w:id w:val="7001"/>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rPr>
          <w:rFonts w:hint="eastAsia"/>
        </w:rPr>
        <w:t>按组合计提存货跌价准备的计提标准</w:t>
      </w:r>
    </w:p>
    <w:sdt>
      <w:sdtPr>
        <w:alias w:val="是否适用：按组合计提存货跌价准备的计提标准[双击切换]"/>
        <w:tag w:val="_GBC_5ff59a2951ec4f938d7af938cd197e63"/>
        <w:id w:val="7002"/>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
        <w:numPr>
          <w:ilvl w:val="3"/>
          <w:numId w:val="71"/>
        </w:numPr>
        <w:ind w:left="426" w:hanging="426"/>
        <w:rPr>
          <w:rFonts w:hint="eastAsia"/>
        </w:rPr>
      </w:pPr>
      <w:r>
        <w:rPr>
          <w:rFonts w:hint="eastAsia"/>
        </w:rPr>
        <w:t>存货期末余额含有的借款费用资本化金额及其计算标准和依据</w:t>
      </w:r>
    </w:p>
    <w:sdt>
      <w:sdtPr>
        <w:rPr>
          <w:rFonts w:hint="eastAsia"/>
        </w:rPr>
        <w:alias w:val="是否适用：存货期末余额含有借款费用资本化金额的说明[双击切换]"/>
        <w:tag w:val="_GBC_ff19f47f98f34678926b471a6f0d6b3f"/>
        <w:id w:val="7003"/>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
        <w:numPr>
          <w:ilvl w:val="3"/>
          <w:numId w:val="71"/>
        </w:numPr>
        <w:ind w:left="426" w:hanging="426"/>
        <w:rPr>
          <w:rFonts w:hint="eastAsia"/>
        </w:rPr>
      </w:pPr>
      <w:r>
        <w:rPr>
          <w:rFonts w:hint="eastAsia"/>
        </w:rPr>
        <w:t>合同履约成本本期摊销金额的说明</w:t>
      </w:r>
    </w:p>
    <w:sdt>
      <w:sdtPr>
        <w:alias w:val="是否适用：合同履约成本本期摊销金额的说明[双击切换]"/>
        <w:tag w:val="_GBC_7532d5a15e3d45fa8d69ad2921659b13"/>
        <w:id w:val="7004"/>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rPr>
          <w:rFonts w:hint="eastAsia"/>
        </w:rPr>
        <w:t>其他说明：</w:t>
      </w:r>
    </w:p>
    <w:sdt>
      <w:sdtPr>
        <w:rPr>
          <w:rFonts w:hint="eastAsia"/>
        </w:rPr>
        <w:alias w:val="是否适用：建造合同形成的已完工未结算资产的其他说明[双击切换]"/>
        <w:tag w:val="_GBC_441099179b66496e99c8de04f24782ad"/>
        <w:id w:val="7005"/>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sdt>
      <w:sdtPr>
        <w:tag w:val="_PLD_481df76f439c4448b848790d54ca4e6e"/>
        <w:id w:val="7006"/>
      </w:sdtPr>
      <w:sdtEndPr>
        <w:rPr>
          <w:rFonts w:hint="eastAsia" w:ascii="Calibri" w:hAnsi="Calibri" w:cs="Times New Roman"/>
          <w:b/>
          <w:bCs/>
          <w:kern w:val="2"/>
          <w:szCs w:val="32"/>
        </w:rPr>
      </w:sdtEndPr>
      <w:sdtContent>
        <w:p>
          <w:pPr>
            <w:pStyle w:val="4"/>
            <w:numPr>
              <w:ilvl w:val="0"/>
              <w:numId w:val="62"/>
            </w:numPr>
            <w:tabs>
              <w:tab w:val="left" w:pos="504"/>
            </w:tabs>
          </w:pPr>
          <w:bookmarkStart w:id="262" w:name="_Hlk24380621"/>
          <w:r>
            <w:rPr>
              <w:rFonts w:hint="eastAsia"/>
            </w:rPr>
            <w:t>持有待售资产</w:t>
          </w:r>
        </w:p>
      </w:sdtContent>
    </w:sdt>
    <w:sdt>
      <w:sdtPr>
        <w:alias w:val="是否适用：划分为持有待售的资产[双击切换]"/>
        <w:tag w:val="_GBC_78f2c13384374d8eb0edd5d62d86bc52"/>
        <w:id w:val="7007"/>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bookmarkEnd w:id="262"/>
    <w:p>
      <w:pPr>
        <w:pStyle w:val="4"/>
        <w:numPr>
          <w:ilvl w:val="0"/>
          <w:numId w:val="62"/>
        </w:numPr>
        <w:tabs>
          <w:tab w:val="left" w:pos="504"/>
        </w:tabs>
      </w:pPr>
      <w:bookmarkStart w:id="263" w:name="_Hlk533608872"/>
      <w:r>
        <w:rPr>
          <w:rFonts w:hint="eastAsia"/>
        </w:rPr>
        <w:t>一年内到期的非流动资产</w:t>
      </w:r>
    </w:p>
    <w:sdt>
      <w:sdtPr>
        <w:alias w:val="是否适用：一年内到期的非流动资产[双击切换]"/>
        <w:tag w:val="_GBC_ed2c28c8d4014bbb85fa424cc20fe6d7"/>
        <w:id w:val="7008"/>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ind w:right="210"/>
        <w:jc w:val="right"/>
      </w:pPr>
      <w:r>
        <w:rPr>
          <w:rFonts w:hint="eastAsia"/>
        </w:rPr>
        <w:t>单位：</w:t>
      </w:r>
      <w:sdt>
        <w:sdtPr>
          <w:rPr>
            <w:rFonts w:hint="eastAsia"/>
          </w:rPr>
          <w:alias w:val="单位：财务附注：一年内到期的非流动资产"/>
          <w:tag w:val="_GBC_f77c8d19672140bf85fc2463f9170dd6"/>
          <w:id w:val="700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财务附注：一年内到期的非流动资产"/>
          <w:tag w:val="_GBC_8556c531d1034a2b8dbccdc6ef602448"/>
          <w:id w:val="701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6"/>
        <w:gridCol w:w="2897"/>
        <w:gridCol w:w="28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6" w:type="dxa"/>
            <w:vAlign w:val="center"/>
          </w:tcPr>
          <w:sdt>
            <w:sdtPr>
              <w:tag w:val="_PLD_a40529190b0945ecb6483b84560649d2"/>
              <w:id w:val="7011"/>
            </w:sdtPr>
            <w:sdtContent>
              <w:p>
                <w:pPr>
                  <w:jc w:val="center"/>
                  <w:rPr>
                    <w:szCs w:val="21"/>
                  </w:rPr>
                </w:pPr>
                <w:r>
                  <w:rPr>
                    <w:rFonts w:hint="eastAsia"/>
                    <w:szCs w:val="21"/>
                  </w:rPr>
                  <w:t>项目</w:t>
                </w:r>
              </w:p>
            </w:sdtContent>
          </w:sdt>
        </w:tc>
        <w:tc>
          <w:tcPr>
            <w:tcW w:w="2897" w:type="dxa"/>
            <w:vAlign w:val="center"/>
          </w:tcPr>
          <w:sdt>
            <w:sdtPr>
              <w:tag w:val="_PLD_5e30d8809b4b4a148861aad7ac937cad"/>
              <w:id w:val="7012"/>
            </w:sdtPr>
            <w:sdtContent>
              <w:p>
                <w:pPr>
                  <w:jc w:val="center"/>
                  <w:rPr>
                    <w:szCs w:val="21"/>
                  </w:rPr>
                </w:pPr>
                <w:r>
                  <w:rPr>
                    <w:rFonts w:hint="eastAsia"/>
                    <w:szCs w:val="21"/>
                  </w:rPr>
                  <w:t>期末余额</w:t>
                </w:r>
              </w:p>
            </w:sdtContent>
          </w:sdt>
        </w:tc>
        <w:tc>
          <w:tcPr>
            <w:tcW w:w="2864" w:type="dxa"/>
            <w:vAlign w:val="center"/>
          </w:tcPr>
          <w:sdt>
            <w:sdtPr>
              <w:tag w:val="_PLD_a1484dda7f4045b7bee1d347a33d9d30"/>
              <w:id w:val="7013"/>
            </w:sdtPr>
            <w:sdtContent>
              <w:p>
                <w:pPr>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6" w:type="dxa"/>
            <w:vAlign w:val="center"/>
          </w:tcPr>
          <w:p>
            <w:pPr>
              <w:snapToGrid w:val="0"/>
              <w:rPr>
                <w:rFonts w:hint="eastAsia"/>
                <w:szCs w:val="21"/>
              </w:rPr>
            </w:pPr>
            <w:r>
              <w:rPr>
                <w:rFonts w:hint="eastAsia"/>
                <w:color w:val="auto"/>
              </w:rPr>
              <w:t>一年内到期的长期应收款</w:t>
            </w:r>
          </w:p>
        </w:tc>
        <w:tc>
          <w:tcPr>
            <w:tcW w:w="2897" w:type="dxa"/>
            <w:vAlign w:val="center"/>
          </w:tcPr>
          <w:p>
            <w:pPr>
              <w:snapToGrid w:val="0"/>
              <w:jc w:val="right"/>
              <w:rPr>
                <w:rFonts w:hint="eastAsia"/>
                <w:color w:val="auto"/>
              </w:rPr>
            </w:pPr>
            <w:r>
              <w:rPr>
                <w:rFonts w:hint="eastAsia"/>
                <w:color w:val="auto"/>
              </w:rPr>
              <w:t>551,240.96</w:t>
            </w:r>
          </w:p>
        </w:tc>
        <w:tc>
          <w:tcPr>
            <w:tcW w:w="2864" w:type="dxa"/>
            <w:vAlign w:val="center"/>
          </w:tcPr>
          <w:p>
            <w:pPr>
              <w:snapToGrid w:val="0"/>
              <w:jc w:val="right"/>
              <w:rPr>
                <w:rFonts w:hint="eastAsia"/>
                <w:color w:val="auto"/>
              </w:rPr>
            </w:pPr>
            <w:r>
              <w:rPr>
                <w:rFonts w:hint="eastAsia"/>
                <w:color w:val="auto"/>
              </w:rPr>
              <w:t>552,007.40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6" w:type="dxa"/>
            <w:vAlign w:val="center"/>
          </w:tcPr>
          <w:p>
            <w:pPr>
              <w:snapToGrid w:val="0"/>
              <w:ind w:left="-107" w:leftChars="-51"/>
              <w:jc w:val="center"/>
              <w:rPr>
                <w:szCs w:val="21"/>
              </w:rPr>
            </w:pPr>
            <w:r>
              <w:rPr>
                <w:rFonts w:hint="eastAsia"/>
                <w:szCs w:val="21"/>
              </w:rPr>
              <w:t>合计</w:t>
            </w:r>
          </w:p>
        </w:tc>
        <w:tc>
          <w:tcPr>
            <w:tcW w:w="2897" w:type="dxa"/>
            <w:vAlign w:val="center"/>
          </w:tcPr>
          <w:p>
            <w:pPr>
              <w:snapToGrid w:val="0"/>
              <w:jc w:val="right"/>
              <w:rPr>
                <w:rFonts w:hint="eastAsia"/>
                <w:color w:val="auto"/>
              </w:rPr>
            </w:pPr>
            <w:r>
              <w:rPr>
                <w:rFonts w:hint="eastAsia"/>
                <w:color w:val="auto"/>
              </w:rPr>
              <w:t>551,240.96</w:t>
            </w:r>
          </w:p>
        </w:tc>
        <w:tc>
          <w:tcPr>
            <w:tcW w:w="2864" w:type="dxa"/>
            <w:vAlign w:val="center"/>
          </w:tcPr>
          <w:p>
            <w:pPr>
              <w:snapToGrid w:val="0"/>
              <w:jc w:val="right"/>
              <w:rPr>
                <w:rFonts w:hint="eastAsia"/>
                <w:color w:val="auto"/>
              </w:rPr>
            </w:pPr>
            <w:r>
              <w:rPr>
                <w:rFonts w:hint="eastAsia"/>
                <w:color w:val="auto"/>
              </w:rPr>
              <w:t>552,007.40</w:t>
            </w:r>
          </w:p>
        </w:tc>
      </w:tr>
    </w:tbl>
    <w:p>
      <w:pPr>
        <w:ind w:right="210"/>
      </w:pPr>
    </w:p>
    <w:p>
      <w:pPr>
        <w:pStyle w:val="5"/>
        <w:rPr>
          <w:rFonts w:hint="eastAsia"/>
        </w:rPr>
      </w:pPr>
      <w:r>
        <w:rPr>
          <w:rFonts w:hint="eastAsia"/>
        </w:rPr>
        <w:t>一年内到期的债权投资</w:t>
      </w:r>
    </w:p>
    <w:sdt>
      <w:sdtPr>
        <w:alias w:val="是否适用：一年内到期的债权投资[双击切换]"/>
        <w:tag w:val="_GBC_21106d2d4b32436eb1949dc414c4e6e2"/>
        <w:id w:val="7014"/>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tag w:val="_PLD_ce39272eb32b440bbb361d23947f2098"/>
        <w:id w:val="7015"/>
      </w:sdtPr>
      <w:sdtContent>
        <w:p>
          <w:pPr>
            <w:pStyle w:val="5"/>
            <w:rPr>
              <w:rFonts w:hint="eastAsia"/>
            </w:rPr>
          </w:pPr>
          <w:bookmarkStart w:id="264" w:name="_Hlk153440747"/>
          <w:bookmarkEnd w:id="264"/>
          <w:bookmarkStart w:id="265" w:name="_Hlk154738040"/>
          <w:bookmarkEnd w:id="265"/>
          <w:bookmarkStart w:id="266" w:name="_Hlk153441083"/>
          <w:bookmarkEnd w:id="266"/>
          <w:r>
            <w:rPr>
              <w:rFonts w:hint="eastAsia"/>
            </w:rPr>
            <w:t>一年内到期的其他债权投资</w:t>
          </w:r>
        </w:p>
      </w:sdtContent>
    </w:sdt>
    <w:sdt>
      <w:sdtPr>
        <w:alias w:val="是否适用：一年内到期的其他债权投资[双击切换]"/>
        <w:tag w:val="_GBC_7e23007806f94dceb2b97ed0f5d1e010"/>
        <w:id w:val="7016"/>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ind w:right="210"/>
        <w:rPr>
          <w:szCs w:val="21"/>
        </w:rPr>
      </w:pPr>
      <w:bookmarkStart w:id="267" w:name="_Hlk154738128"/>
      <w:bookmarkEnd w:id="267"/>
      <w:bookmarkStart w:id="268" w:name="_Hlk153445395"/>
      <w:bookmarkEnd w:id="268"/>
      <w:bookmarkStart w:id="269" w:name="_Hlk153445318"/>
      <w:bookmarkEnd w:id="269"/>
      <w:bookmarkStart w:id="270" w:name="_Hlk153444002"/>
      <w:bookmarkEnd w:id="270"/>
      <w:bookmarkStart w:id="271" w:name="_Hlk155106775"/>
      <w:bookmarkEnd w:id="271"/>
      <w:r>
        <w:rPr>
          <w:rFonts w:hint="eastAsia"/>
        </w:rPr>
        <w:t>一年内到期的非流动资产的其他</w:t>
      </w:r>
      <w:r>
        <w:rPr>
          <w:rFonts w:hint="eastAsia"/>
          <w:szCs w:val="21"/>
        </w:rPr>
        <w:t>说明：</w:t>
      </w:r>
    </w:p>
    <w:sdt>
      <w:sdtPr>
        <w:alias w:val="一年内到期的非流动资产其他说明"/>
        <w:tag w:val="_GBC_aebddb0e62fa4ec48ab98b4bc4575935"/>
        <w:id w:val="7017"/>
        <w:placeholder>
          <w:docPart w:val="GBC22222222222222222222222222222"/>
        </w:placeholder>
      </w:sdtPr>
      <w:sdtContent>
        <w:p>
          <w:pPr>
            <w:ind w:right="210"/>
          </w:pPr>
          <w:r>
            <w:t>无</w:t>
          </w:r>
        </w:p>
      </w:sdtContent>
    </w:sdt>
    <w:p>
      <w:pPr>
        <w:ind w:right="210"/>
      </w:pPr>
    </w:p>
    <w:bookmarkEnd w:id="263"/>
    <w:sdt>
      <w:sdtPr>
        <w:tag w:val="_PLD_5f30ce7f97844a43b12764e346a1bed6"/>
        <w:id w:val="7018"/>
      </w:sdtPr>
      <w:sdtEndPr>
        <w:rPr>
          <w:rFonts w:ascii="Calibri" w:hAnsi="Calibri" w:cs="Times New Roman"/>
          <w:b/>
          <w:bCs/>
          <w:kern w:val="2"/>
          <w:szCs w:val="32"/>
        </w:rPr>
      </w:sdtEndPr>
      <w:sdtContent>
        <w:p>
          <w:pPr>
            <w:pStyle w:val="4"/>
            <w:numPr>
              <w:ilvl w:val="0"/>
              <w:numId w:val="62"/>
            </w:numPr>
            <w:tabs>
              <w:tab w:val="left" w:pos="504"/>
            </w:tabs>
          </w:pPr>
          <w:bookmarkStart w:id="272" w:name="_Hlk533609053"/>
          <w:r>
            <w:rPr>
              <w:rFonts w:hint="eastAsia"/>
            </w:rPr>
            <w:t>其他流动资产</w:t>
          </w:r>
        </w:p>
      </w:sdtContent>
    </w:sdt>
    <w:sdt>
      <w:sdtPr>
        <w:alias w:val="是否适用：其他流动资产[双击切换]"/>
        <w:tag w:val="_GBC_49fe7514f24d4f7fbf009ae51ff98d5a"/>
        <w:id w:val="7019"/>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其他流动资产"/>
          <w:tag w:val="_GBC_8aa27294471c4172ba97de2c15d029c6"/>
          <w:id w:val="702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其他流动资产"/>
          <w:tag w:val="_GBC_8e1e40ac44704231aa91fcfbbccbd924"/>
          <w:id w:val="702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6"/>
        <w:gridCol w:w="2917"/>
        <w:gridCol w:w="2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6" w:type="dxa"/>
            <w:vAlign w:val="center"/>
          </w:tcPr>
          <w:sdt>
            <w:sdtPr>
              <w:tag w:val="_PLD_a34f889fb3794268b1f04c9534377486"/>
              <w:id w:val="7022"/>
            </w:sdtPr>
            <w:sdtContent>
              <w:p>
                <w:pPr>
                  <w:jc w:val="center"/>
                  <w:rPr>
                    <w:szCs w:val="21"/>
                  </w:rPr>
                </w:pPr>
                <w:bookmarkStart w:id="273" w:name="_Hlk533421736"/>
                <w:r>
                  <w:rPr>
                    <w:rFonts w:hint="eastAsia"/>
                    <w:szCs w:val="21"/>
                  </w:rPr>
                  <w:t>项目</w:t>
                </w:r>
              </w:p>
            </w:sdtContent>
          </w:sdt>
        </w:tc>
        <w:tc>
          <w:tcPr>
            <w:tcW w:w="2917" w:type="dxa"/>
            <w:vAlign w:val="center"/>
          </w:tcPr>
          <w:sdt>
            <w:sdtPr>
              <w:tag w:val="_PLD_97b9b7e912e14a06b24f532e76914900"/>
              <w:id w:val="7023"/>
            </w:sdtPr>
            <w:sdtContent>
              <w:p>
                <w:pPr>
                  <w:jc w:val="center"/>
                  <w:rPr>
                    <w:szCs w:val="21"/>
                  </w:rPr>
                </w:pPr>
                <w:r>
                  <w:rPr>
                    <w:rFonts w:hint="eastAsia"/>
                    <w:szCs w:val="21"/>
                  </w:rPr>
                  <w:t>期末余额</w:t>
                </w:r>
              </w:p>
            </w:sdtContent>
          </w:sdt>
        </w:tc>
        <w:tc>
          <w:tcPr>
            <w:tcW w:w="2845" w:type="dxa"/>
            <w:vAlign w:val="center"/>
          </w:tcPr>
          <w:sdt>
            <w:sdtPr>
              <w:tag w:val="_PLD_c02c94d4c7614f3cadd2972514fb87f4"/>
              <w:id w:val="7024"/>
            </w:sdtPr>
            <w:sdtContent>
              <w:p>
                <w:pPr>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6" w:type="dxa"/>
            <w:vAlign w:val="center"/>
          </w:tcPr>
          <w:p>
            <w:pPr>
              <w:snapToGrid w:val="0"/>
              <w:rPr>
                <w:rFonts w:hint="eastAsia"/>
                <w:szCs w:val="21"/>
              </w:rPr>
            </w:pPr>
            <w:r>
              <w:rPr>
                <w:rFonts w:hint="eastAsia"/>
                <w:color w:val="auto"/>
              </w:rPr>
              <w:t>待摊费用</w:t>
            </w:r>
          </w:p>
        </w:tc>
        <w:tc>
          <w:tcPr>
            <w:tcW w:w="2917" w:type="dxa"/>
            <w:vAlign w:val="center"/>
          </w:tcPr>
          <w:p>
            <w:pPr>
              <w:snapToGrid w:val="0"/>
              <w:jc w:val="right"/>
              <w:rPr>
                <w:rFonts w:hint="eastAsia"/>
                <w:szCs w:val="21"/>
              </w:rPr>
            </w:pPr>
            <w:r>
              <w:rPr>
                <w:rFonts w:hint="eastAsia"/>
                <w:color w:val="auto"/>
              </w:rPr>
              <w:t>2,535,458.15</w:t>
            </w:r>
          </w:p>
        </w:tc>
        <w:tc>
          <w:tcPr>
            <w:tcW w:w="2845" w:type="dxa"/>
            <w:vAlign w:val="center"/>
          </w:tcPr>
          <w:p>
            <w:pPr>
              <w:snapToGrid w:val="0"/>
              <w:jc w:val="right"/>
              <w:rPr>
                <w:rFonts w:hint="eastAsia"/>
                <w:szCs w:val="21"/>
              </w:rPr>
            </w:pPr>
            <w:r>
              <w:rPr>
                <w:rFonts w:hint="eastAsia"/>
                <w:color w:val="auto"/>
              </w:rPr>
              <w:t>1,670,754.69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6" w:type="dxa"/>
            <w:vAlign w:val="center"/>
          </w:tcPr>
          <w:p>
            <w:pPr>
              <w:snapToGrid w:val="0"/>
              <w:rPr>
                <w:rFonts w:hint="eastAsia"/>
                <w:szCs w:val="21"/>
              </w:rPr>
            </w:pPr>
            <w:r>
              <w:rPr>
                <w:rFonts w:hint="eastAsia"/>
                <w:color w:val="auto"/>
              </w:rPr>
              <w:t>待抵扣进项税额</w:t>
            </w:r>
          </w:p>
        </w:tc>
        <w:tc>
          <w:tcPr>
            <w:tcW w:w="2917" w:type="dxa"/>
            <w:vAlign w:val="center"/>
          </w:tcPr>
          <w:p>
            <w:pPr>
              <w:snapToGrid w:val="0"/>
              <w:jc w:val="right"/>
              <w:rPr>
                <w:rFonts w:hint="eastAsia"/>
                <w:szCs w:val="21"/>
              </w:rPr>
            </w:pPr>
            <w:r>
              <w:rPr>
                <w:rFonts w:hint="eastAsia"/>
                <w:color w:val="auto"/>
              </w:rPr>
              <w:t>782,317.04</w:t>
            </w:r>
          </w:p>
        </w:tc>
        <w:tc>
          <w:tcPr>
            <w:tcW w:w="2845" w:type="dxa"/>
            <w:vAlign w:val="center"/>
          </w:tcPr>
          <w:p>
            <w:pPr>
              <w:snapToGrid w:val="0"/>
              <w:jc w:val="right"/>
              <w:rPr>
                <w:rFonts w:hint="eastAsia"/>
                <w:szCs w:val="21"/>
              </w:rPr>
            </w:pPr>
            <w:r>
              <w:rPr>
                <w:rFonts w:hint="eastAsia"/>
                <w:color w:val="auto"/>
              </w:rPr>
              <w:t>352,001.29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6" w:type="dxa"/>
            <w:vAlign w:val="center"/>
          </w:tcPr>
          <w:p>
            <w:pPr>
              <w:snapToGrid w:val="0"/>
              <w:rPr>
                <w:rFonts w:hint="eastAsia"/>
                <w:szCs w:val="21"/>
              </w:rPr>
            </w:pPr>
            <w:r>
              <w:rPr>
                <w:rFonts w:hint="eastAsia"/>
                <w:color w:val="auto"/>
              </w:rPr>
              <w:t>预付税费</w:t>
            </w:r>
          </w:p>
        </w:tc>
        <w:tc>
          <w:tcPr>
            <w:tcW w:w="2917" w:type="dxa"/>
            <w:vAlign w:val="center"/>
          </w:tcPr>
          <w:p>
            <w:pPr>
              <w:snapToGrid w:val="0"/>
              <w:jc w:val="right"/>
              <w:rPr>
                <w:rFonts w:hint="eastAsia"/>
                <w:szCs w:val="21"/>
              </w:rPr>
            </w:pPr>
            <w:r>
              <w:rPr>
                <w:rFonts w:hint="eastAsia"/>
                <w:color w:val="auto"/>
              </w:rPr>
              <w:t>176,787.54</w:t>
            </w:r>
          </w:p>
        </w:tc>
        <w:tc>
          <w:tcPr>
            <w:tcW w:w="2845" w:type="dxa"/>
            <w:vAlign w:val="center"/>
          </w:tcPr>
          <w:p>
            <w:pPr>
              <w:snapToGrid w:val="0"/>
              <w:jc w:val="right"/>
              <w:rPr>
                <w:rFonts w:hint="eastAsia"/>
                <w:szCs w:val="21"/>
              </w:rPr>
            </w:pPr>
            <w:r>
              <w:rPr>
                <w:rFonts w:hint="eastAsia"/>
                <w:color w:val="auto"/>
              </w:rPr>
              <w:t>373,235.15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6" w:type="dxa"/>
            <w:vAlign w:val="center"/>
          </w:tcPr>
          <w:p>
            <w:pPr>
              <w:snapToGrid w:val="0"/>
              <w:ind w:left="-107" w:leftChars="-51"/>
              <w:jc w:val="center"/>
              <w:rPr>
                <w:szCs w:val="21"/>
              </w:rPr>
            </w:pPr>
            <w:r>
              <w:rPr>
                <w:rFonts w:hint="eastAsia"/>
                <w:szCs w:val="21"/>
              </w:rPr>
              <w:t>合计</w:t>
            </w:r>
          </w:p>
        </w:tc>
        <w:tc>
          <w:tcPr>
            <w:tcW w:w="2917" w:type="dxa"/>
            <w:vAlign w:val="center"/>
          </w:tcPr>
          <w:p>
            <w:pPr>
              <w:snapToGrid w:val="0"/>
              <w:jc w:val="right"/>
              <w:rPr>
                <w:rFonts w:hint="eastAsia"/>
                <w:szCs w:val="21"/>
              </w:rPr>
            </w:pPr>
            <w:r>
              <w:rPr>
                <w:rFonts w:hint="eastAsia"/>
                <w:color w:val="auto"/>
              </w:rPr>
              <w:t>3,494,562.73</w:t>
            </w:r>
          </w:p>
        </w:tc>
        <w:tc>
          <w:tcPr>
            <w:tcW w:w="2845" w:type="dxa"/>
            <w:vAlign w:val="center"/>
          </w:tcPr>
          <w:p>
            <w:pPr>
              <w:snapToGrid w:val="0"/>
              <w:jc w:val="right"/>
              <w:rPr>
                <w:rFonts w:hint="eastAsia"/>
                <w:szCs w:val="21"/>
              </w:rPr>
            </w:pPr>
            <w:r>
              <w:rPr>
                <w:rFonts w:hint="eastAsia"/>
                <w:color w:val="auto"/>
              </w:rPr>
              <w:t>2,395,991.13</w:t>
            </w:r>
          </w:p>
        </w:tc>
      </w:tr>
      <w:bookmarkEnd w:id="273"/>
    </w:tbl>
    <w:p>
      <w:r>
        <w:rPr>
          <w:rFonts w:hint="eastAsia"/>
        </w:rPr>
        <w:t>其他说明：</w:t>
      </w:r>
    </w:p>
    <w:sdt>
      <w:sdtPr>
        <w:rPr>
          <w:rFonts w:hint="eastAsia"/>
        </w:rPr>
        <w:alias w:val="其他流动资产说明"/>
        <w:tag w:val="_GBC_6b66243025624716a85c25ca534f7d52"/>
        <w:id w:val="7025"/>
        <w:placeholder>
          <w:docPart w:val="GBC22222222222222222222222222222"/>
        </w:placeholder>
      </w:sdtPr>
      <w:sdtEndPr>
        <w:rPr>
          <w:rFonts w:hint="eastAsia"/>
        </w:rPr>
      </w:sdtEndPr>
      <w:sdtContent>
        <w:p>
          <w:r>
            <w:rPr>
              <w:rFonts w:hint="eastAsia"/>
            </w:rPr>
            <w:t>无</w:t>
          </w:r>
        </w:p>
      </w:sdtContent>
    </w:sdt>
    <w:p/>
    <w:bookmarkEnd w:id="272"/>
    <w:p>
      <w:pPr>
        <w:pStyle w:val="4"/>
        <w:numPr>
          <w:ilvl w:val="0"/>
          <w:numId w:val="62"/>
        </w:numPr>
        <w:tabs>
          <w:tab w:val="left" w:pos="504"/>
        </w:tabs>
      </w:pPr>
      <w:bookmarkStart w:id="274" w:name="_Hlk533409588"/>
      <w:r>
        <w:rPr>
          <w:rFonts w:hint="eastAsia"/>
        </w:rPr>
        <w:t>债权投资</w:t>
      </w:r>
    </w:p>
    <w:p>
      <w:pPr>
        <w:pStyle w:val="5"/>
        <w:numPr>
          <w:ilvl w:val="3"/>
          <w:numId w:val="72"/>
        </w:numPr>
        <w:ind w:left="426" w:hanging="426"/>
        <w:rPr>
          <w:rFonts w:hint="eastAsia"/>
        </w:rPr>
      </w:pPr>
      <w:bookmarkStart w:id="275" w:name="_Hlk532993723"/>
      <w:r>
        <w:rPr>
          <w:rFonts w:hint="eastAsia"/>
        </w:rPr>
        <w:t>债权投资情况</w:t>
      </w:r>
    </w:p>
    <w:sdt>
      <w:sdtPr>
        <w:alias w:val="是否适用：以摊余成本计量的长期债权投资[双击切换]"/>
        <w:tag w:val="_GBC_dbc7f90615cc46578228904cb4aa1cff"/>
        <w:id w:val="7026"/>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rPr>
          <w:szCs w:val="21"/>
        </w:rPr>
      </w:pPr>
      <w:bookmarkStart w:id="276" w:name="_Hlk153455457"/>
      <w:r>
        <w:rPr>
          <w:rFonts w:hint="eastAsia"/>
          <w:szCs w:val="21"/>
        </w:rPr>
        <w:t>债权投资减值准备本期变动情况</w:t>
      </w:r>
    </w:p>
    <w:sdt>
      <w:sdtPr>
        <w:alias w:val="是否适用：减值准备本期变动情况[双击切换]"/>
        <w:tag w:val="_GBC_87c0bbb5863948af834604c8aeaf814f"/>
        <w:id w:val="7027"/>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bookmarkEnd w:id="276"/>
    <w:p>
      <w:pPr>
        <w:pStyle w:val="5"/>
        <w:numPr>
          <w:ilvl w:val="3"/>
          <w:numId w:val="72"/>
        </w:numPr>
        <w:ind w:left="426" w:hanging="426"/>
        <w:rPr>
          <w:rFonts w:hint="eastAsia"/>
        </w:rPr>
      </w:pPr>
      <w:bookmarkStart w:id="277" w:name="_Hlk532994191"/>
      <w:r>
        <w:rPr>
          <w:rFonts w:hint="eastAsia"/>
        </w:rPr>
        <w:t>期末重要的债权投资</w:t>
      </w:r>
    </w:p>
    <w:sdt>
      <w:sdtPr>
        <w:alias w:val="是否适用：重要的债权投资[双击切换]"/>
        <w:tag w:val="_GBC_ca6db275ff8944c2900ec34693d6ebf6"/>
        <w:id w:val="7028"/>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bookmarkEnd w:id="274"/>
    <w:bookmarkEnd w:id="275"/>
    <w:bookmarkEnd w:id="277"/>
    <w:p>
      <w:pPr>
        <w:pStyle w:val="5"/>
        <w:numPr>
          <w:ilvl w:val="3"/>
          <w:numId w:val="72"/>
        </w:numPr>
        <w:ind w:left="426" w:hanging="426"/>
        <w:rPr>
          <w:rFonts w:hint="eastAsia"/>
        </w:rPr>
      </w:pPr>
      <w:bookmarkStart w:id="278" w:name="_Hlk533872317"/>
      <w:r>
        <w:rPr>
          <w:rFonts w:hint="eastAsia" w:ascii="宋体" w:hAnsi="宋体" w:eastAsia="宋体" w:cs="宋体"/>
          <w:bCs w:val="0"/>
          <w:kern w:val="0"/>
          <w:szCs w:val="24"/>
        </w:rPr>
        <w:t>减值准备计提情况</w:t>
      </w:r>
    </w:p>
    <w:sdt>
      <w:sdtPr>
        <w:alias w:val="是否适用：债权投资减值准备调节表[双击切换]"/>
        <w:tag w:val="_GBC_686136d6dd874d559865e7aa5dd1a835"/>
        <w:id w:val="7029"/>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rPr>
          <w:rFonts w:hint="eastAsia"/>
        </w:rPr>
        <w:t>各阶段划分依据和减值准备计提比例：</w:t>
      </w:r>
    </w:p>
    <w:sdt>
      <w:sdtPr>
        <w:alias w:val="债权投资各阶段划分依据和减值准备计提比例"/>
        <w:tag w:val="_GBC_60f5cb3d88a34c9d9e0fb015def585fa"/>
        <w:id w:val="7030"/>
        <w:placeholder>
          <w:docPart w:val="GBC22222222222222222222222222222"/>
        </w:placeholder>
      </w:sdtPr>
      <w:sdtContent>
        <w:p>
          <w:r>
            <w:t>无</w:t>
          </w:r>
        </w:p>
      </w:sdtContent>
    </w:sdt>
    <w:p/>
    <w:p>
      <w:pPr>
        <w:pStyle w:val="73"/>
      </w:pPr>
      <w:r>
        <w:rPr>
          <w:rFonts w:hint="eastAsia"/>
        </w:rPr>
        <w:t>对本期发生损失准备变动的债权投资账面余额显著变动的情况说明：</w:t>
      </w:r>
    </w:p>
    <w:sdt>
      <w:sdtPr>
        <w:rPr>
          <w:szCs w:val="21"/>
        </w:rPr>
        <w:alias w:val="是否适用：债权投资本期发生损失准备变动且账面余额显著变动的情况说明[双击切换]"/>
        <w:tag w:val="_GBC_5f05e251eb914f049048988a9e9168df"/>
        <w:id w:val="7031"/>
        <w:placeholder>
          <w:docPart w:val="GBC22222222222222222222222222222"/>
        </w:placeholder>
      </w:sdtPr>
      <w:sdtEndPr>
        <w:rPr>
          <w:szCs w:val="21"/>
        </w:rPr>
      </w:sdtEndPr>
      <w:sdtContent>
        <w:p>
          <w:pPr>
            <w:autoSpaceDE w:val="0"/>
            <w:autoSpaceDN w:val="0"/>
            <w:adjustRightInd w:val="0"/>
            <w:ind w:right="105" w:rightChars="50"/>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autoSpaceDE w:val="0"/>
        <w:autoSpaceDN w:val="0"/>
        <w:adjustRightInd w:val="0"/>
        <w:ind w:right="105" w:rightChars="50"/>
        <w:rPr>
          <w:szCs w:val="21"/>
        </w:rPr>
      </w:pPr>
    </w:p>
    <w:bookmarkEnd w:id="278"/>
    <w:p>
      <w:pPr>
        <w:pStyle w:val="73"/>
      </w:pPr>
      <w:r>
        <w:rPr>
          <w:rFonts w:hint="eastAsia"/>
        </w:rPr>
        <w:t>本</w:t>
      </w:r>
      <w:r>
        <w:t>期减</w:t>
      </w:r>
      <w:r>
        <w:rPr>
          <w:rFonts w:hint="eastAsia"/>
        </w:rPr>
        <w:t>值</w:t>
      </w:r>
      <w:r>
        <w:t>准备计提金额以及评估金融工具的</w:t>
      </w:r>
      <w:r>
        <w:rPr>
          <w:rFonts w:hint="eastAsia"/>
        </w:rPr>
        <w:t>信用风险是否显著增加的采用依据</w:t>
      </w:r>
    </w:p>
    <w:sdt>
      <w:sdtPr>
        <w:rPr>
          <w:szCs w:val="21"/>
        </w:rPr>
        <w:alias w:val="是否适用：债权投资减值准备计提金额以及评估金融工具的信用风险显著增加的采用依据[双击切换]"/>
        <w:tag w:val="_GBC_799f699e556f4272acd7681b17e4ede5"/>
        <w:id w:val="7032"/>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Pr>
        <w:pStyle w:val="5"/>
        <w:numPr>
          <w:ilvl w:val="3"/>
          <w:numId w:val="72"/>
        </w:numPr>
        <w:ind w:left="426" w:hanging="426"/>
        <w:rPr>
          <w:rFonts w:hint="eastAsia" w:ascii="宋体" w:hAnsi="宋体" w:eastAsia="宋体" w:cs="宋体"/>
          <w:kern w:val="0"/>
          <w:szCs w:val="24"/>
        </w:rPr>
      </w:pPr>
      <w:bookmarkStart w:id="279" w:name="_Hlk153455555"/>
      <w:r>
        <w:rPr>
          <w:rFonts w:ascii="宋体" w:hAnsi="宋体" w:eastAsia="宋体" w:cs="宋体"/>
          <w:kern w:val="0"/>
          <w:szCs w:val="24"/>
        </w:rPr>
        <w:t>本期实际</w:t>
      </w:r>
      <w:r>
        <w:rPr>
          <w:rFonts w:hint="eastAsia" w:ascii="宋体" w:hAnsi="宋体" w:eastAsia="宋体" w:cs="宋体"/>
          <w:kern w:val="0"/>
          <w:szCs w:val="24"/>
        </w:rPr>
        <w:t>的</w:t>
      </w:r>
      <w:r>
        <w:rPr>
          <w:rFonts w:ascii="宋体" w:hAnsi="宋体" w:eastAsia="宋体" w:cs="宋体"/>
          <w:kern w:val="0"/>
          <w:szCs w:val="24"/>
        </w:rPr>
        <w:t>核销</w:t>
      </w:r>
      <w:r>
        <w:rPr>
          <w:rFonts w:hint="eastAsia" w:ascii="宋体" w:hAnsi="宋体" w:eastAsia="宋体" w:cs="宋体"/>
          <w:kern w:val="0"/>
          <w:szCs w:val="24"/>
        </w:rPr>
        <w:t>债权投资</w:t>
      </w:r>
      <w:r>
        <w:rPr>
          <w:rFonts w:ascii="宋体" w:hAnsi="宋体" w:eastAsia="宋体" w:cs="宋体"/>
          <w:kern w:val="0"/>
          <w:szCs w:val="24"/>
        </w:rPr>
        <w:t>情况</w:t>
      </w:r>
    </w:p>
    <w:sdt>
      <w:sdtPr>
        <w:alias w:val="是否适用：实际核销的情况[双击切换]"/>
        <w:tag w:val="_GBC_fc91e5e5672d4b4eb2e0779a0867e84c"/>
        <w:id w:val="7033"/>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rPr>
          <w:szCs w:val="21"/>
        </w:rPr>
      </w:pPr>
      <w:r>
        <w:rPr>
          <w:rFonts w:hint="eastAsia"/>
          <w:szCs w:val="21"/>
        </w:rPr>
        <w:t>其中重要的</w:t>
      </w:r>
      <w:r>
        <w:rPr>
          <w:rFonts w:hint="eastAsia"/>
        </w:rPr>
        <w:t>债权投资</w:t>
      </w:r>
      <w:r>
        <w:t>情况</w:t>
      </w:r>
      <w:r>
        <w:rPr>
          <w:rFonts w:hint="eastAsia"/>
          <w:szCs w:val="21"/>
        </w:rPr>
        <w:t>核销情况</w:t>
      </w:r>
    </w:p>
    <w:sdt>
      <w:sdtPr>
        <w:rPr>
          <w:rFonts w:hint="eastAsia"/>
          <w:szCs w:val="21"/>
        </w:rPr>
        <w:alias w:val="是否适用：重要的核销情况[双击切换]"/>
        <w:tag w:val="_GBC_b1835377ab8f4324a0ddc492f3da304c"/>
        <w:id w:val="7034"/>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snapToGrid w:val="0"/>
        <w:spacing w:line="240" w:lineRule="atLeast"/>
        <w:rPr>
          <w:szCs w:val="21"/>
        </w:rPr>
      </w:pPr>
    </w:p>
    <w:p>
      <w:pPr>
        <w:snapToGrid w:val="0"/>
        <w:spacing w:line="240" w:lineRule="atLeast"/>
        <w:rPr>
          <w:szCs w:val="21"/>
        </w:rPr>
      </w:pPr>
      <w:r>
        <w:rPr>
          <w:rFonts w:hint="eastAsia"/>
        </w:rPr>
        <w:t>债权投资的</w:t>
      </w:r>
      <w:r>
        <w:rPr>
          <w:rFonts w:hint="eastAsia"/>
          <w:szCs w:val="21"/>
        </w:rPr>
        <w:t>核销说明：</w:t>
      </w:r>
    </w:p>
    <w:sdt>
      <w:sdtPr>
        <w:rPr>
          <w:szCs w:val="21"/>
        </w:rPr>
        <w:alias w:val="是否适用：核销说明[双击切换]"/>
        <w:tag w:val="_GBC_f135d5c946cc473182fa418ce9c408ae"/>
        <w:id w:val="7035"/>
        <w:placeholder>
          <w:docPart w:val="GBC22222222222222222222222222222"/>
        </w:placeholder>
      </w:sdtPr>
      <w:sdtEndPr>
        <w:rPr>
          <w:szCs w:val="21"/>
        </w:rPr>
      </w:sdtEndPr>
      <w:sdtContent>
        <w:p>
          <w:pPr>
            <w:snapToGrid w:val="0"/>
            <w:spacing w:line="240" w:lineRule="atLeast"/>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bookmarkEnd w:id="279"/>
    <w:p>
      <w:pPr>
        <w:rPr>
          <w:szCs w:val="21"/>
        </w:rPr>
      </w:pPr>
      <w:r>
        <w:rPr>
          <w:rFonts w:hint="eastAsia"/>
          <w:szCs w:val="21"/>
        </w:rPr>
        <w:t>其他说明：</w:t>
      </w:r>
    </w:p>
    <w:sdt>
      <w:sdtPr>
        <w:alias w:val="是否适用：债权投资其他说明[双击切换]"/>
        <w:tag w:val="_GBC_17cf4c675aec4f36816c24c079df205c"/>
        <w:id w:val="7036"/>
        <w:placeholder>
          <w:docPart w:val="GBC22222222222222222222222222222"/>
        </w:placeholder>
      </w:sdtPr>
      <w:sdtContent>
        <w:p>
          <w:pPr>
            <w:ind w:right="210"/>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ind w:right="210"/>
      </w:pPr>
    </w:p>
    <w:sdt>
      <w:sdtPr>
        <w:tag w:val="_PLD_5402ec36e99b444bbef60aa2eec8bc72"/>
        <w:id w:val="7037"/>
      </w:sdtPr>
      <w:sdtEndPr>
        <w:rPr>
          <w:rFonts w:ascii="Calibri" w:hAnsi="Calibri" w:cs="Times New Roman"/>
          <w:b/>
          <w:bCs/>
          <w:kern w:val="2"/>
          <w:szCs w:val="32"/>
        </w:rPr>
      </w:sdtEndPr>
      <w:sdtContent>
        <w:p>
          <w:pPr>
            <w:pStyle w:val="4"/>
            <w:numPr>
              <w:ilvl w:val="0"/>
              <w:numId w:val="62"/>
            </w:numPr>
            <w:tabs>
              <w:tab w:val="left" w:pos="504"/>
            </w:tabs>
          </w:pPr>
          <w:r>
            <w:rPr>
              <w:rFonts w:hint="eastAsia"/>
            </w:rPr>
            <w:t>其他债权投资</w:t>
          </w:r>
        </w:p>
      </w:sdtContent>
    </w:sdt>
    <w:p>
      <w:pPr>
        <w:pStyle w:val="5"/>
        <w:numPr>
          <w:ilvl w:val="3"/>
          <w:numId w:val="73"/>
        </w:numPr>
        <w:ind w:left="426" w:hanging="426"/>
        <w:rPr>
          <w:rFonts w:hint="eastAsia"/>
        </w:rPr>
      </w:pPr>
      <w:r>
        <w:rPr>
          <w:rFonts w:hint="eastAsia"/>
        </w:rPr>
        <w:t>其他债权投资情况</w:t>
      </w:r>
    </w:p>
    <w:sdt>
      <w:sdtPr>
        <w:alias w:val="是否适用：其他债权投资情况[双击切换]"/>
        <w:tag w:val="_GBC_23599130a9db43be881f1fb4a46d3b7e"/>
        <w:id w:val="7038"/>
        <w:placeholder>
          <w:docPart w:val="GBC22222222222222222222222222222"/>
        </w:placeholder>
      </w:sdtPr>
      <w:sdtContent>
        <w:p>
          <w:pPr>
            <w:ind w:right="210"/>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ind w:right="210"/>
      </w:pPr>
    </w:p>
    <w:p>
      <w:pPr>
        <w:rPr>
          <w:szCs w:val="21"/>
        </w:rPr>
      </w:pPr>
      <w:bookmarkStart w:id="280" w:name="_Hlk153455695"/>
      <w:r>
        <w:rPr>
          <w:rFonts w:hint="eastAsia"/>
          <w:szCs w:val="21"/>
        </w:rPr>
        <w:t>其他债权投资减值准备本期变动情况</w:t>
      </w:r>
    </w:p>
    <w:sdt>
      <w:sdtPr>
        <w:alias w:val="是否适用：减值准备本期变动情况[双击切换]"/>
        <w:tag w:val="_GBC_3e5ec98f577f4409b379fbfcb3b1cc79"/>
        <w:id w:val="7039"/>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bookmarkEnd w:id="280"/>
    <w:p>
      <w:pPr>
        <w:rPr>
          <w:szCs w:val="21"/>
        </w:rPr>
      </w:pPr>
    </w:p>
    <w:p>
      <w:pPr>
        <w:pStyle w:val="5"/>
        <w:numPr>
          <w:ilvl w:val="3"/>
          <w:numId w:val="73"/>
        </w:numPr>
        <w:ind w:left="426" w:hanging="426"/>
        <w:rPr>
          <w:rFonts w:hint="eastAsia"/>
        </w:rPr>
      </w:pPr>
      <w:bookmarkStart w:id="281" w:name="_Hlk533848078"/>
      <w:r>
        <w:rPr>
          <w:rFonts w:hint="eastAsia"/>
        </w:rPr>
        <w:t>期末重要的其他债权投资</w:t>
      </w:r>
    </w:p>
    <w:sdt>
      <w:sdtPr>
        <w:alias w:val="是否适用：重要的其他债权投资[双击切换]"/>
        <w:tag w:val="_GBC_bb82f40f19284b2489199fbaa477b35c"/>
        <w:id w:val="7040"/>
        <w:placeholder>
          <w:docPart w:val="GBC22222222222222222222222222222"/>
        </w:placeholder>
      </w:sdtPr>
      <w:sdtContent>
        <w:p>
          <w:pPr>
            <w:ind w:right="210"/>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ind w:right="210"/>
      </w:pPr>
    </w:p>
    <w:bookmarkEnd w:id="281"/>
    <w:p>
      <w:pPr>
        <w:pStyle w:val="5"/>
        <w:numPr>
          <w:ilvl w:val="3"/>
          <w:numId w:val="73"/>
        </w:numPr>
        <w:ind w:left="426" w:hanging="426"/>
        <w:rPr>
          <w:rFonts w:hint="eastAsia"/>
        </w:rPr>
      </w:pPr>
      <w:bookmarkStart w:id="282" w:name="_Hlk533872678"/>
      <w:r>
        <w:rPr>
          <w:rFonts w:hint="eastAsia" w:ascii="宋体" w:hAnsi="宋体" w:eastAsia="宋体" w:cs="宋体"/>
          <w:bCs w:val="0"/>
          <w:kern w:val="0"/>
          <w:szCs w:val="24"/>
        </w:rPr>
        <w:t>减值准备计提情况</w:t>
      </w:r>
    </w:p>
    <w:sdt>
      <w:sdtPr>
        <w:alias w:val="是否适用：其他债权投资减值准备调节表[双击切换]"/>
        <w:tag w:val="_GBC_4fb0e145a1004885abb87d20ed68a2ed"/>
        <w:id w:val="7041"/>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rPr>
          <w:rFonts w:hint="eastAsia"/>
        </w:rPr>
        <w:t>各阶段划分依据和减值准备计提比例：</w:t>
      </w:r>
    </w:p>
    <w:sdt>
      <w:sdtPr>
        <w:rPr>
          <w:rFonts w:hint="eastAsia"/>
        </w:rPr>
        <w:alias w:val="其他债权投资各阶段划分依据和减值准备计提比例"/>
        <w:tag w:val="_GBC_7a6f88a666dd4467adf9d3fa4f8e9354"/>
        <w:id w:val="7042"/>
        <w:placeholder>
          <w:docPart w:val="GBC22222222222222222222222222222"/>
        </w:placeholder>
      </w:sdtPr>
      <w:sdtEndPr>
        <w:rPr>
          <w:rFonts w:hint="eastAsia"/>
        </w:rPr>
      </w:sdtEndPr>
      <w:sdtContent>
        <w:p>
          <w:r>
            <w:rPr>
              <w:rFonts w:hint="eastAsia"/>
            </w:rPr>
            <w:t>无</w:t>
          </w:r>
        </w:p>
      </w:sdtContent>
    </w:sdt>
    <w:p/>
    <w:p>
      <w:pPr>
        <w:pStyle w:val="73"/>
      </w:pPr>
      <w:r>
        <w:rPr>
          <w:rFonts w:hint="eastAsia"/>
        </w:rPr>
        <w:t>对本期发生损失准备变动的其他债权投资账面余额显著变动的情况说明：</w:t>
      </w:r>
    </w:p>
    <w:sdt>
      <w:sdtPr>
        <w:alias w:val="是否适用：其他债权投资本期发生损失准备变动且账面余额显著变动的情况说明[双击切换]"/>
        <w:tag w:val="_GBC_e9e1f5d4f63f46a18295ea4060322e59"/>
        <w:id w:val="7043"/>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bookmarkEnd w:id="282"/>
    <w:p>
      <w:pPr>
        <w:pStyle w:val="73"/>
      </w:pPr>
      <w:bookmarkStart w:id="283" w:name="_Hlk533848073"/>
      <w:r>
        <w:rPr>
          <w:rFonts w:hint="eastAsia"/>
        </w:rPr>
        <w:t>本期减值准备计提金额以及评估金融工具的信用风险是否显著增加的采用依据</w:t>
      </w:r>
    </w:p>
    <w:sdt>
      <w:sdtPr>
        <w:alias w:val="是否适用：其他债权投资本期坏账准备计提金额以及评估金融工具的信用风险显著增加的采用依据[双击切换]"/>
        <w:tag w:val="_GBC_e7060850bcfb44fb91c77f959b237378"/>
        <w:id w:val="7044"/>
        <w:placeholder>
          <w:docPart w:val="GBC22222222222222222222222222222"/>
        </w:placeholder>
      </w:sdtPr>
      <w:sdtContent>
        <w:p>
          <w:pPr>
            <w:ind w:right="210"/>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ind w:right="210"/>
      </w:pPr>
    </w:p>
    <w:bookmarkEnd w:id="283"/>
    <w:p>
      <w:pPr>
        <w:pStyle w:val="5"/>
        <w:numPr>
          <w:ilvl w:val="3"/>
          <w:numId w:val="73"/>
        </w:numPr>
        <w:ind w:left="426" w:hanging="426"/>
        <w:rPr>
          <w:rFonts w:hint="eastAsia" w:ascii="宋体" w:hAnsi="宋体" w:eastAsia="宋体" w:cs="宋体"/>
          <w:kern w:val="0"/>
          <w:szCs w:val="24"/>
        </w:rPr>
      </w:pPr>
      <w:bookmarkStart w:id="284" w:name="_Hlk153456989"/>
      <w:r>
        <w:rPr>
          <w:rFonts w:ascii="宋体" w:hAnsi="宋体" w:eastAsia="宋体" w:cs="宋体"/>
          <w:kern w:val="0"/>
          <w:szCs w:val="24"/>
        </w:rPr>
        <w:t>本期实际核销</w:t>
      </w:r>
      <w:r>
        <w:rPr>
          <w:rFonts w:hint="eastAsia" w:ascii="宋体" w:hAnsi="宋体" w:eastAsia="宋体" w:cs="宋体"/>
          <w:kern w:val="0"/>
          <w:szCs w:val="24"/>
        </w:rPr>
        <w:t>的其他债权投资</w:t>
      </w:r>
      <w:r>
        <w:rPr>
          <w:rFonts w:ascii="宋体" w:hAnsi="宋体" w:eastAsia="宋体" w:cs="宋体"/>
          <w:kern w:val="0"/>
          <w:szCs w:val="24"/>
        </w:rPr>
        <w:t>情况</w:t>
      </w:r>
    </w:p>
    <w:sdt>
      <w:sdtPr>
        <w:alias w:val="是否适用：实际核销的情况[双击切换]"/>
        <w:tag w:val="_GBC_7ae85c2d27ec44faaa716fc50cbdc0bf"/>
        <w:id w:val="7045"/>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rPr>
          <w:szCs w:val="21"/>
        </w:rPr>
      </w:pPr>
      <w:r>
        <w:rPr>
          <w:rFonts w:hint="eastAsia"/>
          <w:szCs w:val="21"/>
        </w:rPr>
        <w:t>其中重要的其他</w:t>
      </w:r>
      <w:r>
        <w:rPr>
          <w:rFonts w:hint="eastAsia"/>
        </w:rPr>
        <w:t>债权投资</w:t>
      </w:r>
      <w:r>
        <w:t>情况</w:t>
      </w:r>
      <w:r>
        <w:rPr>
          <w:rFonts w:hint="eastAsia"/>
          <w:szCs w:val="21"/>
        </w:rPr>
        <w:t>核销情况</w:t>
      </w:r>
    </w:p>
    <w:sdt>
      <w:sdtPr>
        <w:rPr>
          <w:rFonts w:hint="eastAsia"/>
          <w:szCs w:val="21"/>
        </w:rPr>
        <w:alias w:val="是否适用：重要的核销情况[双击切换]"/>
        <w:tag w:val="_GBC_d4c60ae51ff54b7399e4fd6edd2e8504"/>
        <w:id w:val="7046"/>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snapToGrid w:val="0"/>
        <w:spacing w:line="240" w:lineRule="atLeast"/>
        <w:rPr>
          <w:szCs w:val="21"/>
        </w:rPr>
      </w:pPr>
    </w:p>
    <w:p>
      <w:pPr>
        <w:snapToGrid w:val="0"/>
        <w:spacing w:line="240" w:lineRule="atLeast"/>
        <w:rPr>
          <w:szCs w:val="21"/>
        </w:rPr>
      </w:pPr>
      <w:r>
        <w:rPr>
          <w:rFonts w:hint="eastAsia"/>
        </w:rPr>
        <w:t>其他债权投资的</w:t>
      </w:r>
      <w:r>
        <w:rPr>
          <w:rFonts w:hint="eastAsia"/>
          <w:szCs w:val="21"/>
        </w:rPr>
        <w:t>核销说明：</w:t>
      </w:r>
    </w:p>
    <w:sdt>
      <w:sdtPr>
        <w:rPr>
          <w:szCs w:val="21"/>
        </w:rPr>
        <w:alias w:val="是否适用：核销说明[双击切换]"/>
        <w:tag w:val="_GBC_689ae117433c459c8a9722be4d19d604"/>
        <w:id w:val="7047"/>
        <w:placeholder>
          <w:docPart w:val="GBC22222222222222222222222222222"/>
        </w:placeholder>
      </w:sdtPr>
      <w:sdtEndPr>
        <w:rPr>
          <w:szCs w:val="21"/>
        </w:rPr>
      </w:sdtEndPr>
      <w:sdtContent>
        <w:p>
          <w:pPr>
            <w:snapToGrid w:val="0"/>
            <w:spacing w:line="240" w:lineRule="atLeast"/>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bookmarkEnd w:id="284"/>
    <w:p>
      <w:bookmarkStart w:id="285" w:name="_Hlk533848097"/>
      <w:r>
        <w:rPr>
          <w:rFonts w:hint="eastAsia"/>
        </w:rPr>
        <w:t>其他说明：</w:t>
      </w:r>
      <w:bookmarkEnd w:id="285"/>
    </w:p>
    <w:sdt>
      <w:sdtPr>
        <w:alias w:val="是否适用：其他债权投资其他说明[双击切换]"/>
        <w:tag w:val="_GBC_ce8084fd599f45febc44624db662adaa"/>
        <w:id w:val="7048"/>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sdt>
      <w:sdtPr>
        <w:tag w:val="_PLD_a60355a6af8b43acbdc216071512d1b1"/>
        <w:id w:val="7049"/>
      </w:sdtPr>
      <w:sdtContent>
        <w:p>
          <w:pPr>
            <w:pStyle w:val="4"/>
            <w:numPr>
              <w:ilvl w:val="0"/>
              <w:numId w:val="62"/>
            </w:numPr>
            <w:tabs>
              <w:tab w:val="left" w:pos="504"/>
            </w:tabs>
            <w:rPr>
              <w:rFonts w:hint="eastAsia" w:ascii="宋体" w:hAnsi="宋体"/>
              <w:szCs w:val="21"/>
            </w:rPr>
          </w:pPr>
          <w:r>
            <w:rPr>
              <w:rFonts w:hint="eastAsia" w:ascii="宋体" w:hAnsi="宋体"/>
              <w:szCs w:val="21"/>
            </w:rPr>
            <w:t>长期应收款</w:t>
          </w:r>
        </w:p>
      </w:sdtContent>
    </w:sdt>
    <w:p>
      <w:pPr>
        <w:pStyle w:val="5"/>
        <w:numPr>
          <w:ilvl w:val="3"/>
          <w:numId w:val="74"/>
        </w:numPr>
        <w:ind w:left="426" w:hanging="426"/>
        <w:rPr>
          <w:rFonts w:hint="eastAsia"/>
        </w:rPr>
      </w:pPr>
      <w:r>
        <w:rPr>
          <w:rFonts w:hint="eastAsia"/>
        </w:rPr>
        <w:t>长期应收款情况</w:t>
      </w:r>
    </w:p>
    <w:sdt>
      <w:sdtPr>
        <w:alias w:val="是否适用：长期应收款情况[双击切换]"/>
        <w:tag w:val="_GBC_0c54e576828240c482e58c8a9f7cd173"/>
        <w:id w:val="705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长期应收款"/>
          <w:tag w:val="_GBC_83e90e099c524c00ad00f3262465133a"/>
          <w:id w:val="705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长期应收款"/>
          <w:tag w:val="_GBC_1c013f993d584882abdce9005f6d0f21"/>
          <w:id w:val="70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4"/>
        <w:gridCol w:w="1177"/>
        <w:gridCol w:w="636"/>
        <w:gridCol w:w="1211"/>
        <w:gridCol w:w="1393"/>
        <w:gridCol w:w="540"/>
        <w:gridCol w:w="1272"/>
        <w:gridCol w:w="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4" w:type="dxa"/>
            <w:vMerge w:val="restart"/>
            <w:tcBorders>
              <w:top w:val="single" w:color="auto" w:sz="4" w:space="0"/>
              <w:left w:val="single" w:color="auto" w:sz="4" w:space="0"/>
              <w:right w:val="single" w:color="auto" w:sz="4" w:space="0"/>
            </w:tcBorders>
            <w:vAlign w:val="center"/>
          </w:tcPr>
          <w:sdt>
            <w:sdtPr>
              <w:tag w:val="_PLD_1579a5a5db414628bc47ed54fb917eb5"/>
              <w:id w:val="2960"/>
            </w:sdtPr>
            <w:sdtContent>
              <w:p>
                <w:pPr>
                  <w:jc w:val="center"/>
                  <w:rPr>
                    <w:szCs w:val="21"/>
                  </w:rPr>
                </w:pPr>
                <w:bookmarkStart w:id="286" w:name="_Hlk153457348"/>
                <w:r>
                  <w:rPr>
                    <w:rFonts w:hint="eastAsia"/>
                    <w:szCs w:val="21"/>
                  </w:rPr>
                  <w:t>项目</w:t>
                </w:r>
              </w:p>
            </w:sdtContent>
          </w:sdt>
        </w:tc>
        <w:tc>
          <w:tcPr>
            <w:tcW w:w="3024" w:type="dxa"/>
            <w:gridSpan w:val="3"/>
            <w:tcBorders>
              <w:top w:val="single" w:color="auto" w:sz="4" w:space="0"/>
              <w:left w:val="single" w:color="auto" w:sz="4" w:space="0"/>
              <w:bottom w:val="single" w:color="auto" w:sz="4" w:space="0"/>
              <w:right w:val="single" w:color="auto" w:sz="4" w:space="0"/>
            </w:tcBorders>
            <w:vAlign w:val="center"/>
          </w:tcPr>
          <w:sdt>
            <w:sdtPr>
              <w:tag w:val="_PLD_9a36ea2203424631bf208c9515121cc2"/>
              <w:id w:val="2961"/>
            </w:sdtPr>
            <w:sdtContent>
              <w:p>
                <w:pPr>
                  <w:jc w:val="center"/>
                  <w:rPr>
                    <w:szCs w:val="21"/>
                  </w:rPr>
                </w:pPr>
                <w:r>
                  <w:rPr>
                    <w:rFonts w:hint="eastAsia"/>
                    <w:szCs w:val="21"/>
                  </w:rPr>
                  <w:t>期末余额</w:t>
                </w:r>
              </w:p>
            </w:sdtContent>
          </w:sdt>
        </w:tc>
        <w:tc>
          <w:tcPr>
            <w:tcW w:w="3205" w:type="dxa"/>
            <w:gridSpan w:val="3"/>
            <w:tcBorders>
              <w:top w:val="single" w:color="auto" w:sz="4" w:space="0"/>
              <w:left w:val="single" w:color="auto" w:sz="4" w:space="0"/>
              <w:bottom w:val="single" w:color="auto" w:sz="4" w:space="0"/>
              <w:right w:val="single" w:color="auto" w:sz="4" w:space="0"/>
            </w:tcBorders>
            <w:vAlign w:val="center"/>
          </w:tcPr>
          <w:sdt>
            <w:sdtPr>
              <w:tag w:val="_PLD_03d144ce33e04be682481d2a013c13af"/>
              <w:id w:val="2962"/>
            </w:sdtPr>
            <w:sdtContent>
              <w:p>
                <w:pPr>
                  <w:jc w:val="center"/>
                  <w:rPr>
                    <w:szCs w:val="21"/>
                  </w:rPr>
                </w:pPr>
                <w:r>
                  <w:rPr>
                    <w:rFonts w:hint="eastAsia"/>
                    <w:szCs w:val="21"/>
                  </w:rPr>
                  <w:t>期初余额</w:t>
                </w:r>
              </w:p>
            </w:sdtContent>
          </w:sdt>
        </w:tc>
        <w:tc>
          <w:tcPr>
            <w:tcW w:w="751" w:type="dxa"/>
            <w:vMerge w:val="restart"/>
            <w:tcBorders>
              <w:top w:val="single" w:color="auto" w:sz="4" w:space="0"/>
              <w:left w:val="single" w:color="auto" w:sz="4" w:space="0"/>
              <w:right w:val="single" w:color="auto" w:sz="4" w:space="0"/>
            </w:tcBorders>
            <w:vAlign w:val="center"/>
          </w:tcPr>
          <w:sdt>
            <w:sdtPr>
              <w:tag w:val="_PLD_19a494fc04ce4efba377e98e304b04d0"/>
              <w:id w:val="2963"/>
            </w:sdtPr>
            <w:sdtContent>
              <w:p>
                <w:pPr>
                  <w:jc w:val="center"/>
                  <w:rPr>
                    <w:szCs w:val="21"/>
                  </w:rPr>
                </w:pPr>
                <w:r>
                  <w:rPr>
                    <w:rFonts w:hint="eastAsia"/>
                    <w:szCs w:val="21"/>
                  </w:rPr>
                  <w:t>折现率区间</w:t>
                </w:r>
              </w:p>
            </w:sdtContent>
          </w:sdt>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1" w:type="dxa"/>
            <w:bottom w:w="0" w:type="dxa"/>
            <w:right w:w="31" w:type="dxa"/>
          </w:tblCellMar>
        </w:tblPrEx>
        <w:trPr>
          <w:cantSplit/>
        </w:trPr>
        <w:tc>
          <w:tcPr>
            <w:tcW w:w="2064" w:type="dxa"/>
            <w:vMerge w:val="continue"/>
            <w:tcBorders>
              <w:left w:val="single" w:color="auto" w:sz="4" w:space="0"/>
              <w:bottom w:val="single" w:color="auto" w:sz="6" w:space="0"/>
              <w:right w:val="single" w:color="auto" w:sz="4" w:space="0"/>
            </w:tcBorders>
            <w:vAlign w:val="center"/>
          </w:tcPr>
          <w:p>
            <w:pPr>
              <w:jc w:val="center"/>
              <w:rPr>
                <w:szCs w:val="21"/>
              </w:rPr>
            </w:pPr>
          </w:p>
        </w:tc>
        <w:tc>
          <w:tcPr>
            <w:tcW w:w="1177" w:type="dxa"/>
            <w:tcBorders>
              <w:left w:val="single" w:color="auto" w:sz="4" w:space="0"/>
              <w:bottom w:val="single" w:color="auto" w:sz="6" w:space="0"/>
            </w:tcBorders>
            <w:vAlign w:val="center"/>
          </w:tcPr>
          <w:sdt>
            <w:sdtPr>
              <w:tag w:val="_PLD_c0fe744fa9744e57b65a03499c0b9370"/>
              <w:id w:val="2964"/>
            </w:sdtPr>
            <w:sdtContent>
              <w:p>
                <w:pPr>
                  <w:jc w:val="center"/>
                  <w:rPr>
                    <w:szCs w:val="21"/>
                  </w:rPr>
                </w:pPr>
                <w:r>
                  <w:rPr>
                    <w:rFonts w:hint="eastAsia"/>
                    <w:szCs w:val="21"/>
                  </w:rPr>
                  <w:t>账面余额</w:t>
                </w:r>
              </w:p>
            </w:sdtContent>
          </w:sdt>
        </w:tc>
        <w:tc>
          <w:tcPr>
            <w:tcW w:w="636" w:type="dxa"/>
            <w:tcBorders>
              <w:bottom w:val="single" w:color="auto" w:sz="6" w:space="0"/>
            </w:tcBorders>
            <w:vAlign w:val="center"/>
          </w:tcPr>
          <w:sdt>
            <w:sdtPr>
              <w:tag w:val="_PLD_77ffaa95600c4c8d82666d2fa1a55587"/>
              <w:id w:val="2965"/>
            </w:sdtPr>
            <w:sdtContent>
              <w:p>
                <w:pPr>
                  <w:jc w:val="center"/>
                  <w:rPr>
                    <w:szCs w:val="21"/>
                  </w:rPr>
                </w:pPr>
                <w:r>
                  <w:rPr>
                    <w:rFonts w:hint="eastAsia"/>
                    <w:szCs w:val="21"/>
                  </w:rPr>
                  <w:t>坏账准备</w:t>
                </w:r>
              </w:p>
            </w:sdtContent>
          </w:sdt>
        </w:tc>
        <w:tc>
          <w:tcPr>
            <w:tcW w:w="1211" w:type="dxa"/>
            <w:tcBorders>
              <w:bottom w:val="single" w:color="auto" w:sz="6" w:space="0"/>
            </w:tcBorders>
            <w:vAlign w:val="center"/>
          </w:tcPr>
          <w:sdt>
            <w:sdtPr>
              <w:tag w:val="_PLD_b4a8209a5fa445268b4557f9b0cea931"/>
              <w:id w:val="2966"/>
            </w:sdtPr>
            <w:sdtContent>
              <w:p>
                <w:pPr>
                  <w:jc w:val="center"/>
                  <w:rPr>
                    <w:szCs w:val="21"/>
                  </w:rPr>
                </w:pPr>
                <w:r>
                  <w:rPr>
                    <w:rFonts w:hint="eastAsia"/>
                    <w:szCs w:val="21"/>
                  </w:rPr>
                  <w:t>账面价值</w:t>
                </w:r>
              </w:p>
            </w:sdtContent>
          </w:sdt>
        </w:tc>
        <w:tc>
          <w:tcPr>
            <w:tcW w:w="1393" w:type="dxa"/>
            <w:tcBorders>
              <w:bottom w:val="single" w:color="auto" w:sz="6" w:space="0"/>
            </w:tcBorders>
            <w:vAlign w:val="center"/>
          </w:tcPr>
          <w:sdt>
            <w:sdtPr>
              <w:tag w:val="_PLD_8f25a17bc1634cc893a4d67aa1847b6a"/>
              <w:id w:val="2967"/>
            </w:sdtPr>
            <w:sdtContent>
              <w:p>
                <w:pPr>
                  <w:jc w:val="center"/>
                  <w:rPr>
                    <w:szCs w:val="21"/>
                  </w:rPr>
                </w:pPr>
                <w:r>
                  <w:rPr>
                    <w:rFonts w:hint="eastAsia"/>
                    <w:szCs w:val="21"/>
                  </w:rPr>
                  <w:t>账面余额</w:t>
                </w:r>
              </w:p>
            </w:sdtContent>
          </w:sdt>
        </w:tc>
        <w:tc>
          <w:tcPr>
            <w:tcW w:w="540" w:type="dxa"/>
            <w:tcBorders>
              <w:bottom w:val="single" w:color="auto" w:sz="6" w:space="0"/>
            </w:tcBorders>
            <w:vAlign w:val="center"/>
          </w:tcPr>
          <w:sdt>
            <w:sdtPr>
              <w:tag w:val="_PLD_a654b9f6a8cf4e1797c1b5ccb7073aa0"/>
              <w:id w:val="2968"/>
            </w:sdtPr>
            <w:sdtContent>
              <w:p>
                <w:pPr>
                  <w:jc w:val="center"/>
                  <w:rPr>
                    <w:szCs w:val="21"/>
                  </w:rPr>
                </w:pPr>
                <w:r>
                  <w:rPr>
                    <w:rFonts w:hint="eastAsia"/>
                    <w:szCs w:val="21"/>
                  </w:rPr>
                  <w:t>坏账准备</w:t>
                </w:r>
              </w:p>
            </w:sdtContent>
          </w:sdt>
        </w:tc>
        <w:tc>
          <w:tcPr>
            <w:tcW w:w="1272" w:type="dxa"/>
            <w:tcBorders>
              <w:bottom w:val="single" w:color="auto" w:sz="6" w:space="0"/>
              <w:right w:val="single" w:color="auto" w:sz="4" w:space="0"/>
            </w:tcBorders>
            <w:vAlign w:val="center"/>
          </w:tcPr>
          <w:sdt>
            <w:sdtPr>
              <w:tag w:val="_PLD_bccad3095dd04c1e9d8e38cc94818670"/>
              <w:id w:val="2969"/>
            </w:sdtPr>
            <w:sdtContent>
              <w:p>
                <w:pPr>
                  <w:jc w:val="center"/>
                  <w:rPr>
                    <w:szCs w:val="21"/>
                  </w:rPr>
                </w:pPr>
                <w:r>
                  <w:rPr>
                    <w:rFonts w:hint="eastAsia"/>
                    <w:szCs w:val="21"/>
                  </w:rPr>
                  <w:t>账面价值</w:t>
                </w:r>
              </w:p>
            </w:sdtContent>
          </w:sdt>
        </w:tc>
        <w:tc>
          <w:tcPr>
            <w:tcW w:w="751" w:type="dxa"/>
            <w:vMerge w:val="continue"/>
            <w:tcBorders>
              <w:left w:val="single" w:color="auto" w:sz="4" w:space="0"/>
              <w:bottom w:val="single" w:color="auto" w:sz="6" w:space="0"/>
              <w:right w:val="single" w:color="auto" w:sz="4" w:space="0"/>
            </w:tcBorders>
            <w:vAlign w:val="center"/>
          </w:tcPr>
          <w:p>
            <w:pPr>
              <w:jc w:val="center"/>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1" w:type="dxa"/>
            <w:bottom w:w="0" w:type="dxa"/>
            <w:right w:w="31" w:type="dxa"/>
          </w:tblCellMar>
        </w:tblPrEx>
        <w:trPr>
          <w:cantSplit/>
        </w:trPr>
        <w:tc>
          <w:tcPr>
            <w:tcW w:w="2064" w:type="dxa"/>
            <w:vAlign w:val="center"/>
          </w:tcPr>
          <w:p>
            <w:pPr>
              <w:rPr>
                <w:szCs w:val="21"/>
              </w:rPr>
            </w:pPr>
            <w:r>
              <w:rPr>
                <w:rFonts w:hint="eastAsia"/>
                <w:szCs w:val="21"/>
              </w:rPr>
              <w:t>融资租赁款</w:t>
            </w:r>
          </w:p>
        </w:tc>
        <w:tc>
          <w:tcPr>
            <w:tcW w:w="1177" w:type="dxa"/>
            <w:vAlign w:val="center"/>
          </w:tcPr>
          <w:p>
            <w:pPr>
              <w:ind w:right="105" w:rightChars="50"/>
              <w:jc w:val="right"/>
              <w:rPr>
                <w:szCs w:val="21"/>
              </w:rPr>
            </w:pPr>
            <w:r>
              <w:rPr>
                <w:rFonts w:hint="eastAsia"/>
                <w:color w:val="auto"/>
                <w:szCs w:val="21"/>
              </w:rPr>
              <w:t>964,605.08</w:t>
            </w:r>
          </w:p>
        </w:tc>
        <w:tc>
          <w:tcPr>
            <w:tcW w:w="636" w:type="dxa"/>
            <w:vAlign w:val="center"/>
          </w:tcPr>
          <w:p>
            <w:pPr>
              <w:ind w:right="105" w:rightChars="50"/>
              <w:jc w:val="right"/>
              <w:rPr>
                <w:szCs w:val="21"/>
              </w:rPr>
            </w:pPr>
          </w:p>
        </w:tc>
        <w:tc>
          <w:tcPr>
            <w:tcW w:w="1211" w:type="dxa"/>
            <w:vAlign w:val="center"/>
          </w:tcPr>
          <w:p>
            <w:pPr>
              <w:ind w:right="105" w:rightChars="50"/>
              <w:jc w:val="right"/>
              <w:rPr>
                <w:szCs w:val="21"/>
              </w:rPr>
            </w:pPr>
            <w:r>
              <w:rPr>
                <w:rFonts w:hint="eastAsia"/>
                <w:color w:val="auto"/>
                <w:szCs w:val="21"/>
              </w:rPr>
              <w:t>964,605.08</w:t>
            </w:r>
          </w:p>
        </w:tc>
        <w:tc>
          <w:tcPr>
            <w:tcW w:w="1393" w:type="dxa"/>
            <w:vAlign w:val="center"/>
          </w:tcPr>
          <w:p>
            <w:pPr>
              <w:ind w:right="105" w:rightChars="50"/>
              <w:jc w:val="right"/>
              <w:rPr>
                <w:szCs w:val="21"/>
              </w:rPr>
            </w:pPr>
            <w:r>
              <w:rPr>
                <w:rFonts w:hint="eastAsia"/>
                <w:color w:val="auto"/>
                <w:szCs w:val="21"/>
              </w:rPr>
              <w:t>1,704,839.37</w:t>
            </w:r>
          </w:p>
        </w:tc>
        <w:tc>
          <w:tcPr>
            <w:tcW w:w="540" w:type="dxa"/>
            <w:vAlign w:val="center"/>
          </w:tcPr>
          <w:p>
            <w:pPr>
              <w:ind w:right="105" w:rightChars="50"/>
              <w:jc w:val="right"/>
              <w:rPr>
                <w:szCs w:val="21"/>
              </w:rPr>
            </w:pPr>
          </w:p>
        </w:tc>
        <w:tc>
          <w:tcPr>
            <w:tcW w:w="1272" w:type="dxa"/>
            <w:tcBorders>
              <w:right w:val="single" w:color="auto" w:sz="4" w:space="0"/>
            </w:tcBorders>
            <w:vAlign w:val="center"/>
          </w:tcPr>
          <w:p>
            <w:pPr>
              <w:ind w:right="105" w:rightChars="50"/>
              <w:jc w:val="right"/>
              <w:rPr>
                <w:szCs w:val="21"/>
              </w:rPr>
            </w:pPr>
            <w:r>
              <w:rPr>
                <w:rFonts w:hint="eastAsia"/>
                <w:color w:val="auto"/>
                <w:szCs w:val="21"/>
              </w:rPr>
              <w:t>1,704,839.37</w:t>
            </w:r>
          </w:p>
        </w:tc>
        <w:tc>
          <w:tcPr>
            <w:tcW w:w="751" w:type="dxa"/>
            <w:tcBorders>
              <w:left w:val="single" w:color="auto" w:sz="4" w:space="0"/>
            </w:tcBorders>
            <w:vAlign w:val="center"/>
          </w:tcPr>
          <w:p>
            <w:pPr>
              <w:ind w:right="105" w:rightChars="50"/>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1" w:type="dxa"/>
            <w:bottom w:w="0" w:type="dxa"/>
            <w:right w:w="31" w:type="dxa"/>
          </w:tblCellMar>
        </w:tblPrEx>
        <w:trPr>
          <w:cantSplit/>
        </w:trPr>
        <w:tc>
          <w:tcPr>
            <w:tcW w:w="2064" w:type="dxa"/>
            <w:vAlign w:val="center"/>
          </w:tcPr>
          <w:p>
            <w:pPr>
              <w:ind w:firstLine="420" w:firstLineChars="200"/>
              <w:rPr>
                <w:szCs w:val="21"/>
              </w:rPr>
            </w:pPr>
            <w:r>
              <w:rPr>
                <w:rFonts w:hint="eastAsia"/>
                <w:szCs w:val="21"/>
              </w:rPr>
              <w:t>其中：未实现融资收益</w:t>
            </w:r>
          </w:p>
        </w:tc>
        <w:tc>
          <w:tcPr>
            <w:tcW w:w="1177" w:type="dxa"/>
            <w:vAlign w:val="center"/>
          </w:tcPr>
          <w:p>
            <w:pPr>
              <w:ind w:right="105" w:rightChars="50"/>
              <w:jc w:val="right"/>
              <w:rPr>
                <w:szCs w:val="21"/>
              </w:rPr>
            </w:pPr>
            <w:r>
              <w:t>56,271.03</w:t>
            </w:r>
          </w:p>
        </w:tc>
        <w:tc>
          <w:tcPr>
            <w:tcW w:w="636" w:type="dxa"/>
            <w:vAlign w:val="center"/>
          </w:tcPr>
          <w:p>
            <w:pPr>
              <w:ind w:right="105" w:rightChars="50"/>
              <w:jc w:val="right"/>
              <w:rPr>
                <w:szCs w:val="21"/>
              </w:rPr>
            </w:pPr>
          </w:p>
        </w:tc>
        <w:tc>
          <w:tcPr>
            <w:tcW w:w="1211" w:type="dxa"/>
            <w:vAlign w:val="center"/>
          </w:tcPr>
          <w:p>
            <w:pPr>
              <w:ind w:right="105" w:rightChars="50"/>
              <w:jc w:val="right"/>
              <w:rPr>
                <w:szCs w:val="21"/>
              </w:rPr>
            </w:pPr>
            <w:r>
              <w:t>56,271.03</w:t>
            </w:r>
          </w:p>
        </w:tc>
        <w:tc>
          <w:tcPr>
            <w:tcW w:w="1393" w:type="dxa"/>
            <w:vAlign w:val="center"/>
          </w:tcPr>
          <w:p>
            <w:pPr>
              <w:ind w:right="105" w:rightChars="50"/>
              <w:jc w:val="right"/>
              <w:rPr>
                <w:szCs w:val="21"/>
              </w:rPr>
            </w:pPr>
            <w:r>
              <w:t>120,691.57</w:t>
            </w:r>
          </w:p>
        </w:tc>
        <w:tc>
          <w:tcPr>
            <w:tcW w:w="540" w:type="dxa"/>
            <w:vAlign w:val="center"/>
          </w:tcPr>
          <w:p>
            <w:pPr>
              <w:ind w:right="105" w:rightChars="50"/>
              <w:jc w:val="right"/>
              <w:rPr>
                <w:szCs w:val="21"/>
              </w:rPr>
            </w:pPr>
          </w:p>
        </w:tc>
        <w:tc>
          <w:tcPr>
            <w:tcW w:w="1272" w:type="dxa"/>
            <w:tcBorders>
              <w:right w:val="single" w:color="auto" w:sz="4" w:space="0"/>
            </w:tcBorders>
            <w:vAlign w:val="center"/>
          </w:tcPr>
          <w:p>
            <w:pPr>
              <w:ind w:right="105" w:rightChars="50"/>
              <w:jc w:val="right"/>
              <w:rPr>
                <w:szCs w:val="21"/>
              </w:rPr>
            </w:pPr>
            <w:r>
              <w:t>120,691.57</w:t>
            </w:r>
          </w:p>
        </w:tc>
        <w:tc>
          <w:tcPr>
            <w:tcW w:w="751" w:type="dxa"/>
            <w:tcBorders>
              <w:left w:val="single" w:color="auto" w:sz="4" w:space="0"/>
            </w:tcBorders>
            <w:vAlign w:val="center"/>
          </w:tcPr>
          <w:p>
            <w:pPr>
              <w:ind w:right="105" w:rightChars="50"/>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1" w:type="dxa"/>
            <w:bottom w:w="0" w:type="dxa"/>
            <w:right w:w="31" w:type="dxa"/>
          </w:tblCellMar>
        </w:tblPrEx>
        <w:trPr>
          <w:cantSplit/>
        </w:trPr>
        <w:tc>
          <w:tcPr>
            <w:tcW w:w="2064" w:type="dxa"/>
            <w:vAlign w:val="center"/>
          </w:tcPr>
          <w:p>
            <w:pPr>
              <w:rPr>
                <w:szCs w:val="21"/>
              </w:rPr>
            </w:pPr>
            <w:r>
              <w:rPr>
                <w:rFonts w:hint="eastAsia"/>
                <w:szCs w:val="21"/>
              </w:rPr>
              <w:t>分期收款销售商品</w:t>
            </w:r>
          </w:p>
        </w:tc>
        <w:tc>
          <w:tcPr>
            <w:tcW w:w="1177" w:type="dxa"/>
            <w:vAlign w:val="center"/>
          </w:tcPr>
          <w:p>
            <w:pPr>
              <w:ind w:right="105" w:rightChars="50"/>
              <w:jc w:val="right"/>
              <w:rPr>
                <w:szCs w:val="21"/>
              </w:rPr>
            </w:pPr>
          </w:p>
        </w:tc>
        <w:tc>
          <w:tcPr>
            <w:tcW w:w="636" w:type="dxa"/>
            <w:vAlign w:val="center"/>
          </w:tcPr>
          <w:p>
            <w:pPr>
              <w:ind w:right="105" w:rightChars="50"/>
              <w:jc w:val="right"/>
              <w:rPr>
                <w:szCs w:val="21"/>
              </w:rPr>
            </w:pPr>
          </w:p>
        </w:tc>
        <w:tc>
          <w:tcPr>
            <w:tcW w:w="1211" w:type="dxa"/>
            <w:vAlign w:val="center"/>
          </w:tcPr>
          <w:p>
            <w:pPr>
              <w:ind w:right="105" w:rightChars="50"/>
              <w:jc w:val="right"/>
              <w:rPr>
                <w:szCs w:val="21"/>
              </w:rPr>
            </w:pPr>
          </w:p>
        </w:tc>
        <w:tc>
          <w:tcPr>
            <w:tcW w:w="1393" w:type="dxa"/>
            <w:vAlign w:val="center"/>
          </w:tcPr>
          <w:p>
            <w:pPr>
              <w:ind w:right="105" w:rightChars="50"/>
              <w:jc w:val="right"/>
              <w:rPr>
                <w:szCs w:val="21"/>
              </w:rPr>
            </w:pPr>
          </w:p>
        </w:tc>
        <w:tc>
          <w:tcPr>
            <w:tcW w:w="540" w:type="dxa"/>
            <w:vAlign w:val="center"/>
          </w:tcPr>
          <w:p>
            <w:pPr>
              <w:ind w:right="105" w:rightChars="50"/>
              <w:jc w:val="right"/>
              <w:rPr>
                <w:szCs w:val="21"/>
              </w:rPr>
            </w:pPr>
          </w:p>
        </w:tc>
        <w:tc>
          <w:tcPr>
            <w:tcW w:w="1272" w:type="dxa"/>
            <w:tcBorders>
              <w:right w:val="single" w:color="auto" w:sz="4" w:space="0"/>
            </w:tcBorders>
            <w:vAlign w:val="center"/>
          </w:tcPr>
          <w:p>
            <w:pPr>
              <w:ind w:right="105" w:rightChars="50"/>
              <w:jc w:val="right"/>
              <w:rPr>
                <w:szCs w:val="21"/>
              </w:rPr>
            </w:pPr>
          </w:p>
        </w:tc>
        <w:tc>
          <w:tcPr>
            <w:tcW w:w="751" w:type="dxa"/>
            <w:tcBorders>
              <w:left w:val="single" w:color="auto" w:sz="4" w:space="0"/>
            </w:tcBorders>
            <w:vAlign w:val="center"/>
          </w:tcPr>
          <w:p>
            <w:pPr>
              <w:ind w:right="105" w:rightChars="50"/>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1" w:type="dxa"/>
            <w:bottom w:w="0" w:type="dxa"/>
            <w:right w:w="31" w:type="dxa"/>
          </w:tblCellMar>
        </w:tblPrEx>
        <w:trPr>
          <w:cantSplit/>
        </w:trPr>
        <w:tc>
          <w:tcPr>
            <w:tcW w:w="2064" w:type="dxa"/>
            <w:tcBorders>
              <w:bottom w:val="single" w:color="auto" w:sz="6" w:space="0"/>
            </w:tcBorders>
            <w:vAlign w:val="center"/>
          </w:tcPr>
          <w:p>
            <w:pPr>
              <w:rPr>
                <w:szCs w:val="21"/>
              </w:rPr>
            </w:pPr>
            <w:r>
              <w:rPr>
                <w:rFonts w:hint="eastAsia"/>
                <w:szCs w:val="21"/>
              </w:rPr>
              <w:t>分期收款提供劳务</w:t>
            </w:r>
          </w:p>
        </w:tc>
        <w:tc>
          <w:tcPr>
            <w:tcW w:w="1177" w:type="dxa"/>
            <w:vAlign w:val="center"/>
          </w:tcPr>
          <w:p>
            <w:pPr>
              <w:ind w:right="105" w:rightChars="50"/>
              <w:jc w:val="right"/>
              <w:rPr>
                <w:szCs w:val="21"/>
              </w:rPr>
            </w:pPr>
          </w:p>
        </w:tc>
        <w:tc>
          <w:tcPr>
            <w:tcW w:w="636" w:type="dxa"/>
            <w:vAlign w:val="center"/>
          </w:tcPr>
          <w:p>
            <w:pPr>
              <w:ind w:right="105" w:rightChars="50"/>
              <w:jc w:val="right"/>
              <w:rPr>
                <w:szCs w:val="21"/>
              </w:rPr>
            </w:pPr>
          </w:p>
        </w:tc>
        <w:tc>
          <w:tcPr>
            <w:tcW w:w="1211" w:type="dxa"/>
            <w:vAlign w:val="center"/>
          </w:tcPr>
          <w:p>
            <w:pPr>
              <w:ind w:right="105" w:rightChars="50"/>
              <w:jc w:val="right"/>
              <w:rPr>
                <w:szCs w:val="21"/>
              </w:rPr>
            </w:pPr>
          </w:p>
        </w:tc>
        <w:tc>
          <w:tcPr>
            <w:tcW w:w="1393" w:type="dxa"/>
            <w:vAlign w:val="center"/>
          </w:tcPr>
          <w:p>
            <w:pPr>
              <w:ind w:right="105" w:rightChars="50"/>
              <w:jc w:val="right"/>
              <w:rPr>
                <w:szCs w:val="21"/>
              </w:rPr>
            </w:pPr>
          </w:p>
        </w:tc>
        <w:tc>
          <w:tcPr>
            <w:tcW w:w="540" w:type="dxa"/>
            <w:vAlign w:val="center"/>
          </w:tcPr>
          <w:p>
            <w:pPr>
              <w:ind w:right="105" w:rightChars="50"/>
              <w:jc w:val="right"/>
              <w:rPr>
                <w:szCs w:val="21"/>
              </w:rPr>
            </w:pPr>
          </w:p>
        </w:tc>
        <w:tc>
          <w:tcPr>
            <w:tcW w:w="1272" w:type="dxa"/>
            <w:tcBorders>
              <w:right w:val="single" w:color="auto" w:sz="4" w:space="0"/>
            </w:tcBorders>
            <w:vAlign w:val="center"/>
          </w:tcPr>
          <w:p>
            <w:pPr>
              <w:ind w:right="105" w:rightChars="50"/>
              <w:jc w:val="right"/>
              <w:rPr>
                <w:szCs w:val="21"/>
              </w:rPr>
            </w:pPr>
          </w:p>
        </w:tc>
        <w:tc>
          <w:tcPr>
            <w:tcW w:w="751" w:type="dxa"/>
            <w:tcBorders>
              <w:left w:val="single" w:color="auto" w:sz="4" w:space="0"/>
            </w:tcBorders>
            <w:vAlign w:val="center"/>
          </w:tcPr>
          <w:p>
            <w:pPr>
              <w:ind w:right="105" w:rightChars="50"/>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1" w:type="dxa"/>
            <w:bottom w:w="0" w:type="dxa"/>
            <w:right w:w="31" w:type="dxa"/>
          </w:tblCellMar>
        </w:tblPrEx>
        <w:trPr>
          <w:cantSplit/>
        </w:trPr>
        <w:tc>
          <w:tcPr>
            <w:tcW w:w="2064" w:type="dxa"/>
            <w:vAlign w:val="center"/>
          </w:tcPr>
          <w:p>
            <w:pPr>
              <w:rPr>
                <w:szCs w:val="21"/>
              </w:rPr>
            </w:pPr>
            <w:r>
              <w:rPr>
                <w:rFonts w:hint="eastAsia"/>
                <w:color w:val="auto"/>
                <w:szCs w:val="21"/>
              </w:rPr>
              <w:t>减：一年内到期的长期应收款</w:t>
            </w:r>
          </w:p>
        </w:tc>
        <w:tc>
          <w:tcPr>
            <w:tcW w:w="1177" w:type="dxa"/>
            <w:vAlign w:val="center"/>
          </w:tcPr>
          <w:p>
            <w:pPr>
              <w:ind w:right="105" w:rightChars="50"/>
              <w:jc w:val="right"/>
              <w:rPr>
                <w:szCs w:val="21"/>
              </w:rPr>
            </w:pPr>
            <w:r>
              <w:t>551,240.96</w:t>
            </w:r>
          </w:p>
        </w:tc>
        <w:tc>
          <w:tcPr>
            <w:tcW w:w="636" w:type="dxa"/>
            <w:vAlign w:val="center"/>
          </w:tcPr>
          <w:p>
            <w:pPr>
              <w:ind w:right="105" w:rightChars="50"/>
              <w:jc w:val="right"/>
              <w:rPr>
                <w:szCs w:val="21"/>
              </w:rPr>
            </w:pPr>
          </w:p>
        </w:tc>
        <w:tc>
          <w:tcPr>
            <w:tcW w:w="1211" w:type="dxa"/>
            <w:vAlign w:val="center"/>
          </w:tcPr>
          <w:p>
            <w:pPr>
              <w:ind w:right="105" w:rightChars="50"/>
              <w:jc w:val="right"/>
              <w:rPr>
                <w:szCs w:val="21"/>
              </w:rPr>
            </w:pPr>
            <w:r>
              <w:t>551,240.96</w:t>
            </w:r>
          </w:p>
        </w:tc>
        <w:tc>
          <w:tcPr>
            <w:tcW w:w="1393" w:type="dxa"/>
            <w:vAlign w:val="center"/>
          </w:tcPr>
          <w:p>
            <w:pPr>
              <w:ind w:right="105" w:rightChars="50"/>
              <w:jc w:val="right"/>
              <w:rPr>
                <w:szCs w:val="21"/>
              </w:rPr>
            </w:pPr>
            <w:r>
              <w:t>552,007.40</w:t>
            </w:r>
          </w:p>
        </w:tc>
        <w:tc>
          <w:tcPr>
            <w:tcW w:w="540" w:type="dxa"/>
            <w:vAlign w:val="center"/>
          </w:tcPr>
          <w:p>
            <w:pPr>
              <w:ind w:right="105" w:rightChars="50"/>
              <w:jc w:val="right"/>
              <w:rPr>
                <w:szCs w:val="21"/>
              </w:rPr>
            </w:pPr>
          </w:p>
        </w:tc>
        <w:tc>
          <w:tcPr>
            <w:tcW w:w="1272" w:type="dxa"/>
            <w:tcBorders>
              <w:right w:val="single" w:color="auto" w:sz="4" w:space="0"/>
            </w:tcBorders>
            <w:vAlign w:val="center"/>
          </w:tcPr>
          <w:p>
            <w:pPr>
              <w:ind w:right="105" w:rightChars="50"/>
              <w:jc w:val="right"/>
              <w:rPr>
                <w:szCs w:val="21"/>
              </w:rPr>
            </w:pPr>
            <w:r>
              <w:t>552,007.40</w:t>
            </w:r>
          </w:p>
        </w:tc>
        <w:tc>
          <w:tcPr>
            <w:tcW w:w="751" w:type="dxa"/>
            <w:tcBorders>
              <w:left w:val="single" w:color="auto" w:sz="4" w:space="0"/>
            </w:tcBorders>
            <w:vAlign w:val="center"/>
          </w:tcPr>
          <w:p>
            <w:pPr>
              <w:ind w:right="105" w:rightChars="50"/>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1" w:type="dxa"/>
            <w:bottom w:w="0" w:type="dxa"/>
            <w:right w:w="31" w:type="dxa"/>
          </w:tblCellMar>
        </w:tblPrEx>
        <w:trPr>
          <w:cantSplit/>
        </w:trPr>
        <w:tc>
          <w:tcPr>
            <w:tcW w:w="2064" w:type="dxa"/>
            <w:vAlign w:val="center"/>
          </w:tcPr>
          <w:p>
            <w:pPr>
              <w:rPr>
                <w:rFonts w:hint="eastAsia"/>
                <w:szCs w:val="21"/>
              </w:rPr>
            </w:pPr>
            <w:r>
              <w:t>减：未实现融资收益</w:t>
            </w:r>
          </w:p>
        </w:tc>
        <w:tc>
          <w:tcPr>
            <w:tcW w:w="1177" w:type="dxa"/>
            <w:vAlign w:val="center"/>
          </w:tcPr>
          <w:p>
            <w:pPr>
              <w:ind w:right="105" w:rightChars="50"/>
              <w:jc w:val="right"/>
            </w:pPr>
            <w:r>
              <w:t>56,271.03</w:t>
            </w:r>
          </w:p>
        </w:tc>
        <w:tc>
          <w:tcPr>
            <w:tcW w:w="636" w:type="dxa"/>
            <w:vAlign w:val="center"/>
          </w:tcPr>
          <w:p>
            <w:pPr>
              <w:ind w:right="105" w:rightChars="50"/>
              <w:jc w:val="right"/>
              <w:rPr>
                <w:szCs w:val="21"/>
              </w:rPr>
            </w:pPr>
          </w:p>
        </w:tc>
        <w:tc>
          <w:tcPr>
            <w:tcW w:w="1211" w:type="dxa"/>
            <w:vAlign w:val="center"/>
          </w:tcPr>
          <w:p>
            <w:pPr>
              <w:ind w:right="105" w:rightChars="50"/>
              <w:jc w:val="right"/>
            </w:pPr>
            <w:r>
              <w:t>56,271.03</w:t>
            </w:r>
          </w:p>
        </w:tc>
        <w:tc>
          <w:tcPr>
            <w:tcW w:w="1393" w:type="dxa"/>
            <w:vAlign w:val="center"/>
          </w:tcPr>
          <w:p>
            <w:pPr>
              <w:ind w:right="105" w:rightChars="50"/>
              <w:jc w:val="right"/>
            </w:pPr>
            <w:r>
              <w:t>120,691.57</w:t>
            </w:r>
          </w:p>
        </w:tc>
        <w:tc>
          <w:tcPr>
            <w:tcW w:w="540" w:type="dxa"/>
            <w:vAlign w:val="center"/>
          </w:tcPr>
          <w:p>
            <w:pPr>
              <w:ind w:right="105" w:rightChars="50"/>
              <w:jc w:val="right"/>
              <w:rPr>
                <w:szCs w:val="21"/>
              </w:rPr>
            </w:pPr>
          </w:p>
        </w:tc>
        <w:tc>
          <w:tcPr>
            <w:tcW w:w="1272" w:type="dxa"/>
            <w:tcBorders>
              <w:right w:val="single" w:color="auto" w:sz="4" w:space="0"/>
            </w:tcBorders>
            <w:vAlign w:val="center"/>
          </w:tcPr>
          <w:p>
            <w:pPr>
              <w:ind w:right="105" w:rightChars="50"/>
              <w:jc w:val="right"/>
            </w:pPr>
            <w:r>
              <w:t>120,691.57</w:t>
            </w:r>
          </w:p>
        </w:tc>
        <w:tc>
          <w:tcPr>
            <w:tcW w:w="751" w:type="dxa"/>
            <w:tcBorders>
              <w:left w:val="single" w:color="auto" w:sz="4" w:space="0"/>
            </w:tcBorders>
            <w:vAlign w:val="center"/>
          </w:tcPr>
          <w:p>
            <w:pPr>
              <w:ind w:right="105" w:rightChars="50"/>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1" w:type="dxa"/>
            <w:bottom w:w="0" w:type="dxa"/>
            <w:right w:w="31" w:type="dxa"/>
          </w:tblCellMar>
        </w:tblPrEx>
        <w:trPr>
          <w:cantSplit/>
        </w:trPr>
        <w:tc>
          <w:tcPr>
            <w:tcW w:w="2064" w:type="dxa"/>
            <w:vAlign w:val="center"/>
          </w:tcPr>
          <w:p>
            <w:pPr>
              <w:jc w:val="center"/>
              <w:rPr>
                <w:szCs w:val="21"/>
              </w:rPr>
            </w:pPr>
            <w:r>
              <w:rPr>
                <w:rFonts w:hint="eastAsia"/>
                <w:szCs w:val="21"/>
              </w:rPr>
              <w:t>合计</w:t>
            </w:r>
          </w:p>
        </w:tc>
        <w:tc>
          <w:tcPr>
            <w:tcW w:w="1177" w:type="dxa"/>
            <w:vAlign w:val="center"/>
          </w:tcPr>
          <w:p>
            <w:pPr>
              <w:ind w:right="105" w:rightChars="50"/>
              <w:jc w:val="right"/>
              <w:rPr>
                <w:szCs w:val="21"/>
              </w:rPr>
            </w:pPr>
            <w:r>
              <w:rPr>
                <w:rFonts w:hint="eastAsia"/>
                <w:color w:val="auto"/>
                <w:szCs w:val="21"/>
              </w:rPr>
              <w:t>357,093.09</w:t>
            </w:r>
          </w:p>
        </w:tc>
        <w:tc>
          <w:tcPr>
            <w:tcW w:w="636" w:type="dxa"/>
            <w:vAlign w:val="center"/>
          </w:tcPr>
          <w:p>
            <w:pPr>
              <w:ind w:right="105" w:rightChars="50"/>
              <w:jc w:val="right"/>
              <w:rPr>
                <w:szCs w:val="21"/>
              </w:rPr>
            </w:pPr>
          </w:p>
        </w:tc>
        <w:tc>
          <w:tcPr>
            <w:tcW w:w="1211" w:type="dxa"/>
            <w:vAlign w:val="center"/>
          </w:tcPr>
          <w:p>
            <w:pPr>
              <w:ind w:right="105" w:rightChars="50"/>
              <w:jc w:val="right"/>
              <w:rPr>
                <w:szCs w:val="21"/>
              </w:rPr>
            </w:pPr>
            <w:r>
              <w:rPr>
                <w:rFonts w:hint="eastAsia"/>
                <w:color w:val="auto"/>
                <w:szCs w:val="21"/>
              </w:rPr>
              <w:t>357,093.09</w:t>
            </w:r>
          </w:p>
        </w:tc>
        <w:tc>
          <w:tcPr>
            <w:tcW w:w="1393" w:type="dxa"/>
            <w:vAlign w:val="center"/>
          </w:tcPr>
          <w:p>
            <w:pPr>
              <w:ind w:right="105" w:rightChars="50"/>
              <w:jc w:val="right"/>
              <w:rPr>
                <w:szCs w:val="21"/>
              </w:rPr>
            </w:pPr>
            <w:r>
              <w:rPr>
                <w:rFonts w:hint="eastAsia"/>
                <w:color w:val="auto"/>
                <w:szCs w:val="21"/>
              </w:rPr>
              <w:t>1,032,140.40</w:t>
            </w:r>
          </w:p>
        </w:tc>
        <w:tc>
          <w:tcPr>
            <w:tcW w:w="540" w:type="dxa"/>
            <w:vAlign w:val="center"/>
          </w:tcPr>
          <w:p>
            <w:pPr>
              <w:ind w:right="105" w:rightChars="50"/>
              <w:jc w:val="right"/>
              <w:rPr>
                <w:szCs w:val="21"/>
              </w:rPr>
            </w:pPr>
          </w:p>
        </w:tc>
        <w:tc>
          <w:tcPr>
            <w:tcW w:w="1272" w:type="dxa"/>
            <w:tcBorders>
              <w:right w:val="single" w:color="auto" w:sz="4" w:space="0"/>
            </w:tcBorders>
            <w:vAlign w:val="center"/>
          </w:tcPr>
          <w:p>
            <w:pPr>
              <w:ind w:right="105" w:rightChars="50"/>
              <w:jc w:val="right"/>
              <w:rPr>
                <w:szCs w:val="21"/>
              </w:rPr>
            </w:pPr>
            <w:r>
              <w:rPr>
                <w:rFonts w:hint="eastAsia"/>
                <w:color w:val="auto"/>
                <w:szCs w:val="21"/>
              </w:rPr>
              <w:t>1,032,140.40</w:t>
            </w:r>
          </w:p>
        </w:tc>
        <w:tc>
          <w:tcPr>
            <w:tcW w:w="751" w:type="dxa"/>
            <w:tcBorders>
              <w:left w:val="single" w:color="auto" w:sz="4" w:space="0"/>
            </w:tcBorders>
            <w:vAlign w:val="center"/>
          </w:tcPr>
          <w:p>
            <w:pPr>
              <w:ind w:right="105" w:rightChars="50"/>
              <w:jc w:val="center"/>
              <w:rPr>
                <w:szCs w:val="21"/>
              </w:rPr>
            </w:pPr>
            <w:r>
              <w:rPr>
                <w:rFonts w:hint="eastAsia"/>
                <w:szCs w:val="21"/>
              </w:rPr>
              <w:t>/</w:t>
            </w:r>
          </w:p>
        </w:tc>
      </w:tr>
    </w:tbl>
    <w:p/>
    <w:p>
      <w:pPr>
        <w:pStyle w:val="5"/>
        <w:numPr>
          <w:ilvl w:val="3"/>
          <w:numId w:val="74"/>
        </w:numPr>
        <w:ind w:left="426" w:hanging="426"/>
        <w:rPr>
          <w:rFonts w:hint="eastAsia" w:ascii="宋体" w:hAnsi="宋体" w:eastAsia="宋体" w:cs="宋体"/>
          <w:kern w:val="0"/>
          <w:szCs w:val="24"/>
        </w:rPr>
      </w:pPr>
      <w:r>
        <w:rPr>
          <w:rFonts w:hint="eastAsia" w:ascii="宋体" w:hAnsi="宋体" w:eastAsia="宋体" w:cs="宋体"/>
          <w:kern w:val="0"/>
          <w:szCs w:val="24"/>
        </w:rPr>
        <w:t>按</w:t>
      </w:r>
      <w:r>
        <w:rPr>
          <w:rFonts w:ascii="宋体" w:hAnsi="宋体" w:eastAsia="宋体" w:cs="宋体"/>
          <w:kern w:val="0"/>
          <w:szCs w:val="24"/>
        </w:rPr>
        <w:t>坏账计提方法分类披露</w:t>
      </w:r>
    </w:p>
    <w:sdt>
      <w:sdtPr>
        <w:alias w:val="是否适用：按坏账计提方法分类披露[双击切换]"/>
        <w:tag w:val="_GBC_b88f58fcc61342f3b795c44388b6782b"/>
        <w:id w:val="7063"/>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400" w:lineRule="exact"/>
            <w:textAlignment w:val="auto"/>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t>按单项计提坏账准备：</w:t>
      </w:r>
    </w:p>
    <w:sdt>
      <w:sdtPr>
        <w:alias w:val="是否适用：按单项计提坏账准备的详细情况[双击切换]"/>
        <w:tag w:val="_GBC_19243c464e23496a87380a02fccd7f4a"/>
        <w:id w:val="7064"/>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400" w:lineRule="exact"/>
            <w:textAlignment w:val="auto"/>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szCs w:val="21"/>
        </w:rPr>
      </w:pPr>
      <w:r>
        <w:rPr>
          <w:rFonts w:hint="eastAsia"/>
          <w:szCs w:val="21"/>
        </w:rPr>
        <w:t>按单项计提坏账准备的说明：</w:t>
      </w:r>
    </w:p>
    <w:sdt>
      <w:sdtPr>
        <w:rPr>
          <w:szCs w:val="21"/>
        </w:rPr>
        <w:alias w:val="是否适用：按单项计提坏账准备的说明[双击切换]"/>
        <w:tag w:val="_GBC_ee6f2bb0912a4ff4a6aa0561400844a8"/>
        <w:id w:val="7065"/>
        <w:placeholder>
          <w:docPart w:val="GBC22222222222222222222222222222"/>
        </w:placeholder>
      </w:sdtPr>
      <w:sdtEndPr>
        <w:rPr>
          <w:szCs w:val="21"/>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rFonts w:ascii="Calibri" w:hAnsi="Calibri"/>
          <w:bCs/>
          <w:szCs w:val="22"/>
        </w:rPr>
      </w:pPr>
      <w:r>
        <w:rPr>
          <w:rFonts w:hint="eastAsia" w:ascii="Calibri" w:hAnsi="Calibri"/>
          <w:bCs/>
          <w:szCs w:val="22"/>
        </w:rPr>
        <w:t>按组合计提坏账准备：</w:t>
      </w:r>
    </w:p>
    <w:sdt>
      <w:sdtPr>
        <w:rPr>
          <w:rFonts w:ascii="Calibri" w:hAnsi="Calibri"/>
          <w:bCs/>
          <w:szCs w:val="22"/>
        </w:rPr>
        <w:alias w:val="是否适用：按组合计提坏账准备的详细情况[双击切换]"/>
        <w:tag w:val="_GBC_e6c71fc91a6941b5af515956aed70086"/>
        <w:id w:val="7066"/>
        <w:placeholder>
          <w:docPart w:val="GBC22222222222222222222222222222"/>
        </w:placeholder>
      </w:sdtPr>
      <w:sdtEndPr>
        <w:rPr>
          <w:rFonts w:ascii="Calibri" w:hAnsi="Calibri"/>
          <w:bCs/>
          <w:szCs w:val="22"/>
        </w:rPr>
      </w:sdtEndPr>
      <w:sdtContent>
        <w:p>
          <w:pPr>
            <w:rPr>
              <w:rFonts w:ascii="Calibri" w:hAnsi="Calibri"/>
              <w:bCs/>
              <w:szCs w:val="22"/>
            </w:rPr>
          </w:pPr>
          <w:r>
            <w:rPr>
              <w:rFonts w:ascii="宋体" w:hAnsi="宋体"/>
              <w:bCs/>
              <w:szCs w:val="22"/>
            </w:rPr>
            <w:fldChar w:fldCharType="begin"/>
          </w:r>
          <w:r>
            <w:rPr>
              <w:rFonts w:ascii="宋体" w:hAnsi="宋体"/>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Pr>
              <w:rFonts w:ascii="宋体" w:hAnsi="宋体"/>
              <w:bCs/>
              <w:szCs w:val="22"/>
            </w:rPr>
            <w:instrText xml:space="preserve"> MACROBUTTON  SnrToggleCheckbox √不适用 </w:instrText>
          </w:r>
          <w:r>
            <w:rPr>
              <w:rFonts w:ascii="宋体" w:hAnsi="宋体"/>
              <w:bCs/>
              <w:szCs w:val="22"/>
            </w:rPr>
            <w:fldChar w:fldCharType="end"/>
          </w:r>
        </w:p>
      </w:sdtContent>
    </w:sdt>
    <w:bookmarkEnd w:id="286"/>
    <w:p>
      <w:pPr>
        <w:pStyle w:val="5"/>
        <w:numPr>
          <w:ilvl w:val="3"/>
          <w:numId w:val="74"/>
        </w:numPr>
        <w:ind w:left="426" w:hanging="426"/>
        <w:rPr>
          <w:rFonts w:hint="eastAsia" w:ascii="宋体" w:hAnsi="宋体" w:eastAsia="宋体" w:cs="宋体"/>
          <w:kern w:val="0"/>
          <w:szCs w:val="24"/>
        </w:rPr>
      </w:pPr>
      <w:bookmarkStart w:id="287" w:name="_Hlk533872428"/>
      <w:r>
        <w:rPr>
          <w:rFonts w:hint="eastAsia" w:ascii="宋体" w:hAnsi="宋体" w:eastAsia="宋体" w:cs="宋体"/>
          <w:kern w:val="0"/>
          <w:szCs w:val="24"/>
        </w:rPr>
        <w:t>按预期信用损失一般模型计提坏账准备</w:t>
      </w:r>
    </w:p>
    <w:sdt>
      <w:sdtPr>
        <w:alias w:val="是否适用：长期应收款坏账准备调节表[双击切换]"/>
        <w:tag w:val="_GBC_83c414b79fa243258be4f4c6998e475c"/>
        <w:id w:val="7067"/>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t>各阶段划分依据和坏账准备计提比例</w:t>
      </w:r>
    </w:p>
    <w:sdt>
      <w:sdtPr>
        <w:alias w:val="长期应收款各阶段划分依据和减值准备计提比例"/>
        <w:tag w:val="_GBC_1ce93281b7234898b8b1b4056be89182"/>
        <w:id w:val="7068"/>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t>无</w:t>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t>对本期发生损失准备变动的长期应收款账面余额显著变动的情况说明：</w:t>
      </w:r>
    </w:p>
    <w:sdt>
      <w:sdtPr>
        <w:alias w:val="是否适用：长期应收款本期发生损失准备变动且账面余额显著变动的情况说明[双击切换]"/>
        <w:tag w:val="_GBC_8e2c1b904a3a4c10829d424151d47109"/>
        <w:id w:val="7069"/>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400" w:lineRule="exact"/>
            <w:textAlignment w:val="auto"/>
          </w:pPr>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bookmarkEnd w:id="287"/>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t>本期坏账准备计提金额以及评估金融工具的信用风险是否显著增加的采用依据</w:t>
      </w:r>
    </w:p>
    <w:sdt>
      <w:sdtPr>
        <w:alias w:val="是否适用：长期应收款坏账准备计提金额以及评估金融工具的信用风险显著增加的采用依据[双击切换]"/>
        <w:tag w:val="_GBC_ceed52ae8ff44f9ca03fb80cb11f18fc"/>
        <w:id w:val="7070"/>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400" w:lineRule="exact"/>
            <w:textAlignment w:val="auto"/>
          </w:pPr>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pPr>
        <w:pStyle w:val="5"/>
        <w:numPr>
          <w:ilvl w:val="3"/>
          <w:numId w:val="74"/>
        </w:numPr>
        <w:ind w:left="426" w:hanging="426"/>
        <w:rPr>
          <w:rFonts w:hint="eastAsia" w:ascii="宋体" w:hAnsi="宋体" w:eastAsia="宋体" w:cs="宋体"/>
          <w:kern w:val="0"/>
          <w:szCs w:val="24"/>
        </w:rPr>
      </w:pPr>
      <w:bookmarkStart w:id="288" w:name="_Hlk154131356"/>
      <w:bookmarkStart w:id="289" w:name="_Hlk153457634"/>
      <w:r>
        <w:rPr>
          <w:rFonts w:hint="eastAsia" w:ascii="宋体" w:hAnsi="宋体" w:eastAsia="宋体" w:cs="宋体"/>
          <w:kern w:val="0"/>
          <w:szCs w:val="24"/>
        </w:rPr>
        <w:t>坏账准备的情况</w:t>
      </w:r>
    </w:p>
    <w:sdt>
      <w:sdtPr>
        <w:alias w:val="是否适用：坏账准备情况[双击切换]"/>
        <w:tag w:val="_GBC_1878fe8dd18b4d7f9eb1b263bc7833d1"/>
        <w:id w:val="7071"/>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pStyle w:val="73"/>
      </w:pPr>
    </w:p>
    <w:bookmarkEnd w:id="288"/>
    <w:p>
      <w:r>
        <w:rPr>
          <w:rFonts w:hint="eastAsia"/>
        </w:rPr>
        <w:t>其中本期坏账准备收回或转回金额重要的：</w:t>
      </w:r>
    </w:p>
    <w:sdt>
      <w:sdtPr>
        <w:alias w:val="是否适用：本期坏账准备收回或转回金额重要的[双击切换]"/>
        <w:tag w:val="_GBC_b4e3b5deca584587a596a753699de6b7"/>
        <w:id w:val="7072"/>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r>
        <w:rPr>
          <w:rFonts w:hint="eastAsia"/>
        </w:rPr>
        <w:t>其他说明：</w:t>
      </w:r>
    </w:p>
    <w:sdt>
      <w:sdtPr>
        <w:alias w:val="坏账准备情况的说明"/>
        <w:tag w:val="_GBC_b5a80a414fe14b5c9e4001ca8a0f4bbf"/>
        <w:id w:val="7073"/>
        <w:placeholder>
          <w:docPart w:val="GBC22222222222222222222222222222"/>
        </w:placeholder>
      </w:sdtPr>
      <w:sdtContent>
        <w:p>
          <w:pPr>
            <w:ind w:right="42" w:rightChars="20"/>
          </w:pPr>
          <w:r>
            <w:t>无</w:t>
          </w:r>
        </w:p>
      </w:sdtContent>
    </w:sdt>
    <w:p>
      <w:pPr>
        <w:ind w:right="-1594" w:rightChars="-759"/>
      </w:pPr>
    </w:p>
    <w:p>
      <w:pPr>
        <w:pStyle w:val="5"/>
        <w:numPr>
          <w:ilvl w:val="3"/>
          <w:numId w:val="74"/>
        </w:numPr>
        <w:ind w:left="426" w:hanging="426"/>
        <w:rPr>
          <w:rFonts w:hint="eastAsia" w:ascii="宋体" w:hAnsi="宋体" w:eastAsia="宋体" w:cs="宋体"/>
          <w:kern w:val="0"/>
          <w:szCs w:val="24"/>
        </w:rPr>
      </w:pPr>
      <w:r>
        <w:rPr>
          <w:rFonts w:ascii="宋体" w:hAnsi="宋体" w:eastAsia="宋体" w:cs="宋体"/>
          <w:kern w:val="0"/>
          <w:szCs w:val="24"/>
        </w:rPr>
        <w:t>本期实际核销的</w:t>
      </w:r>
      <w:r>
        <w:rPr>
          <w:rFonts w:hint="eastAsia" w:ascii="宋体" w:hAnsi="宋体" w:eastAsia="宋体" w:cs="宋体"/>
          <w:kern w:val="0"/>
          <w:szCs w:val="24"/>
        </w:rPr>
        <w:t>长期应收款</w:t>
      </w:r>
      <w:r>
        <w:rPr>
          <w:rFonts w:ascii="宋体" w:hAnsi="宋体" w:eastAsia="宋体" w:cs="宋体"/>
          <w:kern w:val="0"/>
          <w:szCs w:val="24"/>
        </w:rPr>
        <w:t>情况</w:t>
      </w:r>
    </w:p>
    <w:sdt>
      <w:sdtPr>
        <w:alias w:val="是否适用：实际核销的情况[双击切换]"/>
        <w:tag w:val="_GBC_e9d4e4f95df144d1beb521844e7c35e7"/>
        <w:id w:val="7074"/>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rPr>
          <w:szCs w:val="21"/>
        </w:rPr>
      </w:pPr>
      <w:r>
        <w:rPr>
          <w:rFonts w:hint="eastAsia"/>
          <w:szCs w:val="21"/>
        </w:rPr>
        <w:t>其中重要的长期应收款核销情况</w:t>
      </w:r>
    </w:p>
    <w:sdt>
      <w:sdtPr>
        <w:rPr>
          <w:rFonts w:hint="eastAsia"/>
          <w:szCs w:val="21"/>
        </w:rPr>
        <w:alias w:val="是否适用：重要的核销情况[双击切换]"/>
        <w:tag w:val="_GBC_17fbcf123507404b9fc25df0517e3788"/>
        <w:id w:val="7075"/>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snapToGrid w:val="0"/>
        <w:spacing w:line="240" w:lineRule="atLeast"/>
        <w:rPr>
          <w:szCs w:val="21"/>
        </w:rPr>
      </w:pPr>
    </w:p>
    <w:p>
      <w:pPr>
        <w:snapToGrid w:val="0"/>
        <w:spacing w:line="240" w:lineRule="atLeast"/>
        <w:rPr>
          <w:szCs w:val="21"/>
        </w:rPr>
      </w:pPr>
      <w:r>
        <w:rPr>
          <w:rFonts w:hint="eastAsia"/>
          <w:szCs w:val="21"/>
        </w:rPr>
        <w:t>长期应收款核销说明：</w:t>
      </w:r>
    </w:p>
    <w:sdt>
      <w:sdtPr>
        <w:rPr>
          <w:szCs w:val="21"/>
        </w:rPr>
        <w:alias w:val="是否适用：核销说明[双击切换]"/>
        <w:tag w:val="_GBC_b5e2283b2a954039b963ac2506245e4d"/>
        <w:id w:val="7076"/>
        <w:placeholder>
          <w:docPart w:val="GBC22222222222222222222222222222"/>
        </w:placeholder>
      </w:sdtPr>
      <w:sdtEndPr>
        <w:rPr>
          <w:szCs w:val="21"/>
        </w:rPr>
      </w:sdtEndPr>
      <w:sdtContent>
        <w:p>
          <w:pPr>
            <w:snapToGrid w:val="0"/>
            <w:spacing w:line="240" w:lineRule="atLeast"/>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bookmarkEnd w:id="289"/>
    <w:p>
      <w:pPr>
        <w:rPr>
          <w:szCs w:val="21"/>
        </w:rPr>
      </w:pPr>
      <w:r>
        <w:rPr>
          <w:rFonts w:hint="eastAsia"/>
          <w:szCs w:val="21"/>
        </w:rPr>
        <w:t>其他说明：</w:t>
      </w:r>
    </w:p>
    <w:sdt>
      <w:sdtPr>
        <w:rPr>
          <w:szCs w:val="21"/>
        </w:rPr>
        <w:alias w:val="是否适用：长期应收款的其他说明[双击切换]"/>
        <w:tag w:val="_GBC_374ef9a861254142b9ef8519d87eb5ac"/>
        <w:id w:val="7077"/>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sdt>
      <w:sdtPr>
        <w:tag w:val="_PLD_d1119c1d5b2842cabecf581201ccbec8"/>
        <w:id w:val="7078"/>
      </w:sdtPr>
      <w:sdtContent>
        <w:p>
          <w:pPr>
            <w:pStyle w:val="4"/>
            <w:numPr>
              <w:ilvl w:val="0"/>
              <w:numId w:val="62"/>
            </w:numPr>
            <w:tabs>
              <w:tab w:val="left" w:pos="504"/>
            </w:tabs>
            <w:rPr>
              <w:rFonts w:hint="eastAsia" w:ascii="宋体" w:hAnsi="宋体"/>
              <w:szCs w:val="21"/>
            </w:rPr>
          </w:pPr>
          <w:r>
            <w:rPr>
              <w:rFonts w:hint="eastAsia" w:ascii="宋体" w:hAnsi="宋体"/>
              <w:szCs w:val="21"/>
            </w:rPr>
            <w:t>长期股权投资</w:t>
          </w:r>
        </w:p>
      </w:sdtContent>
    </w:sdt>
    <w:p>
      <w:pPr>
        <w:pStyle w:val="5"/>
        <w:numPr>
          <w:ilvl w:val="0"/>
          <w:numId w:val="75"/>
        </w:numPr>
        <w:rPr>
          <w:rFonts w:hint="eastAsia"/>
        </w:rPr>
      </w:pPr>
      <w:bookmarkStart w:id="290" w:name="_Hlk152856977"/>
      <w:r>
        <w:rPr>
          <w:rFonts w:hint="eastAsia"/>
        </w:rPr>
        <w:t>长期股权投资情况</w:t>
      </w:r>
    </w:p>
    <w:p>
      <w:sdt>
        <w:sdtPr>
          <w:rPr>
            <w:rFonts w:hint="eastAsia"/>
          </w:rPr>
          <w:alias w:val="是否适用：长期股权投资[双击切换]"/>
          <w:tag w:val="_GBC_94e2c461d3d34280a0a5f1e908656d3e"/>
          <w:id w:val="7079"/>
          <w:placeholder>
            <w:docPart w:val="GBC22222222222222222222222222222"/>
          </w:placeholder>
        </w:sdtPr>
        <w:sdtEndPr>
          <w:rPr>
            <w:rFonts w:hint="eastAsia"/>
          </w:rPr>
        </w:sdtEndPr>
        <w:sdtContent>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pPr>
        <w:jc w:val="right"/>
        <w:rPr>
          <w:szCs w:val="21"/>
        </w:rPr>
      </w:pPr>
      <w:r>
        <w:rPr>
          <w:rFonts w:hint="eastAsia"/>
          <w:szCs w:val="21"/>
        </w:rPr>
        <w:t>单位：</w:t>
      </w:r>
      <w:sdt>
        <w:sdtPr>
          <w:rPr>
            <w:rFonts w:hint="eastAsia"/>
            <w:szCs w:val="21"/>
          </w:rPr>
          <w:alias w:val="单位：财务附注：长期股权投资"/>
          <w:tag w:val="_GBC_9ef1128bd666425898c1d0386f4940f0"/>
          <w:id w:val="708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长期股权投资"/>
          <w:tag w:val="_GBC_3839232c7f594f79a27ec799cde377b3"/>
          <w:id w:val="70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bookmarkEnd w:id="290"/>
    <w:tbl>
      <w:tblPr>
        <w:tblStyle w:val="38"/>
        <w:tblW w:w="9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3"/>
        <w:gridCol w:w="1340"/>
        <w:gridCol w:w="339"/>
        <w:gridCol w:w="240"/>
        <w:gridCol w:w="661"/>
        <w:gridCol w:w="435"/>
        <w:gridCol w:w="330"/>
        <w:gridCol w:w="735"/>
        <w:gridCol w:w="405"/>
        <w:gridCol w:w="330"/>
        <w:gridCol w:w="1442"/>
        <w:gridCol w:w="1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3" w:type="dxa"/>
            <w:vMerge w:val="restart"/>
            <w:tcBorders>
              <w:top w:val="single" w:color="auto" w:sz="4" w:space="0"/>
              <w:left w:val="single" w:color="auto" w:sz="4" w:space="0"/>
              <w:right w:val="single" w:color="auto" w:sz="4" w:space="0"/>
            </w:tcBorders>
            <w:vAlign w:val="center"/>
          </w:tcPr>
          <w:sdt>
            <w:sdtPr>
              <w:tag w:val="_PLD_904000e8ce384d4988e09c22d5f8f725"/>
              <w:id w:val="147459688"/>
            </w:sdtPr>
            <w:sdtContent>
              <w:p>
                <w:pPr>
                  <w:jc w:val="center"/>
                  <w:rPr>
                    <w:szCs w:val="21"/>
                  </w:rPr>
                </w:pPr>
                <w:r>
                  <w:rPr>
                    <w:rFonts w:hint="eastAsia"/>
                    <w:szCs w:val="21"/>
                  </w:rPr>
                  <w:t>被投资单位</w:t>
                </w:r>
              </w:p>
            </w:sdtContent>
          </w:sdt>
        </w:tc>
        <w:tc>
          <w:tcPr>
            <w:tcW w:w="1340" w:type="dxa"/>
            <w:vMerge w:val="restart"/>
            <w:tcBorders>
              <w:top w:val="single" w:color="auto" w:sz="4" w:space="0"/>
              <w:left w:val="single" w:color="auto" w:sz="4" w:space="0"/>
              <w:right w:val="single" w:color="auto" w:sz="4" w:space="0"/>
            </w:tcBorders>
            <w:vAlign w:val="center"/>
          </w:tcPr>
          <w:sdt>
            <w:sdtPr>
              <w:tag w:val="_PLD_2325481f20324f949b4d5af7cfe3ea45"/>
              <w:id w:val="147468792"/>
            </w:sdtPr>
            <w:sdtContent>
              <w:p>
                <w:pPr>
                  <w:jc w:val="center"/>
                  <w:rPr>
                    <w:szCs w:val="21"/>
                  </w:rPr>
                </w:pPr>
                <w:r>
                  <w:rPr>
                    <w:rFonts w:hint="eastAsia"/>
                    <w:szCs w:val="21"/>
                  </w:rPr>
                  <w:t>期初</w:t>
                </w:r>
              </w:p>
              <w:p>
                <w:pPr>
                  <w:jc w:val="center"/>
                  <w:rPr>
                    <w:szCs w:val="21"/>
                  </w:rPr>
                </w:pPr>
                <w:r>
                  <w:rPr>
                    <w:rFonts w:hint="eastAsia"/>
                    <w:szCs w:val="21"/>
                  </w:rPr>
                  <w:t>余额（账面价值）</w:t>
                </w:r>
              </w:p>
            </w:sdtContent>
          </w:sdt>
        </w:tc>
        <w:tc>
          <w:tcPr>
            <w:tcW w:w="3475" w:type="dxa"/>
            <w:gridSpan w:val="8"/>
            <w:tcBorders>
              <w:top w:val="single" w:color="auto" w:sz="4" w:space="0"/>
              <w:left w:val="single" w:color="auto" w:sz="4" w:space="0"/>
              <w:bottom w:val="single" w:color="auto" w:sz="4" w:space="0"/>
              <w:right w:val="single" w:color="auto" w:sz="4" w:space="0"/>
            </w:tcBorders>
            <w:vAlign w:val="center"/>
          </w:tcPr>
          <w:sdt>
            <w:sdtPr>
              <w:tag w:val="_PLD_62e0836260734d34965d8070b1a6f2dd"/>
              <w:id w:val="147460012"/>
            </w:sdtPr>
            <w:sdtContent>
              <w:p>
                <w:pPr>
                  <w:jc w:val="center"/>
                  <w:rPr>
                    <w:szCs w:val="21"/>
                  </w:rPr>
                </w:pPr>
                <w:r>
                  <w:rPr>
                    <w:rFonts w:hint="eastAsia"/>
                    <w:szCs w:val="21"/>
                  </w:rPr>
                  <w:t>本期增减变动</w:t>
                </w:r>
              </w:p>
            </w:sdtContent>
          </w:sdt>
        </w:tc>
        <w:tc>
          <w:tcPr>
            <w:tcW w:w="1442" w:type="dxa"/>
            <w:tcBorders>
              <w:top w:val="single" w:color="auto" w:sz="4" w:space="0"/>
              <w:left w:val="single" w:color="auto" w:sz="4" w:space="0"/>
              <w:right w:val="single" w:color="auto" w:sz="4" w:space="0"/>
            </w:tcBorders>
            <w:vAlign w:val="center"/>
          </w:tcPr>
          <w:sdt>
            <w:sdtPr>
              <w:tag w:val="_PLD_7b9429fc29b64f4c83eea02ed0cad7ba"/>
              <w:id w:val="147472952"/>
            </w:sdtPr>
            <w:sdtContent>
              <w:p>
                <w:pPr>
                  <w:jc w:val="center"/>
                  <w:rPr>
                    <w:szCs w:val="21"/>
                  </w:rPr>
                </w:pPr>
                <w:r>
                  <w:rPr>
                    <w:rFonts w:hint="eastAsia"/>
                    <w:szCs w:val="21"/>
                  </w:rPr>
                  <w:t>期末</w:t>
                </w:r>
              </w:p>
              <w:p>
                <w:pPr>
                  <w:jc w:val="center"/>
                  <w:rPr>
                    <w:szCs w:val="21"/>
                  </w:rPr>
                </w:pPr>
                <w:r>
                  <w:rPr>
                    <w:rFonts w:hint="eastAsia"/>
                    <w:szCs w:val="21"/>
                  </w:rPr>
                  <w:t>余额（账面价值）</w:t>
                </w:r>
              </w:p>
            </w:sdtContent>
          </w:sdt>
        </w:tc>
        <w:tc>
          <w:tcPr>
            <w:tcW w:w="1325" w:type="dxa"/>
            <w:tcBorders>
              <w:top w:val="single" w:color="auto" w:sz="4" w:space="0"/>
              <w:left w:val="single" w:color="auto" w:sz="4" w:space="0"/>
              <w:right w:val="single" w:color="auto" w:sz="4" w:space="0"/>
            </w:tcBorders>
            <w:vAlign w:val="center"/>
          </w:tcPr>
          <w:sdt>
            <w:sdtPr>
              <w:tag w:val="_PLD_79298dc466f54a239357520005d5d0d6"/>
              <w:id w:val="147462447"/>
            </w:sdtPr>
            <w:sdtContent>
              <w:p>
                <w:pPr>
                  <w:jc w:val="center"/>
                  <w:rPr>
                    <w:szCs w:val="21"/>
                  </w:rPr>
                </w:pPr>
                <w:r>
                  <w:rPr>
                    <w:rFonts w:hint="eastAsia"/>
                    <w:szCs w:val="21"/>
                  </w:rPr>
                  <w:t>减值准备期末余额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3" w:type="dxa"/>
            <w:vMerge w:val="continue"/>
            <w:tcBorders>
              <w:left w:val="single" w:color="auto" w:sz="4" w:space="0"/>
              <w:bottom w:val="single" w:color="auto" w:sz="4" w:space="0"/>
              <w:right w:val="single" w:color="auto" w:sz="4" w:space="0"/>
            </w:tcBorders>
            <w:vAlign w:val="center"/>
          </w:tcPr>
          <w:p>
            <w:pPr>
              <w:jc w:val="center"/>
              <w:rPr>
                <w:szCs w:val="21"/>
              </w:rPr>
            </w:pPr>
          </w:p>
        </w:tc>
        <w:tc>
          <w:tcPr>
            <w:tcW w:w="1340" w:type="dxa"/>
            <w:vMerge w:val="continue"/>
            <w:tcBorders>
              <w:left w:val="single" w:color="auto" w:sz="4" w:space="0"/>
              <w:bottom w:val="single" w:color="auto" w:sz="4" w:space="0"/>
              <w:right w:val="single" w:color="auto" w:sz="4" w:space="0"/>
            </w:tcBorders>
            <w:vAlign w:val="center"/>
          </w:tcPr>
          <w:p>
            <w:pPr>
              <w:jc w:val="center"/>
              <w:rPr>
                <w:szCs w:val="21"/>
              </w:rPr>
            </w:pPr>
          </w:p>
        </w:tc>
        <w:tc>
          <w:tcPr>
            <w:tcW w:w="339" w:type="dxa"/>
            <w:tcBorders>
              <w:top w:val="single" w:color="auto" w:sz="4" w:space="0"/>
              <w:left w:val="single" w:color="auto" w:sz="4" w:space="0"/>
              <w:bottom w:val="single" w:color="auto" w:sz="4" w:space="0"/>
              <w:right w:val="single" w:color="auto" w:sz="4" w:space="0"/>
            </w:tcBorders>
            <w:vAlign w:val="center"/>
          </w:tcPr>
          <w:sdt>
            <w:sdtPr>
              <w:tag w:val="_PLD_32174384d8204c80ab4f8eb2ee1b7c00"/>
              <w:id w:val="147461064"/>
            </w:sdtPr>
            <w:sdtContent>
              <w:p>
                <w:pPr>
                  <w:jc w:val="center"/>
                  <w:rPr>
                    <w:szCs w:val="21"/>
                  </w:rPr>
                </w:pPr>
                <w:r>
                  <w:rPr>
                    <w:rFonts w:hint="eastAsia"/>
                    <w:szCs w:val="21"/>
                  </w:rPr>
                  <w:t>追加投资</w:t>
                </w:r>
              </w:p>
            </w:sdtContent>
          </w:sdt>
        </w:tc>
        <w:tc>
          <w:tcPr>
            <w:tcW w:w="240" w:type="dxa"/>
            <w:tcBorders>
              <w:top w:val="single" w:color="auto" w:sz="4" w:space="0"/>
              <w:left w:val="single" w:color="auto" w:sz="4" w:space="0"/>
              <w:bottom w:val="single" w:color="auto" w:sz="4" w:space="0"/>
              <w:right w:val="single" w:color="auto" w:sz="4" w:space="0"/>
            </w:tcBorders>
            <w:vAlign w:val="center"/>
          </w:tcPr>
          <w:sdt>
            <w:sdtPr>
              <w:tag w:val="_PLD_095046b604db44b8b22c0d62f18b7d7b"/>
              <w:id w:val="147456908"/>
            </w:sdtPr>
            <w:sdtContent>
              <w:p>
                <w:pPr>
                  <w:jc w:val="center"/>
                  <w:rPr>
                    <w:szCs w:val="21"/>
                  </w:rPr>
                </w:pPr>
                <w:r>
                  <w:rPr>
                    <w:rFonts w:hint="eastAsia"/>
                    <w:szCs w:val="21"/>
                  </w:rPr>
                  <w:t>减少投资</w:t>
                </w:r>
              </w:p>
            </w:sdtContent>
          </w:sdt>
        </w:tc>
        <w:tc>
          <w:tcPr>
            <w:tcW w:w="661" w:type="dxa"/>
            <w:tcBorders>
              <w:top w:val="single" w:color="auto" w:sz="4" w:space="0"/>
              <w:left w:val="single" w:color="auto" w:sz="4" w:space="0"/>
              <w:bottom w:val="single" w:color="auto" w:sz="4" w:space="0"/>
              <w:right w:val="single" w:color="auto" w:sz="4" w:space="0"/>
            </w:tcBorders>
            <w:vAlign w:val="center"/>
          </w:tcPr>
          <w:sdt>
            <w:sdtPr>
              <w:tag w:val="_PLD_6b1aa2f12a4b43c9acfdfe03af1b69b5"/>
              <w:id w:val="147471203"/>
            </w:sdtPr>
            <w:sdtContent>
              <w:p>
                <w:pPr>
                  <w:jc w:val="center"/>
                  <w:rPr>
                    <w:szCs w:val="21"/>
                  </w:rPr>
                </w:pPr>
                <w:r>
                  <w:rPr>
                    <w:rFonts w:hint="eastAsia"/>
                    <w:szCs w:val="21"/>
                  </w:rPr>
                  <w:t>权益法下确认的投资损益</w:t>
                </w:r>
              </w:p>
            </w:sdtContent>
          </w:sdt>
        </w:tc>
        <w:tc>
          <w:tcPr>
            <w:tcW w:w="435" w:type="dxa"/>
            <w:tcBorders>
              <w:top w:val="single" w:color="auto" w:sz="4" w:space="0"/>
              <w:left w:val="single" w:color="auto" w:sz="4" w:space="0"/>
              <w:bottom w:val="single" w:color="auto" w:sz="4" w:space="0"/>
              <w:right w:val="single" w:color="auto" w:sz="4" w:space="0"/>
            </w:tcBorders>
            <w:vAlign w:val="center"/>
          </w:tcPr>
          <w:sdt>
            <w:sdtPr>
              <w:tag w:val="_PLD_7843f54d0d14415a8d81c3e768bcd483"/>
              <w:id w:val="147475720"/>
            </w:sdtPr>
            <w:sdtContent>
              <w:p>
                <w:pPr>
                  <w:jc w:val="center"/>
                  <w:rPr>
                    <w:szCs w:val="21"/>
                  </w:rPr>
                </w:pPr>
                <w:r>
                  <w:rPr>
                    <w:rFonts w:hint="eastAsia"/>
                    <w:szCs w:val="21"/>
                  </w:rPr>
                  <w:t>其他综合收益调整</w:t>
                </w:r>
              </w:p>
            </w:sdtContent>
          </w:sdt>
        </w:tc>
        <w:tc>
          <w:tcPr>
            <w:tcW w:w="330" w:type="dxa"/>
            <w:tcBorders>
              <w:top w:val="single" w:color="auto" w:sz="4" w:space="0"/>
              <w:left w:val="single" w:color="auto" w:sz="4" w:space="0"/>
              <w:bottom w:val="single" w:color="auto" w:sz="4" w:space="0"/>
              <w:right w:val="single" w:color="auto" w:sz="4" w:space="0"/>
            </w:tcBorders>
            <w:vAlign w:val="center"/>
          </w:tcPr>
          <w:sdt>
            <w:sdtPr>
              <w:tag w:val="_PLD_dd698127723b4ea0815eca9ac49240a1"/>
              <w:id w:val="147472621"/>
            </w:sdtPr>
            <w:sdtContent>
              <w:p>
                <w:pPr>
                  <w:jc w:val="center"/>
                  <w:rPr>
                    <w:szCs w:val="21"/>
                  </w:rPr>
                </w:pPr>
                <w:r>
                  <w:rPr>
                    <w:rFonts w:hint="eastAsia"/>
                    <w:szCs w:val="21"/>
                  </w:rPr>
                  <w:t>其他权益变动</w:t>
                </w:r>
              </w:p>
            </w:sdtContent>
          </w:sdt>
        </w:tc>
        <w:tc>
          <w:tcPr>
            <w:tcW w:w="735" w:type="dxa"/>
            <w:tcBorders>
              <w:top w:val="single" w:color="auto" w:sz="4" w:space="0"/>
              <w:left w:val="single" w:color="auto" w:sz="4" w:space="0"/>
              <w:bottom w:val="single" w:color="auto" w:sz="4" w:space="0"/>
              <w:right w:val="single" w:color="auto" w:sz="4" w:space="0"/>
            </w:tcBorders>
            <w:vAlign w:val="center"/>
          </w:tcPr>
          <w:sdt>
            <w:sdtPr>
              <w:tag w:val="_PLD_6d37a876ad014b7ba59d452d3d7f5f15"/>
              <w:id w:val="147467726"/>
            </w:sdtPr>
            <w:sdtContent>
              <w:p>
                <w:pPr>
                  <w:jc w:val="center"/>
                  <w:rPr>
                    <w:szCs w:val="21"/>
                  </w:rPr>
                </w:pPr>
                <w:r>
                  <w:rPr>
                    <w:rFonts w:hint="eastAsia"/>
                    <w:szCs w:val="21"/>
                  </w:rPr>
                  <w:t>宣告发放现金股利或利润</w:t>
                </w:r>
              </w:p>
            </w:sdtContent>
          </w:sdt>
        </w:tc>
        <w:tc>
          <w:tcPr>
            <w:tcW w:w="405" w:type="dxa"/>
            <w:tcBorders>
              <w:top w:val="single" w:color="auto" w:sz="4" w:space="0"/>
              <w:left w:val="single" w:color="auto" w:sz="4" w:space="0"/>
              <w:bottom w:val="single" w:color="auto" w:sz="4" w:space="0"/>
              <w:right w:val="single" w:color="auto" w:sz="4" w:space="0"/>
            </w:tcBorders>
            <w:vAlign w:val="center"/>
          </w:tcPr>
          <w:sdt>
            <w:sdtPr>
              <w:tag w:val="_PLD_050d96d5e62f42b9bb4f13a2ca047503"/>
              <w:id w:val="147457101"/>
            </w:sdtPr>
            <w:sdtContent>
              <w:p>
                <w:pPr>
                  <w:jc w:val="center"/>
                  <w:rPr>
                    <w:szCs w:val="21"/>
                  </w:rPr>
                </w:pPr>
                <w:r>
                  <w:rPr>
                    <w:rFonts w:hint="eastAsia"/>
                    <w:szCs w:val="21"/>
                  </w:rPr>
                  <w:t>计提减值准备</w:t>
                </w:r>
              </w:p>
            </w:sdtContent>
          </w:sdt>
        </w:tc>
        <w:tc>
          <w:tcPr>
            <w:tcW w:w="330" w:type="dxa"/>
            <w:tcBorders>
              <w:top w:val="single" w:color="auto" w:sz="4" w:space="0"/>
              <w:left w:val="single" w:color="auto" w:sz="4" w:space="0"/>
              <w:bottom w:val="single" w:color="auto" w:sz="4" w:space="0"/>
              <w:right w:val="single" w:color="auto" w:sz="4" w:space="0"/>
            </w:tcBorders>
            <w:vAlign w:val="center"/>
          </w:tcPr>
          <w:sdt>
            <w:sdtPr>
              <w:tag w:val="_PLD_add111e25b4543c48121d495919f2030"/>
              <w:id w:val="147457276"/>
            </w:sdtPr>
            <w:sdtContent>
              <w:p>
                <w:pPr>
                  <w:jc w:val="center"/>
                  <w:rPr>
                    <w:szCs w:val="21"/>
                  </w:rPr>
                </w:pPr>
                <w:r>
                  <w:rPr>
                    <w:rFonts w:hint="eastAsia"/>
                    <w:szCs w:val="21"/>
                  </w:rPr>
                  <w:t>其他</w:t>
                </w:r>
              </w:p>
            </w:sdtContent>
          </w:sdt>
        </w:tc>
        <w:tc>
          <w:tcPr>
            <w:tcW w:w="1442" w:type="dxa"/>
            <w:tcBorders>
              <w:left w:val="single" w:color="auto" w:sz="4" w:space="0"/>
              <w:right w:val="single" w:color="auto" w:sz="4" w:space="0"/>
            </w:tcBorders>
            <w:vAlign w:val="center"/>
          </w:tcPr>
          <w:p>
            <w:pPr>
              <w:jc w:val="center"/>
              <w:rPr>
                <w:szCs w:val="21"/>
              </w:rPr>
            </w:pPr>
          </w:p>
        </w:tc>
        <w:tc>
          <w:tcPr>
            <w:tcW w:w="1325" w:type="dxa"/>
            <w:tcBorders>
              <w:left w:val="single" w:color="auto" w:sz="4" w:space="0"/>
              <w:right w:val="single"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5" w:type="dxa"/>
            <w:gridSpan w:val="12"/>
            <w:tcBorders>
              <w:top w:val="single" w:color="auto" w:sz="4" w:space="0"/>
              <w:left w:val="single" w:color="auto" w:sz="4" w:space="0"/>
              <w:bottom w:val="single" w:color="auto" w:sz="4" w:space="0"/>
              <w:right w:val="single" w:color="auto" w:sz="4" w:space="0"/>
            </w:tcBorders>
            <w:vAlign w:val="center"/>
          </w:tcPr>
          <w:sdt>
            <w:sdtPr>
              <w:tag w:val="_PLD_35b755e14b594e4c91e0b7c9ecb32e60"/>
              <w:id w:val="147465150"/>
            </w:sdtPr>
            <w:sdtContent>
              <w:p>
                <w:pPr>
                  <w:jc w:val="both"/>
                  <w:rPr>
                    <w:szCs w:val="21"/>
                  </w:rPr>
                </w:pPr>
                <w:r>
                  <w:rPr>
                    <w:rFonts w:hint="eastAsia"/>
                    <w:szCs w:val="21"/>
                  </w:rPr>
                  <w:t>一、合营企业</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3" w:type="dxa"/>
            <w:tcBorders>
              <w:top w:val="single" w:color="auto" w:sz="4" w:space="0"/>
              <w:left w:val="single" w:color="auto" w:sz="4" w:space="0"/>
              <w:bottom w:val="single" w:color="auto" w:sz="4" w:space="0"/>
              <w:right w:val="single" w:color="auto" w:sz="4" w:space="0"/>
            </w:tcBorders>
            <w:vAlign w:val="center"/>
          </w:tcPr>
          <w:p>
            <w:pPr>
              <w:jc w:val="both"/>
              <w:rPr>
                <w:szCs w:val="21"/>
              </w:rPr>
            </w:pPr>
            <w:r>
              <w:rPr>
                <w:rFonts w:hint="eastAsia"/>
                <w:szCs w:val="21"/>
              </w:rPr>
              <w:t>小计</w:t>
            </w:r>
          </w:p>
        </w:tc>
        <w:tc>
          <w:tcPr>
            <w:tcW w:w="134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339"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24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661"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33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73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40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33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42"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32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5" w:type="dxa"/>
            <w:gridSpan w:val="12"/>
            <w:tcBorders>
              <w:top w:val="single" w:color="auto" w:sz="4" w:space="0"/>
              <w:left w:val="single" w:color="auto" w:sz="4" w:space="0"/>
              <w:bottom w:val="single" w:color="auto" w:sz="4" w:space="0"/>
              <w:right w:val="single" w:color="auto" w:sz="4" w:space="0"/>
            </w:tcBorders>
            <w:vAlign w:val="center"/>
          </w:tcPr>
          <w:sdt>
            <w:sdtPr>
              <w:tag w:val="_PLD_2c448562bca04f23a9ec97848768cd82"/>
              <w:id w:val="147463450"/>
            </w:sdtPr>
            <w:sdtContent>
              <w:p>
                <w:pPr>
                  <w:jc w:val="both"/>
                  <w:rPr>
                    <w:szCs w:val="21"/>
                  </w:rPr>
                </w:pPr>
                <w:r>
                  <w:rPr>
                    <w:rFonts w:hint="eastAsia"/>
                    <w:szCs w:val="21"/>
                  </w:rPr>
                  <w:t>二、联营企业</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3" w:type="dxa"/>
            <w:tcBorders>
              <w:top w:val="single" w:color="auto" w:sz="4" w:space="0"/>
              <w:left w:val="single" w:color="auto" w:sz="4" w:space="0"/>
              <w:bottom w:val="single" w:color="auto" w:sz="4" w:space="0"/>
              <w:right w:val="single" w:color="auto" w:sz="4" w:space="0"/>
            </w:tcBorders>
            <w:vAlign w:val="center"/>
          </w:tcPr>
          <w:p>
            <w:pPr>
              <w:jc w:val="both"/>
              <w:rPr>
                <w:rFonts w:hint="eastAsia"/>
                <w:szCs w:val="21"/>
              </w:rPr>
            </w:pPr>
            <w:r>
              <w:rPr>
                <w:rFonts w:hint="eastAsia"/>
                <w:color w:val="auto"/>
                <w:szCs w:val="21"/>
              </w:rPr>
              <w:t>柳州市玉洁口腔卫生用品有限责任公司</w:t>
            </w:r>
          </w:p>
        </w:tc>
        <w:tc>
          <w:tcPr>
            <w:tcW w:w="134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3,854,508.49</w:t>
            </w:r>
          </w:p>
        </w:tc>
        <w:tc>
          <w:tcPr>
            <w:tcW w:w="339"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24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661"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33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73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40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33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4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3,854,508.49</w:t>
            </w:r>
          </w:p>
        </w:tc>
        <w:tc>
          <w:tcPr>
            <w:tcW w:w="132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3,854,508.49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3" w:type="dxa"/>
            <w:tcBorders>
              <w:top w:val="single" w:color="auto" w:sz="4" w:space="0"/>
              <w:left w:val="single" w:color="auto" w:sz="4" w:space="0"/>
              <w:bottom w:val="single" w:color="auto" w:sz="4" w:space="0"/>
              <w:right w:val="single" w:color="auto" w:sz="4" w:space="0"/>
            </w:tcBorders>
            <w:vAlign w:val="center"/>
          </w:tcPr>
          <w:p>
            <w:pPr>
              <w:jc w:val="both"/>
              <w:rPr>
                <w:rFonts w:hint="eastAsia"/>
                <w:szCs w:val="21"/>
              </w:rPr>
            </w:pPr>
            <w:r>
              <w:rPr>
                <w:rFonts w:hint="eastAsia"/>
                <w:color w:val="auto"/>
                <w:szCs w:val="21"/>
              </w:rPr>
              <w:t>广西两面针九洲房地产开发有限公司</w:t>
            </w:r>
          </w:p>
        </w:tc>
        <w:tc>
          <w:tcPr>
            <w:tcW w:w="134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3,916,163.14</w:t>
            </w:r>
          </w:p>
        </w:tc>
        <w:tc>
          <w:tcPr>
            <w:tcW w:w="339"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24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661"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33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73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40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33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4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3,916,163.14</w:t>
            </w:r>
          </w:p>
        </w:tc>
        <w:tc>
          <w:tcPr>
            <w:tcW w:w="132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3,916,163.14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3" w:type="dxa"/>
            <w:tcBorders>
              <w:top w:val="single" w:color="auto" w:sz="4" w:space="0"/>
              <w:left w:val="single" w:color="auto" w:sz="4" w:space="0"/>
              <w:bottom w:val="single" w:color="auto" w:sz="4" w:space="0"/>
              <w:right w:val="single" w:color="auto" w:sz="4" w:space="0"/>
            </w:tcBorders>
            <w:vAlign w:val="center"/>
          </w:tcPr>
          <w:p>
            <w:pPr>
              <w:jc w:val="both"/>
              <w:rPr>
                <w:rFonts w:hint="eastAsia"/>
                <w:szCs w:val="21"/>
              </w:rPr>
            </w:pPr>
            <w:r>
              <w:rPr>
                <w:rFonts w:hint="eastAsia"/>
                <w:color w:val="auto"/>
                <w:szCs w:val="21"/>
              </w:rPr>
              <w:t>成都同基医药有限公司</w:t>
            </w:r>
          </w:p>
        </w:tc>
        <w:tc>
          <w:tcPr>
            <w:tcW w:w="134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1,652,476.44</w:t>
            </w:r>
          </w:p>
        </w:tc>
        <w:tc>
          <w:tcPr>
            <w:tcW w:w="339"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24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661"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33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73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40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33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42" w:type="dxa"/>
            <w:tcBorders>
              <w:top w:val="single" w:color="auto" w:sz="4" w:space="0"/>
              <w:left w:val="single" w:color="auto" w:sz="4" w:space="0"/>
              <w:bottom w:val="single" w:color="auto" w:sz="4" w:space="0"/>
              <w:right w:val="single" w:color="auto" w:sz="4" w:space="0"/>
            </w:tcBorders>
            <w:vAlign w:val="center"/>
          </w:tcPr>
          <w:p>
            <w:pPr>
              <w:jc w:val="right"/>
              <w:rPr>
                <w:szCs w:val="21"/>
              </w:rPr>
            </w:pPr>
            <w:r>
              <w:t>1,652,476.44</w:t>
            </w:r>
          </w:p>
        </w:tc>
        <w:tc>
          <w:tcPr>
            <w:tcW w:w="1325" w:type="dxa"/>
            <w:tcBorders>
              <w:top w:val="single" w:color="auto" w:sz="4" w:space="0"/>
              <w:left w:val="single" w:color="auto" w:sz="4" w:space="0"/>
              <w:bottom w:val="single" w:color="auto" w:sz="4" w:space="0"/>
              <w:right w:val="single" w:color="auto" w:sz="4" w:space="0"/>
            </w:tcBorders>
            <w:vAlign w:val="center"/>
          </w:tcPr>
          <w:p>
            <w:pPr>
              <w:jc w:val="right"/>
              <w:rPr>
                <w:szCs w:val="21"/>
              </w:rPr>
            </w:pPr>
            <w:r>
              <w:t>1,652,476.44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3" w:type="dxa"/>
            <w:tcBorders>
              <w:top w:val="single" w:color="auto" w:sz="4" w:space="0"/>
              <w:left w:val="single" w:color="auto" w:sz="4" w:space="0"/>
              <w:bottom w:val="single" w:color="auto" w:sz="4" w:space="0"/>
              <w:right w:val="single" w:color="auto" w:sz="4" w:space="0"/>
            </w:tcBorders>
            <w:vAlign w:val="center"/>
          </w:tcPr>
          <w:p>
            <w:pPr>
              <w:jc w:val="both"/>
              <w:rPr>
                <w:rFonts w:hint="eastAsia"/>
                <w:szCs w:val="21"/>
              </w:rPr>
            </w:pPr>
            <w:r>
              <w:rPr>
                <w:rFonts w:hint="eastAsia"/>
                <w:color w:val="auto"/>
                <w:szCs w:val="21"/>
              </w:rPr>
              <w:t>广西亿康南药药业种植有限责任公司</w:t>
            </w:r>
          </w:p>
        </w:tc>
        <w:tc>
          <w:tcPr>
            <w:tcW w:w="134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339"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24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661"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33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73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40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33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42"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32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3" w:type="dxa"/>
            <w:tcBorders>
              <w:top w:val="single" w:color="auto" w:sz="4" w:space="0"/>
              <w:left w:val="single" w:color="auto" w:sz="4" w:space="0"/>
              <w:bottom w:val="single" w:color="auto" w:sz="4" w:space="0"/>
              <w:right w:val="single" w:color="auto" w:sz="4" w:space="0"/>
            </w:tcBorders>
            <w:vAlign w:val="center"/>
          </w:tcPr>
          <w:p>
            <w:pPr>
              <w:jc w:val="both"/>
              <w:rPr>
                <w:szCs w:val="21"/>
              </w:rPr>
            </w:pPr>
            <w:r>
              <w:rPr>
                <w:rFonts w:hint="eastAsia"/>
                <w:szCs w:val="21"/>
              </w:rPr>
              <w:t>小计</w:t>
            </w:r>
          </w:p>
        </w:tc>
        <w:tc>
          <w:tcPr>
            <w:tcW w:w="134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9,423,148.07</w:t>
            </w:r>
          </w:p>
        </w:tc>
        <w:tc>
          <w:tcPr>
            <w:tcW w:w="339"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24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661"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33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73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40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33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4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9,423,148.07</w:t>
            </w:r>
          </w:p>
        </w:tc>
        <w:tc>
          <w:tcPr>
            <w:tcW w:w="132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9,423,148.07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3"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合计</w:t>
            </w:r>
          </w:p>
        </w:tc>
        <w:tc>
          <w:tcPr>
            <w:tcW w:w="134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9,423,148.07</w:t>
            </w:r>
          </w:p>
        </w:tc>
        <w:tc>
          <w:tcPr>
            <w:tcW w:w="339"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24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661"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33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73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40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33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4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9,423,148.07</w:t>
            </w:r>
          </w:p>
        </w:tc>
        <w:tc>
          <w:tcPr>
            <w:tcW w:w="132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9,423,148.07</w:t>
            </w:r>
          </w:p>
        </w:tc>
      </w:tr>
    </w:tbl>
    <w:p/>
    <w:p>
      <w:pPr>
        <w:snapToGrid w:val="0"/>
        <w:spacing w:line="240" w:lineRule="atLeast"/>
        <w:rPr>
          <w:szCs w:val="21"/>
        </w:rPr>
      </w:pPr>
    </w:p>
    <w:p>
      <w:pPr>
        <w:pStyle w:val="5"/>
        <w:numPr>
          <w:ilvl w:val="0"/>
          <w:numId w:val="75"/>
        </w:numPr>
        <w:rPr>
          <w:rFonts w:hint="eastAsia"/>
        </w:rPr>
      </w:pPr>
      <w:r>
        <w:rPr>
          <w:rFonts w:hint="eastAsia"/>
        </w:rPr>
        <w:t>长期股权投资的减值测试情况</w:t>
      </w:r>
    </w:p>
    <w:sdt>
      <w:sdtPr>
        <w:alias w:val="是否适用：减值测试情况[双击切换]"/>
        <w:tag w:val="_GBC_869bca5d4169451086ae6ff386220647"/>
        <w:id w:val="7097"/>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napToGrid w:val="0"/>
        <w:spacing w:line="240" w:lineRule="atLeast"/>
        <w:rPr>
          <w:szCs w:val="21"/>
        </w:rPr>
      </w:pPr>
      <w:r>
        <w:rPr>
          <w:rFonts w:hint="eastAsia"/>
          <w:szCs w:val="21"/>
        </w:rPr>
        <w:t>其他说明：</w:t>
      </w:r>
    </w:p>
    <w:sdt>
      <w:sdtPr>
        <w:rPr>
          <w:szCs w:val="21"/>
        </w:rPr>
        <w:alias w:val="长期股票投资的说明"/>
        <w:tag w:val="_GBC_4023b747651f4831814ee17f68bb62d6"/>
        <w:id w:val="7098"/>
        <w:placeholder>
          <w:docPart w:val="GBC22222222222222222222222222222"/>
        </w:placeholder>
      </w:sdtPr>
      <w:sdtEndPr>
        <w:rPr>
          <w:szCs w:val="21"/>
        </w:rPr>
      </w:sdtEndPr>
      <w:sdtContent>
        <w:p>
          <w:pPr>
            <w:snapToGrid w:val="0"/>
            <w:spacing w:line="240" w:lineRule="atLeast"/>
            <w:rPr>
              <w:szCs w:val="21"/>
            </w:rPr>
          </w:pPr>
          <w:r>
            <w:rPr>
              <w:rFonts w:hint="eastAsia"/>
              <w:szCs w:val="21"/>
            </w:rPr>
            <w:t>无</w:t>
          </w:r>
        </w:p>
      </w:sdtContent>
    </w:sdt>
    <w:p>
      <w:pPr>
        <w:snapToGrid w:val="0"/>
        <w:spacing w:line="240" w:lineRule="atLeast"/>
        <w:rPr>
          <w:szCs w:val="21"/>
        </w:rPr>
        <w:sectPr>
          <w:pgSz w:w="11906" w:h="16838"/>
          <w:pgMar w:top="1440" w:right="1797" w:bottom="1525" w:left="1276" w:header="856" w:footer="992" w:gutter="0"/>
          <w:cols w:space="425" w:num="1"/>
          <w:docGrid w:linePitch="312" w:charSpace="0"/>
        </w:sectPr>
      </w:pPr>
    </w:p>
    <w:p>
      <w:pPr>
        <w:pStyle w:val="17"/>
      </w:pPr>
    </w:p>
    <w:p>
      <w:pPr>
        <w:pStyle w:val="4"/>
        <w:numPr>
          <w:ilvl w:val="0"/>
          <w:numId w:val="62"/>
        </w:numPr>
        <w:tabs>
          <w:tab w:val="left" w:pos="504"/>
        </w:tabs>
        <w:rPr>
          <w:szCs w:val="21"/>
        </w:rPr>
      </w:pPr>
      <w:bookmarkStart w:id="291" w:name="_Hlk533409702"/>
      <w:bookmarkStart w:id="292" w:name="_Hlk152858292"/>
      <w:bookmarkStart w:id="293" w:name="_Hlk533409746"/>
      <w:r>
        <w:rPr>
          <w:rFonts w:hint="eastAsia"/>
          <w:szCs w:val="21"/>
        </w:rPr>
        <w:t>其他权益工具投资</w:t>
      </w:r>
    </w:p>
    <w:p>
      <w:pPr>
        <w:pStyle w:val="5"/>
        <w:numPr>
          <w:ilvl w:val="3"/>
          <w:numId w:val="76"/>
        </w:numPr>
        <w:ind w:left="426" w:hanging="426"/>
        <w:rPr>
          <w:rFonts w:hint="eastAsia"/>
        </w:rPr>
      </w:pPr>
      <w:bookmarkStart w:id="294" w:name="_Hlk532994936"/>
      <w:r>
        <w:rPr>
          <w:rFonts w:hint="eastAsia"/>
        </w:rPr>
        <w:t>其他权益工具投资情况</w:t>
      </w:r>
    </w:p>
    <w:sdt>
      <w:sdtPr>
        <w:alias w:val="是否适用：其他权益工具投资情况[双击切换]"/>
        <w:tag w:val="_GBC_d086d5c38ce84090b98eac90481c97aa"/>
        <w:id w:val="7099"/>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autoSpaceDE w:val="0"/>
        <w:autoSpaceDN w:val="0"/>
        <w:adjustRightInd w:val="0"/>
        <w:ind w:left="5880" w:right="105"/>
        <w:jc w:val="right"/>
        <w:rPr>
          <w:szCs w:val="21"/>
        </w:rPr>
      </w:pPr>
      <w:r>
        <w:rPr>
          <w:rFonts w:hint="eastAsia"/>
          <w:szCs w:val="21"/>
        </w:rPr>
        <w:t>单位：</w:t>
      </w:r>
      <w:sdt>
        <w:sdtPr>
          <w:rPr>
            <w:rFonts w:hint="eastAsia"/>
            <w:szCs w:val="21"/>
          </w:rPr>
          <w:alias w:val="单位：其他权益工具投资情况"/>
          <w:tag w:val="_GBC_afada4c07d144e589675aeac548ff1d0"/>
          <w:id w:val="710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其他权益工具投资情况"/>
          <w:tag w:val="_GBC_b0fd0da2e6914f91b6f9923463f182a5"/>
          <w:id w:val="710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bookmarkEnd w:id="291"/>
    <w:bookmarkEnd w:id="294"/>
    <w:tbl>
      <w:tblPr>
        <w:tblStyle w:val="38"/>
        <w:tblW w:w="14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1620"/>
        <w:gridCol w:w="480"/>
        <w:gridCol w:w="620"/>
        <w:gridCol w:w="807"/>
        <w:gridCol w:w="862"/>
        <w:gridCol w:w="415"/>
        <w:gridCol w:w="1669"/>
        <w:gridCol w:w="1451"/>
        <w:gridCol w:w="970"/>
        <w:gridCol w:w="1468"/>
        <w:gridCol w:w="2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5" w:type="dxa"/>
            <w:vMerge w:val="restart"/>
            <w:tcBorders>
              <w:top w:val="single" w:color="auto" w:sz="4" w:space="0"/>
              <w:left w:val="single" w:color="auto" w:sz="4" w:space="0"/>
              <w:right w:val="single" w:color="auto" w:sz="4" w:space="0"/>
            </w:tcBorders>
            <w:vAlign w:val="center"/>
          </w:tcPr>
          <w:sdt>
            <w:sdtPr>
              <w:tag w:val="_PLD_0f1e4cd012be4666a6aee1d8ddb3d5fc"/>
              <w:id w:val="7102"/>
            </w:sdtPr>
            <w:sdtContent>
              <w:p>
                <w:pPr>
                  <w:jc w:val="center"/>
                  <w:rPr>
                    <w:szCs w:val="21"/>
                  </w:rPr>
                </w:pPr>
                <w:r>
                  <w:rPr>
                    <w:rFonts w:hint="eastAsia"/>
                    <w:szCs w:val="21"/>
                  </w:rPr>
                  <w:t>项目</w:t>
                </w:r>
              </w:p>
            </w:sdtContent>
          </w:sdt>
        </w:tc>
        <w:tc>
          <w:tcPr>
            <w:tcW w:w="1620" w:type="dxa"/>
            <w:vMerge w:val="restart"/>
            <w:tcBorders>
              <w:top w:val="single" w:color="auto" w:sz="4" w:space="0"/>
              <w:left w:val="single" w:color="auto" w:sz="4" w:space="0"/>
              <w:right w:val="single" w:color="auto" w:sz="4" w:space="0"/>
            </w:tcBorders>
            <w:vAlign w:val="center"/>
          </w:tcPr>
          <w:sdt>
            <w:sdtPr>
              <w:tag w:val="_PLD_cd86550f752a4870b5ecfa3ace922f6d"/>
              <w:id w:val="7103"/>
            </w:sdtPr>
            <w:sdtContent>
              <w:p>
                <w:pPr>
                  <w:jc w:val="center"/>
                  <w:rPr>
                    <w:szCs w:val="21"/>
                  </w:rPr>
                </w:pPr>
                <w:r>
                  <w:rPr>
                    <w:rFonts w:hint="eastAsia"/>
                    <w:szCs w:val="21"/>
                  </w:rPr>
                  <w:t>期初</w:t>
                </w:r>
              </w:p>
              <w:p>
                <w:pPr>
                  <w:jc w:val="center"/>
                  <w:rPr>
                    <w:szCs w:val="21"/>
                  </w:rPr>
                </w:pPr>
                <w:r>
                  <w:rPr>
                    <w:rFonts w:hint="eastAsia"/>
                    <w:szCs w:val="21"/>
                  </w:rPr>
                  <w:t>余额</w:t>
                </w:r>
              </w:p>
            </w:sdtContent>
          </w:sdt>
        </w:tc>
        <w:tc>
          <w:tcPr>
            <w:tcW w:w="3184" w:type="dxa"/>
            <w:gridSpan w:val="5"/>
            <w:tcBorders>
              <w:top w:val="single" w:color="auto" w:sz="4" w:space="0"/>
              <w:left w:val="single" w:color="auto" w:sz="4" w:space="0"/>
              <w:bottom w:val="single" w:color="auto" w:sz="4" w:space="0"/>
              <w:right w:val="single" w:color="auto" w:sz="4" w:space="0"/>
            </w:tcBorders>
            <w:vAlign w:val="center"/>
          </w:tcPr>
          <w:sdt>
            <w:sdtPr>
              <w:tag w:val="_PLD_379e5b07c94943c082f8141e69827eb8"/>
              <w:id w:val="7104"/>
            </w:sdtPr>
            <w:sdtContent>
              <w:p>
                <w:pPr>
                  <w:jc w:val="center"/>
                  <w:rPr>
                    <w:szCs w:val="21"/>
                  </w:rPr>
                </w:pPr>
                <w:r>
                  <w:rPr>
                    <w:rFonts w:hint="eastAsia"/>
                    <w:szCs w:val="21"/>
                  </w:rPr>
                  <w:t>本期增减变动</w:t>
                </w:r>
              </w:p>
            </w:sdtContent>
          </w:sdt>
        </w:tc>
        <w:tc>
          <w:tcPr>
            <w:tcW w:w="1669" w:type="dxa"/>
            <w:tcBorders>
              <w:top w:val="single" w:color="auto" w:sz="4" w:space="0"/>
              <w:left w:val="single" w:color="auto" w:sz="4" w:space="0"/>
              <w:right w:val="single" w:color="auto" w:sz="4" w:space="0"/>
            </w:tcBorders>
            <w:vAlign w:val="center"/>
          </w:tcPr>
          <w:sdt>
            <w:sdtPr>
              <w:tag w:val="_PLD_ac415aedc9c6446485bac805332ca59b"/>
              <w:id w:val="7105"/>
            </w:sdtPr>
            <w:sdtContent>
              <w:p>
                <w:pPr>
                  <w:jc w:val="center"/>
                  <w:rPr>
                    <w:szCs w:val="21"/>
                  </w:rPr>
                </w:pPr>
                <w:r>
                  <w:rPr>
                    <w:rFonts w:hint="eastAsia"/>
                    <w:szCs w:val="21"/>
                  </w:rPr>
                  <w:t>期末</w:t>
                </w:r>
              </w:p>
              <w:p>
                <w:pPr>
                  <w:jc w:val="center"/>
                  <w:rPr>
                    <w:szCs w:val="21"/>
                  </w:rPr>
                </w:pPr>
                <w:r>
                  <w:rPr>
                    <w:rFonts w:hint="eastAsia"/>
                    <w:szCs w:val="21"/>
                  </w:rPr>
                  <w:t>余额</w:t>
                </w:r>
              </w:p>
            </w:sdtContent>
          </w:sdt>
        </w:tc>
        <w:tc>
          <w:tcPr>
            <w:tcW w:w="1451" w:type="dxa"/>
            <w:tcBorders>
              <w:top w:val="single" w:color="auto" w:sz="4" w:space="0"/>
              <w:left w:val="single" w:color="auto" w:sz="4" w:space="0"/>
              <w:right w:val="single" w:color="auto" w:sz="4" w:space="0"/>
            </w:tcBorders>
            <w:vAlign w:val="center"/>
          </w:tcPr>
          <w:sdt>
            <w:sdtPr>
              <w:tag w:val="_PLD_d139f6e8adbe4eb2bd13c29bba65a2f9"/>
              <w:id w:val="7106"/>
            </w:sdtPr>
            <w:sdtContent>
              <w:p>
                <w:pPr>
                  <w:jc w:val="center"/>
                  <w:rPr>
                    <w:szCs w:val="21"/>
                  </w:rPr>
                </w:pPr>
                <w:r>
                  <w:rPr>
                    <w:rFonts w:hint="eastAsia"/>
                    <w:szCs w:val="21"/>
                  </w:rPr>
                  <w:t>本期确认的股利收入</w:t>
                </w:r>
              </w:p>
            </w:sdtContent>
          </w:sdt>
        </w:tc>
        <w:tc>
          <w:tcPr>
            <w:tcW w:w="970" w:type="dxa"/>
            <w:tcBorders>
              <w:top w:val="single" w:color="auto" w:sz="4" w:space="0"/>
              <w:left w:val="single" w:color="auto" w:sz="4" w:space="0"/>
              <w:right w:val="single" w:color="auto" w:sz="4" w:space="0"/>
            </w:tcBorders>
            <w:vAlign w:val="center"/>
          </w:tcPr>
          <w:sdt>
            <w:sdtPr>
              <w:tag w:val="_PLD_0bed6b4465254f08b9b73b5b113c87f5"/>
              <w:id w:val="7107"/>
            </w:sdtPr>
            <w:sdtContent>
              <w:p>
                <w:pPr>
                  <w:jc w:val="center"/>
                  <w:rPr>
                    <w:szCs w:val="21"/>
                  </w:rPr>
                </w:pPr>
                <w:r>
                  <w:rPr>
                    <w:rFonts w:hint="eastAsia"/>
                    <w:szCs w:val="21"/>
                  </w:rPr>
                  <w:t>累计计入其他综合收益的利得</w:t>
                </w:r>
              </w:p>
            </w:sdtContent>
          </w:sdt>
        </w:tc>
        <w:tc>
          <w:tcPr>
            <w:tcW w:w="1468" w:type="dxa"/>
            <w:tcBorders>
              <w:top w:val="single" w:color="auto" w:sz="4" w:space="0"/>
              <w:left w:val="single" w:color="auto" w:sz="4" w:space="0"/>
              <w:right w:val="single" w:color="auto" w:sz="4" w:space="0"/>
            </w:tcBorders>
            <w:vAlign w:val="center"/>
          </w:tcPr>
          <w:sdt>
            <w:sdtPr>
              <w:tag w:val="_PLD_e1975ba88e6f4c8d8d6ca2c971af1701"/>
              <w:id w:val="7108"/>
            </w:sdtPr>
            <w:sdtContent>
              <w:p>
                <w:pPr>
                  <w:jc w:val="center"/>
                  <w:rPr>
                    <w:szCs w:val="21"/>
                  </w:rPr>
                </w:pPr>
                <w:r>
                  <w:rPr>
                    <w:rFonts w:hint="eastAsia"/>
                    <w:szCs w:val="21"/>
                  </w:rPr>
                  <w:t>累计计入其他综合收益的损失</w:t>
                </w:r>
              </w:p>
            </w:sdtContent>
          </w:sdt>
        </w:tc>
        <w:tc>
          <w:tcPr>
            <w:tcW w:w="2247" w:type="dxa"/>
            <w:tcBorders>
              <w:top w:val="single" w:color="auto" w:sz="4" w:space="0"/>
              <w:left w:val="single" w:color="auto" w:sz="4" w:space="0"/>
              <w:right w:val="single" w:color="auto" w:sz="4" w:space="0"/>
            </w:tcBorders>
            <w:vAlign w:val="center"/>
          </w:tcPr>
          <w:sdt>
            <w:sdtPr>
              <w:tag w:val="_PLD_22e80ab64b37459ebc83e5b928d25051"/>
              <w:id w:val="7109"/>
            </w:sdtPr>
            <w:sdtContent>
              <w:p>
                <w:pPr>
                  <w:jc w:val="center"/>
                  <w:rPr>
                    <w:szCs w:val="21"/>
                  </w:rPr>
                </w:pPr>
                <w:r>
                  <w:rPr>
                    <w:rFonts w:hint="eastAsia"/>
                  </w:rPr>
                  <w:t>指定为以公允价值计量且其变动计入其他综合收益的原因</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5" w:type="dxa"/>
            <w:vMerge w:val="continue"/>
            <w:tcBorders>
              <w:left w:val="single" w:color="auto" w:sz="4" w:space="0"/>
              <w:bottom w:val="single" w:color="auto" w:sz="4" w:space="0"/>
              <w:right w:val="single" w:color="auto" w:sz="4" w:space="0"/>
            </w:tcBorders>
            <w:vAlign w:val="center"/>
          </w:tcPr>
          <w:p>
            <w:pPr>
              <w:jc w:val="center"/>
              <w:rPr>
                <w:szCs w:val="21"/>
              </w:rPr>
            </w:pPr>
          </w:p>
        </w:tc>
        <w:tc>
          <w:tcPr>
            <w:tcW w:w="1620" w:type="dxa"/>
            <w:vMerge w:val="continue"/>
            <w:tcBorders>
              <w:left w:val="single" w:color="auto" w:sz="4" w:space="0"/>
              <w:bottom w:val="single" w:color="auto" w:sz="4" w:space="0"/>
              <w:right w:val="single" w:color="auto" w:sz="4" w:space="0"/>
            </w:tcBorders>
            <w:vAlign w:val="center"/>
          </w:tcPr>
          <w:p>
            <w:pPr>
              <w:jc w:val="center"/>
              <w:rPr>
                <w:szCs w:val="21"/>
              </w:rPr>
            </w:pPr>
          </w:p>
        </w:tc>
        <w:tc>
          <w:tcPr>
            <w:tcW w:w="480" w:type="dxa"/>
            <w:tcBorders>
              <w:top w:val="single" w:color="auto" w:sz="4" w:space="0"/>
              <w:left w:val="single" w:color="auto" w:sz="4" w:space="0"/>
              <w:bottom w:val="single" w:color="auto" w:sz="4" w:space="0"/>
              <w:right w:val="single" w:color="auto" w:sz="4" w:space="0"/>
            </w:tcBorders>
            <w:vAlign w:val="center"/>
          </w:tcPr>
          <w:sdt>
            <w:sdtPr>
              <w:tag w:val="_PLD_dcfe2e1d36cd40b9af799c21d5b8002d"/>
              <w:id w:val="7110"/>
            </w:sdtPr>
            <w:sdtContent>
              <w:p>
                <w:pPr>
                  <w:jc w:val="center"/>
                  <w:rPr>
                    <w:szCs w:val="21"/>
                  </w:rPr>
                </w:pPr>
                <w:r>
                  <w:rPr>
                    <w:rFonts w:hint="eastAsia"/>
                    <w:szCs w:val="21"/>
                  </w:rPr>
                  <w:t>追加投资</w:t>
                </w:r>
              </w:p>
            </w:sdtContent>
          </w:sdt>
        </w:tc>
        <w:tc>
          <w:tcPr>
            <w:tcW w:w="620" w:type="dxa"/>
            <w:tcBorders>
              <w:top w:val="single" w:color="auto" w:sz="4" w:space="0"/>
              <w:left w:val="single" w:color="auto" w:sz="4" w:space="0"/>
              <w:bottom w:val="single" w:color="auto" w:sz="4" w:space="0"/>
              <w:right w:val="single" w:color="auto" w:sz="4" w:space="0"/>
            </w:tcBorders>
            <w:vAlign w:val="center"/>
          </w:tcPr>
          <w:sdt>
            <w:sdtPr>
              <w:tag w:val="_PLD_35b99bcd41834275ae207d04ef825953"/>
              <w:id w:val="7111"/>
            </w:sdtPr>
            <w:sdtContent>
              <w:p>
                <w:pPr>
                  <w:jc w:val="center"/>
                  <w:rPr>
                    <w:szCs w:val="21"/>
                  </w:rPr>
                </w:pPr>
                <w:r>
                  <w:rPr>
                    <w:rFonts w:hint="eastAsia"/>
                    <w:szCs w:val="21"/>
                  </w:rPr>
                  <w:t>减少投资</w:t>
                </w:r>
              </w:p>
            </w:sdtContent>
          </w:sdt>
        </w:tc>
        <w:tc>
          <w:tcPr>
            <w:tcW w:w="807" w:type="dxa"/>
            <w:tcBorders>
              <w:top w:val="single" w:color="auto" w:sz="4" w:space="0"/>
              <w:left w:val="single" w:color="auto" w:sz="4" w:space="0"/>
              <w:bottom w:val="single" w:color="auto" w:sz="4" w:space="0"/>
              <w:right w:val="single" w:color="auto" w:sz="4" w:space="0"/>
            </w:tcBorders>
            <w:vAlign w:val="center"/>
          </w:tcPr>
          <w:sdt>
            <w:sdtPr>
              <w:tag w:val="_PLD_8a4bbeebcb134d688741468780d5bbd1"/>
              <w:id w:val="7112"/>
            </w:sdtPr>
            <w:sdtContent>
              <w:p>
                <w:pPr>
                  <w:jc w:val="center"/>
                  <w:rPr>
                    <w:szCs w:val="21"/>
                  </w:rPr>
                </w:pPr>
                <w:r>
                  <w:rPr>
                    <w:rFonts w:hint="eastAsia"/>
                    <w:szCs w:val="21"/>
                  </w:rPr>
                  <w:t>本期计入其他综合收益的利得</w:t>
                </w:r>
              </w:p>
            </w:sdtContent>
          </w:sdt>
        </w:tc>
        <w:tc>
          <w:tcPr>
            <w:tcW w:w="862" w:type="dxa"/>
            <w:tcBorders>
              <w:top w:val="single" w:color="auto" w:sz="4" w:space="0"/>
              <w:left w:val="single" w:color="auto" w:sz="4" w:space="0"/>
              <w:bottom w:val="single" w:color="auto" w:sz="4" w:space="0"/>
              <w:right w:val="single" w:color="auto" w:sz="4" w:space="0"/>
            </w:tcBorders>
            <w:vAlign w:val="center"/>
          </w:tcPr>
          <w:sdt>
            <w:sdtPr>
              <w:tag w:val="_PLD_34c6f06bd6ce4dec84766a6723567bb2"/>
              <w:id w:val="7113"/>
            </w:sdtPr>
            <w:sdtContent>
              <w:p>
                <w:pPr>
                  <w:jc w:val="center"/>
                  <w:rPr>
                    <w:szCs w:val="21"/>
                  </w:rPr>
                </w:pPr>
                <w:r>
                  <w:rPr>
                    <w:rFonts w:hint="eastAsia"/>
                    <w:szCs w:val="21"/>
                  </w:rPr>
                  <w:t>本期计入其他综合收益的损失</w:t>
                </w:r>
              </w:p>
            </w:sdtContent>
          </w:sdt>
        </w:tc>
        <w:tc>
          <w:tcPr>
            <w:tcW w:w="415" w:type="dxa"/>
            <w:tcBorders>
              <w:left w:val="single" w:color="auto" w:sz="4" w:space="0"/>
              <w:bottom w:val="single" w:color="auto" w:sz="4" w:space="0"/>
              <w:right w:val="single" w:color="auto" w:sz="4" w:space="0"/>
            </w:tcBorders>
            <w:vAlign w:val="center"/>
          </w:tcPr>
          <w:sdt>
            <w:sdtPr>
              <w:tag w:val="_PLD_10fb3a2b23634dbcb6ec64725618b767"/>
              <w:id w:val="7114"/>
            </w:sdtPr>
            <w:sdtContent>
              <w:p>
                <w:pPr>
                  <w:jc w:val="center"/>
                  <w:rPr>
                    <w:szCs w:val="21"/>
                  </w:rPr>
                </w:pPr>
                <w:r>
                  <w:rPr>
                    <w:rFonts w:hint="eastAsia"/>
                    <w:szCs w:val="21"/>
                  </w:rPr>
                  <w:t>其他</w:t>
                </w:r>
              </w:p>
            </w:sdtContent>
          </w:sdt>
        </w:tc>
        <w:tc>
          <w:tcPr>
            <w:tcW w:w="1669" w:type="dxa"/>
            <w:tcBorders>
              <w:left w:val="single" w:color="auto" w:sz="4" w:space="0"/>
              <w:right w:val="single" w:color="auto" w:sz="4" w:space="0"/>
            </w:tcBorders>
            <w:vAlign w:val="center"/>
          </w:tcPr>
          <w:p>
            <w:pPr>
              <w:jc w:val="center"/>
              <w:rPr>
                <w:szCs w:val="21"/>
              </w:rPr>
            </w:pPr>
          </w:p>
        </w:tc>
        <w:tc>
          <w:tcPr>
            <w:tcW w:w="1451" w:type="dxa"/>
            <w:tcBorders>
              <w:left w:val="single" w:color="auto" w:sz="4" w:space="0"/>
              <w:right w:val="single" w:color="auto" w:sz="4" w:space="0"/>
            </w:tcBorders>
            <w:vAlign w:val="center"/>
          </w:tcPr>
          <w:p>
            <w:pPr>
              <w:jc w:val="center"/>
              <w:rPr>
                <w:szCs w:val="21"/>
              </w:rPr>
            </w:pPr>
          </w:p>
        </w:tc>
        <w:tc>
          <w:tcPr>
            <w:tcW w:w="970" w:type="dxa"/>
            <w:tcBorders>
              <w:left w:val="single" w:color="auto" w:sz="4" w:space="0"/>
              <w:right w:val="single" w:color="auto" w:sz="4" w:space="0"/>
            </w:tcBorders>
            <w:vAlign w:val="center"/>
          </w:tcPr>
          <w:p>
            <w:pPr>
              <w:jc w:val="center"/>
              <w:rPr>
                <w:szCs w:val="21"/>
              </w:rPr>
            </w:pPr>
          </w:p>
        </w:tc>
        <w:tc>
          <w:tcPr>
            <w:tcW w:w="1468" w:type="dxa"/>
            <w:tcBorders>
              <w:left w:val="single" w:color="auto" w:sz="4" w:space="0"/>
              <w:right w:val="single" w:color="auto" w:sz="4" w:space="0"/>
            </w:tcBorders>
            <w:vAlign w:val="center"/>
          </w:tcPr>
          <w:p>
            <w:pPr>
              <w:jc w:val="center"/>
              <w:rPr>
                <w:szCs w:val="21"/>
              </w:rPr>
            </w:pPr>
          </w:p>
        </w:tc>
        <w:tc>
          <w:tcPr>
            <w:tcW w:w="2247" w:type="dxa"/>
            <w:tcBorders>
              <w:left w:val="single" w:color="auto" w:sz="4" w:space="0"/>
              <w:right w:val="single"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柳州银行股份有限公司</w:t>
            </w:r>
          </w:p>
        </w:tc>
        <w:tc>
          <w:tcPr>
            <w:tcW w:w="162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35,000,000.00</w:t>
            </w:r>
          </w:p>
        </w:tc>
        <w:tc>
          <w:tcPr>
            <w:tcW w:w="48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62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80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862"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41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66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35,000,000.00</w:t>
            </w:r>
          </w:p>
        </w:tc>
        <w:tc>
          <w:tcPr>
            <w:tcW w:w="1451"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800,000.00</w:t>
            </w:r>
          </w:p>
        </w:tc>
        <w:tc>
          <w:tcPr>
            <w:tcW w:w="97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68"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2247"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color w:val="auto"/>
              </w:rPr>
              <w:t>非交易性持有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广西北部湾银行股份有限公司</w:t>
            </w:r>
          </w:p>
        </w:tc>
        <w:tc>
          <w:tcPr>
            <w:tcW w:w="162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257,200,000.00</w:t>
            </w:r>
          </w:p>
        </w:tc>
        <w:tc>
          <w:tcPr>
            <w:tcW w:w="48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62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80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862"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41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66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257,200,000.00</w:t>
            </w:r>
          </w:p>
        </w:tc>
        <w:tc>
          <w:tcPr>
            <w:tcW w:w="1451" w:type="dxa"/>
            <w:tcBorders>
              <w:top w:val="single" w:color="auto" w:sz="4" w:space="0"/>
              <w:left w:val="single" w:color="auto" w:sz="4" w:space="0"/>
              <w:bottom w:val="single" w:color="auto" w:sz="4" w:space="0"/>
              <w:right w:val="single" w:color="auto" w:sz="4" w:space="0"/>
            </w:tcBorders>
            <w:vAlign w:val="center"/>
          </w:tcPr>
          <w:p>
            <w:pPr>
              <w:jc w:val="right"/>
              <w:rPr>
                <w:rFonts w:hint="eastAsia"/>
                <w:color w:val="auto"/>
              </w:rPr>
            </w:pPr>
            <w:r>
              <w:rPr>
                <w:rFonts w:hint="eastAsia"/>
                <w:color w:val="auto"/>
              </w:rPr>
              <w:t>12,320,000.00</w:t>
            </w:r>
          </w:p>
        </w:tc>
        <w:tc>
          <w:tcPr>
            <w:tcW w:w="97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68"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2247"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color w:val="auto"/>
              </w:rPr>
              <w:t>非交易性持有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柳州市亿康投资发展有限责任公司</w:t>
            </w:r>
          </w:p>
        </w:tc>
        <w:tc>
          <w:tcPr>
            <w:tcW w:w="162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48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62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80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862"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41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669"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51" w:type="dxa"/>
            <w:tcBorders>
              <w:top w:val="single" w:color="auto" w:sz="4" w:space="0"/>
              <w:left w:val="single" w:color="auto" w:sz="4" w:space="0"/>
              <w:bottom w:val="single" w:color="auto" w:sz="4" w:space="0"/>
              <w:right w:val="single" w:color="auto" w:sz="4" w:space="0"/>
            </w:tcBorders>
            <w:vAlign w:val="center"/>
          </w:tcPr>
          <w:p>
            <w:pPr>
              <w:jc w:val="right"/>
              <w:rPr>
                <w:rFonts w:hint="eastAsia"/>
                <w:color w:val="auto"/>
              </w:rPr>
            </w:pPr>
          </w:p>
        </w:tc>
        <w:tc>
          <w:tcPr>
            <w:tcW w:w="97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6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9,795,568.56</w:t>
            </w:r>
          </w:p>
        </w:tc>
        <w:tc>
          <w:tcPr>
            <w:tcW w:w="2247"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color w:val="auto"/>
              </w:rPr>
              <w:t>非交易性持有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5"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合计</w:t>
            </w:r>
          </w:p>
        </w:tc>
        <w:tc>
          <w:tcPr>
            <w:tcW w:w="162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292,200,000.00</w:t>
            </w:r>
          </w:p>
        </w:tc>
        <w:tc>
          <w:tcPr>
            <w:tcW w:w="48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62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80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862"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41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66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292,200,000.00</w:t>
            </w:r>
          </w:p>
        </w:tc>
        <w:tc>
          <w:tcPr>
            <w:tcW w:w="1451" w:type="dxa"/>
            <w:tcBorders>
              <w:top w:val="single" w:color="auto" w:sz="4" w:space="0"/>
              <w:left w:val="single" w:color="auto" w:sz="4" w:space="0"/>
              <w:bottom w:val="single" w:color="auto" w:sz="4" w:space="0"/>
              <w:right w:val="single" w:color="auto" w:sz="4" w:space="0"/>
            </w:tcBorders>
            <w:vAlign w:val="center"/>
          </w:tcPr>
          <w:p>
            <w:pPr>
              <w:jc w:val="right"/>
              <w:rPr>
                <w:rFonts w:hint="eastAsia"/>
                <w:color w:val="auto"/>
              </w:rPr>
            </w:pPr>
            <w:r>
              <w:rPr>
                <w:rFonts w:hint="eastAsia"/>
                <w:color w:val="auto"/>
              </w:rPr>
              <w:t>13,120,000.00</w:t>
            </w:r>
          </w:p>
        </w:tc>
        <w:tc>
          <w:tcPr>
            <w:tcW w:w="97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6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9,795,568.56</w:t>
            </w:r>
          </w:p>
        </w:tc>
        <w:tc>
          <w:tcPr>
            <w:tcW w:w="2247"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w:t>
            </w:r>
          </w:p>
        </w:tc>
      </w:tr>
    </w:tbl>
    <w:p>
      <w:pPr>
        <w:pStyle w:val="83"/>
        <w:ind w:firstLine="0" w:firstLineChars="0"/>
        <w:sectPr>
          <w:pgSz w:w="16838" w:h="11906" w:orient="landscape"/>
          <w:pgMar w:top="1276" w:right="1440" w:bottom="1797" w:left="1525" w:header="856" w:footer="992" w:gutter="0"/>
          <w:cols w:space="425" w:num="1"/>
          <w:docGrid w:linePitch="312" w:charSpace="0"/>
        </w:sectPr>
      </w:pPr>
    </w:p>
    <w:p>
      <w:pPr>
        <w:pStyle w:val="56"/>
      </w:pPr>
    </w:p>
    <w:bookmarkEnd w:id="292"/>
    <w:p>
      <w:pPr>
        <w:pStyle w:val="5"/>
        <w:numPr>
          <w:ilvl w:val="3"/>
          <w:numId w:val="76"/>
        </w:numPr>
        <w:ind w:left="426" w:hanging="426"/>
        <w:rPr>
          <w:rFonts w:hint="eastAsia"/>
        </w:rPr>
      </w:pPr>
      <w:r>
        <w:rPr>
          <w:rFonts w:hint="eastAsia"/>
        </w:rPr>
        <w:t>本期存在终止确认的情况说明</w:t>
      </w:r>
    </w:p>
    <w:sdt>
      <w:sdtPr>
        <w:alias w:val="是否适用：本期存在终止确认的情况说明[双击切换]"/>
        <w:tag w:val="_GBC_27e93a66690f439284ed9d6df3a9bd6c"/>
        <w:id w:val="7115"/>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pStyle w:val="56"/>
        <w:ind w:firstLine="0" w:firstLineChars="0"/>
      </w:pPr>
    </w:p>
    <w:p>
      <w:r>
        <w:rPr>
          <w:rFonts w:hint="eastAsia"/>
        </w:rPr>
        <w:t>其他</w:t>
      </w:r>
      <w:r>
        <w:t>说明</w:t>
      </w:r>
      <w:r>
        <w:rPr>
          <w:rFonts w:hint="eastAsia"/>
        </w:rPr>
        <w:t>：</w:t>
      </w:r>
    </w:p>
    <w:sdt>
      <w:sdtPr>
        <w:alias w:val="是否适用：其他权益工具投资其他说明[双击切换]"/>
        <w:tag w:val="_GBC_217dff5073ff4a12b86d342292038452"/>
        <w:id w:val="7116"/>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napToGrid w:val="0"/>
        <w:spacing w:line="240" w:lineRule="atLeast"/>
        <w:rPr>
          <w:szCs w:val="21"/>
        </w:rPr>
      </w:pPr>
    </w:p>
    <w:p/>
    <w:p>
      <w:pPr>
        <w:pStyle w:val="4"/>
        <w:numPr>
          <w:ilvl w:val="0"/>
          <w:numId w:val="62"/>
        </w:numPr>
        <w:tabs>
          <w:tab w:val="left" w:pos="504"/>
        </w:tabs>
        <w:rPr>
          <w:szCs w:val="21"/>
        </w:rPr>
      </w:pPr>
      <w:r>
        <w:rPr>
          <w:rFonts w:hint="eastAsia"/>
          <w:szCs w:val="21"/>
        </w:rPr>
        <w:t>其他非流动金融资产</w:t>
      </w:r>
    </w:p>
    <w:sdt>
      <w:sdtPr>
        <w:alias w:val="是否适用：其他非流动金融资产[双击切换]"/>
        <w:tag w:val="_GBC_6b599068045d444b87b686a3b6690bf1"/>
        <w:id w:val="7117"/>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bookmarkEnd w:id="293"/>
    <w:p>
      <w:r>
        <w:rPr>
          <w:rFonts w:hint="eastAsia"/>
        </w:rPr>
        <w:t>其他</w:t>
      </w:r>
      <w:r>
        <w:t>说明</w:t>
      </w:r>
      <w:r>
        <w:rPr>
          <w:rFonts w:hint="eastAsia"/>
        </w:rPr>
        <w:t>：</w:t>
      </w:r>
    </w:p>
    <w:sdt>
      <w:sdtPr>
        <w:rPr>
          <w:szCs w:val="21"/>
        </w:rPr>
        <w:alias w:val="是否适用：其他非流动金融资产其他说明[双击切换]"/>
        <w:tag w:val="_GBC_037912ebdd3b4e80b4b66cf88f8cb3e7"/>
        <w:id w:val="7118"/>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snapToGrid w:val="0"/>
        <w:spacing w:line="240" w:lineRule="atLeast"/>
        <w:rPr>
          <w:szCs w:val="21"/>
        </w:rPr>
      </w:pPr>
    </w:p>
    <w:sdt>
      <w:sdtPr>
        <w:tag w:val="_PLD_9f9d17e04f1146ae8cb25ffc9a006a8d"/>
        <w:id w:val="7119"/>
      </w:sdtPr>
      <w:sdtContent>
        <w:p>
          <w:pPr>
            <w:pStyle w:val="4"/>
            <w:numPr>
              <w:ilvl w:val="0"/>
              <w:numId w:val="62"/>
            </w:numPr>
            <w:tabs>
              <w:tab w:val="left" w:pos="504"/>
            </w:tabs>
            <w:rPr>
              <w:rFonts w:hint="eastAsia" w:ascii="宋体" w:hAnsi="宋体"/>
              <w:szCs w:val="21"/>
            </w:rPr>
          </w:pPr>
          <w:r>
            <w:rPr>
              <w:rFonts w:hint="eastAsia" w:ascii="宋体" w:hAnsi="宋体"/>
              <w:szCs w:val="21"/>
            </w:rPr>
            <w:t>投资性房地产</w:t>
          </w:r>
        </w:p>
      </w:sdtContent>
    </w:sdt>
    <w:p>
      <w:r>
        <w:t>投资性房地产</w:t>
      </w:r>
      <w:r>
        <w:rPr>
          <w:rFonts w:hint="eastAsia"/>
        </w:rPr>
        <w:t>计量模式</w:t>
      </w:r>
    </w:p>
    <w:sdt>
      <w:sdtPr>
        <w:rPr>
          <w:rFonts w:hint="eastAsia" w:ascii="宋体" w:hAnsi="宋体" w:eastAsia="宋体" w:cs="宋体"/>
          <w:b w:val="0"/>
          <w:bCs w:val="0"/>
          <w:kern w:val="0"/>
          <w:szCs w:val="24"/>
        </w:rPr>
        <w:alias w:val="选项模块:成本计量模式"/>
        <w:tag w:val="_SEC_2bd90f9d006148798131ef3c25314fb9"/>
        <w:id w:val="7120"/>
        <w:placeholder>
          <w:docPart w:val="GBC22222222222222222222222222222"/>
        </w:placeholder>
      </w:sdtPr>
      <w:sdtEndPr>
        <w:rPr>
          <w:rFonts w:hint="eastAsia" w:ascii="Times New Roman" w:hAnsi="Times New Roman" w:eastAsia="宋体" w:cstheme="minorBidi"/>
          <w:b w:val="0"/>
          <w:bCs w:val="0"/>
          <w:kern w:val="2"/>
          <w:szCs w:val="21"/>
        </w:rPr>
      </w:sdtEndPr>
      <w:sdtContent>
        <w:p>
          <w:pPr>
            <w:pStyle w:val="5"/>
            <w:numPr>
              <w:ilvl w:val="3"/>
              <w:numId w:val="77"/>
            </w:numPr>
            <w:ind w:left="426" w:hanging="426"/>
            <w:rPr>
              <w:rFonts w:hint="eastAsia"/>
            </w:rPr>
          </w:pPr>
          <w:r>
            <w:rPr>
              <w:rFonts w:hint="eastAsia"/>
            </w:rPr>
            <w:t>采用成本计量模式的投资性房地产</w:t>
          </w:r>
        </w:p>
        <w:p>
          <w:pPr>
            <w:jc w:val="right"/>
            <w:rPr>
              <w:szCs w:val="21"/>
            </w:rPr>
          </w:pPr>
          <w:r>
            <w:rPr>
              <w:rFonts w:hint="eastAsia"/>
              <w:szCs w:val="21"/>
            </w:rPr>
            <w:t>单位：</w:t>
          </w:r>
          <w:sdt>
            <w:sdtPr>
              <w:rPr>
                <w:rFonts w:hint="eastAsia"/>
                <w:szCs w:val="21"/>
              </w:rPr>
              <w:alias w:val="单位：财务附注：投资性房地产"/>
              <w:tag w:val="_GBC_eb1db4bb3f154f52938b7c4bb5edbd80"/>
              <w:id w:val="712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投资性房地产"/>
              <w:tag w:val="_GBC_14117d50f3b04e4aa96c633ca3d3db3a"/>
              <w:id w:val="712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1"/>
            <w:gridCol w:w="1596"/>
            <w:gridCol w:w="1594"/>
            <w:gridCol w:w="1567"/>
            <w:gridCol w:w="1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821" w:type="dxa"/>
                <w:tcBorders>
                  <w:top w:val="single" w:color="auto" w:sz="4" w:space="0"/>
                  <w:left w:val="single" w:color="auto" w:sz="4" w:space="0"/>
                  <w:bottom w:val="single" w:color="auto" w:sz="4" w:space="0"/>
                  <w:right w:val="single" w:color="auto" w:sz="4" w:space="0"/>
                </w:tcBorders>
                <w:vAlign w:val="center"/>
              </w:tcPr>
              <w:sdt>
                <w:sdtPr>
                  <w:tag w:val="_PLD_6c12dd4f07e84f0eb6257919933bd416"/>
                  <w:id w:val="7123"/>
                </w:sdtPr>
                <w:sdtContent>
                  <w:p>
                    <w:pPr>
                      <w:jc w:val="center"/>
                      <w:rPr>
                        <w:szCs w:val="21"/>
                      </w:rPr>
                    </w:pPr>
                    <w:r>
                      <w:rPr>
                        <w:rFonts w:hint="eastAsia"/>
                        <w:szCs w:val="21"/>
                      </w:rPr>
                      <w:t>项目</w:t>
                    </w:r>
                  </w:p>
                </w:sdtContent>
              </w:sdt>
            </w:tc>
            <w:tc>
              <w:tcPr>
                <w:tcW w:w="1596" w:type="dxa"/>
                <w:tcBorders>
                  <w:top w:val="single" w:color="auto" w:sz="4" w:space="0"/>
                  <w:left w:val="single" w:color="auto" w:sz="4" w:space="0"/>
                  <w:bottom w:val="single" w:color="auto" w:sz="4" w:space="0"/>
                  <w:right w:val="single" w:color="auto" w:sz="4" w:space="0"/>
                </w:tcBorders>
                <w:vAlign w:val="center"/>
              </w:tcPr>
              <w:sdt>
                <w:sdtPr>
                  <w:tag w:val="_PLD_4d654f9f882a4621a32482a463b6b80f"/>
                  <w:id w:val="7124"/>
                </w:sdtPr>
                <w:sdtContent>
                  <w:p>
                    <w:pPr>
                      <w:jc w:val="center"/>
                      <w:rPr>
                        <w:szCs w:val="21"/>
                      </w:rPr>
                    </w:pPr>
                    <w:r>
                      <w:rPr>
                        <w:rFonts w:hint="eastAsia"/>
                        <w:szCs w:val="21"/>
                      </w:rPr>
                      <w:t>房屋、建筑物</w:t>
                    </w:r>
                  </w:p>
                </w:sdtContent>
              </w:sdt>
            </w:tc>
            <w:tc>
              <w:tcPr>
                <w:tcW w:w="1594" w:type="dxa"/>
                <w:tcBorders>
                  <w:top w:val="single" w:color="auto" w:sz="4" w:space="0"/>
                  <w:left w:val="single" w:color="auto" w:sz="4" w:space="0"/>
                  <w:bottom w:val="single" w:color="auto" w:sz="4" w:space="0"/>
                  <w:right w:val="single" w:color="auto" w:sz="4" w:space="0"/>
                </w:tcBorders>
                <w:vAlign w:val="center"/>
              </w:tcPr>
              <w:sdt>
                <w:sdtPr>
                  <w:tag w:val="_PLD_e67580bbd978417792c1b582fb588aa3"/>
                  <w:id w:val="7125"/>
                </w:sdtPr>
                <w:sdtContent>
                  <w:p>
                    <w:pPr>
                      <w:jc w:val="center"/>
                      <w:rPr>
                        <w:szCs w:val="21"/>
                      </w:rPr>
                    </w:pPr>
                    <w:r>
                      <w:rPr>
                        <w:rFonts w:hint="eastAsia"/>
                        <w:szCs w:val="21"/>
                      </w:rPr>
                      <w:t>土地使用权</w:t>
                    </w:r>
                  </w:p>
                </w:sdtContent>
              </w:sdt>
            </w:tc>
            <w:tc>
              <w:tcPr>
                <w:tcW w:w="1567" w:type="dxa"/>
                <w:tcBorders>
                  <w:top w:val="single" w:color="auto" w:sz="4" w:space="0"/>
                  <w:left w:val="single" w:color="auto" w:sz="4" w:space="0"/>
                  <w:bottom w:val="single" w:color="auto" w:sz="4" w:space="0"/>
                  <w:right w:val="single" w:color="auto" w:sz="4" w:space="0"/>
                </w:tcBorders>
                <w:vAlign w:val="center"/>
              </w:tcPr>
              <w:sdt>
                <w:sdtPr>
                  <w:tag w:val="_PLD_eb223d01b1084c2499e94e081206d3f5"/>
                  <w:id w:val="7126"/>
                </w:sdtPr>
                <w:sdtContent>
                  <w:p>
                    <w:pPr>
                      <w:jc w:val="center"/>
                      <w:rPr>
                        <w:szCs w:val="21"/>
                      </w:rPr>
                    </w:pPr>
                    <w:r>
                      <w:rPr>
                        <w:rFonts w:hint="eastAsia"/>
                        <w:szCs w:val="21"/>
                      </w:rPr>
                      <w:t>在建工程</w:t>
                    </w:r>
                  </w:p>
                </w:sdtContent>
              </w:sdt>
            </w:tc>
            <w:tc>
              <w:tcPr>
                <w:tcW w:w="1469" w:type="dxa"/>
                <w:tcBorders>
                  <w:top w:val="single" w:color="auto" w:sz="4" w:space="0"/>
                  <w:left w:val="single" w:color="auto" w:sz="4" w:space="0"/>
                  <w:bottom w:val="single" w:color="auto" w:sz="4" w:space="0"/>
                  <w:right w:val="single" w:color="auto" w:sz="4" w:space="0"/>
                </w:tcBorders>
                <w:vAlign w:val="center"/>
              </w:tcPr>
              <w:sdt>
                <w:sdtPr>
                  <w:tag w:val="_PLD_fd303a2077a34c63b3d342e813f2cfd7"/>
                  <w:id w:val="7127"/>
                </w:sdtPr>
                <w:sdtContent>
                  <w:p>
                    <w:pPr>
                      <w:jc w:val="center"/>
                      <w:rPr>
                        <w:szCs w:val="21"/>
                      </w:rPr>
                    </w:pPr>
                    <w:r>
                      <w:rPr>
                        <w:rFonts w:hint="eastAsia"/>
                        <w:szCs w:val="21"/>
                      </w:rPr>
                      <w:t>合计</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9049" w:type="dxa"/>
                <w:gridSpan w:val="5"/>
                <w:tcBorders>
                  <w:top w:val="single" w:color="auto" w:sz="4" w:space="0"/>
                  <w:left w:val="single" w:color="auto" w:sz="4" w:space="0"/>
                  <w:bottom w:val="single" w:color="auto" w:sz="4" w:space="0"/>
                  <w:right w:val="single" w:color="auto" w:sz="4" w:space="0"/>
                </w:tcBorders>
                <w:vAlign w:val="center"/>
              </w:tcPr>
              <w:sdt>
                <w:sdtPr>
                  <w:tag w:val="_PLD_a195350d4b924a2ab316232cbfe918bf"/>
                  <w:id w:val="7128"/>
                </w:sdtPr>
                <w:sdtContent>
                  <w:p>
                    <w:pPr>
                      <w:rPr>
                        <w:szCs w:val="21"/>
                      </w:rPr>
                    </w:pPr>
                    <w:r>
                      <w:rPr>
                        <w:rFonts w:hint="eastAsia"/>
                        <w:szCs w:val="21"/>
                      </w:rPr>
                      <w:t>一、账面原值</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2821" w:type="dxa"/>
                <w:tcBorders>
                  <w:top w:val="single" w:color="auto" w:sz="4" w:space="0"/>
                  <w:left w:val="single" w:color="auto" w:sz="4" w:space="0"/>
                  <w:bottom w:val="single" w:color="auto" w:sz="4" w:space="0"/>
                  <w:right w:val="single" w:color="auto" w:sz="4" w:space="0"/>
                </w:tcBorders>
                <w:vAlign w:val="center"/>
              </w:tcPr>
              <w:p>
                <w:pPr>
                  <w:ind w:firstLine="315" w:firstLineChars="150"/>
                  <w:rPr>
                    <w:szCs w:val="21"/>
                  </w:rPr>
                </w:pPr>
                <w:r>
                  <w:rPr>
                    <w:szCs w:val="21"/>
                  </w:rPr>
                  <w:t>1.</w:t>
                </w:r>
                <w:r>
                  <w:rPr>
                    <w:rFonts w:hint="eastAsia"/>
                    <w:szCs w:val="21"/>
                  </w:rPr>
                  <w:t>期初余额</w:t>
                </w:r>
              </w:p>
            </w:tc>
            <w:tc>
              <w:tcPr>
                <w:tcW w:w="1596"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57,668,807.32</w:t>
                </w: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6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6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57,668,807.32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821" w:type="dxa"/>
                <w:tcBorders>
                  <w:top w:val="single" w:color="auto" w:sz="4" w:space="0"/>
                  <w:left w:val="single" w:color="auto" w:sz="4" w:space="0"/>
                  <w:bottom w:val="single" w:color="auto" w:sz="4" w:space="0"/>
                  <w:right w:val="single" w:color="auto" w:sz="4" w:space="0"/>
                </w:tcBorders>
                <w:vAlign w:val="center"/>
              </w:tcPr>
              <w:p>
                <w:pPr>
                  <w:ind w:firstLine="315" w:firstLineChars="150"/>
                  <w:rPr>
                    <w:szCs w:val="21"/>
                  </w:rPr>
                </w:pPr>
                <w:r>
                  <w:rPr>
                    <w:szCs w:val="21"/>
                  </w:rPr>
                  <w:t>2.</w:t>
                </w:r>
                <w:r>
                  <w:rPr>
                    <w:rFonts w:hint="eastAsia"/>
                    <w:szCs w:val="21"/>
                  </w:rPr>
                  <w:t>本期增加金额</w:t>
                </w:r>
              </w:p>
            </w:tc>
            <w:tc>
              <w:tcPr>
                <w:tcW w:w="1596"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6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69"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821" w:type="dxa"/>
                <w:tcBorders>
                  <w:top w:val="single" w:color="auto" w:sz="4" w:space="0"/>
                  <w:left w:val="single" w:color="auto" w:sz="4" w:space="0"/>
                  <w:bottom w:val="single" w:color="auto" w:sz="4" w:space="0"/>
                  <w:right w:val="single" w:color="auto" w:sz="4" w:space="0"/>
                </w:tcBorders>
                <w:vAlign w:val="center"/>
              </w:tcPr>
              <w:p>
                <w:pPr>
                  <w:ind w:firstLine="315" w:firstLineChars="150"/>
                  <w:rPr>
                    <w:szCs w:val="21"/>
                  </w:rPr>
                </w:pPr>
                <w:r>
                  <w:rPr>
                    <w:rFonts w:hint="eastAsia"/>
                    <w:szCs w:val="21"/>
                  </w:rPr>
                  <w:t>3.本期减少金额</w:t>
                </w:r>
              </w:p>
            </w:tc>
            <w:tc>
              <w:tcPr>
                <w:tcW w:w="1596"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6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69"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821" w:type="dxa"/>
                <w:tcBorders>
                  <w:top w:val="single" w:color="auto" w:sz="4" w:space="0"/>
                  <w:left w:val="single" w:color="auto" w:sz="4" w:space="0"/>
                  <w:bottom w:val="single" w:color="auto" w:sz="4" w:space="0"/>
                  <w:right w:val="single" w:color="auto" w:sz="4" w:space="0"/>
                </w:tcBorders>
                <w:vAlign w:val="center"/>
              </w:tcPr>
              <w:p>
                <w:pPr>
                  <w:ind w:firstLine="420" w:firstLineChars="200"/>
                  <w:rPr>
                    <w:szCs w:val="21"/>
                  </w:rPr>
                </w:pPr>
                <w:r>
                  <w:rPr>
                    <w:rFonts w:hint="eastAsia"/>
                    <w:szCs w:val="21"/>
                  </w:rPr>
                  <w:t>4.期末余额</w:t>
                </w:r>
              </w:p>
            </w:tc>
            <w:tc>
              <w:tcPr>
                <w:tcW w:w="1596"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57,668,807.32</w:t>
                </w: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6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6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57,668,807.32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9049" w:type="dxa"/>
                <w:gridSpan w:val="5"/>
                <w:tcBorders>
                  <w:top w:val="single" w:color="auto" w:sz="4" w:space="0"/>
                  <w:left w:val="single" w:color="auto" w:sz="4" w:space="0"/>
                  <w:bottom w:val="single" w:color="auto" w:sz="4" w:space="0"/>
                  <w:right w:val="single" w:color="auto" w:sz="4" w:space="0"/>
                </w:tcBorders>
                <w:vAlign w:val="center"/>
              </w:tcPr>
              <w:sdt>
                <w:sdtPr>
                  <w:tag w:val="_PLD_3940980b8e4d4252a71ae8341bbdfc46"/>
                  <w:id w:val="7129"/>
                </w:sdtPr>
                <w:sdtContent>
                  <w:p>
                    <w:pPr>
                      <w:rPr>
                        <w:szCs w:val="21"/>
                      </w:rPr>
                    </w:pPr>
                    <w:r>
                      <w:rPr>
                        <w:rFonts w:hint="eastAsia"/>
                        <w:szCs w:val="21"/>
                      </w:rPr>
                      <w:t>二、累计折旧和累计摊销</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821" w:type="dxa"/>
                <w:tcBorders>
                  <w:top w:val="single" w:color="auto" w:sz="4" w:space="0"/>
                  <w:left w:val="single" w:color="auto" w:sz="4" w:space="0"/>
                  <w:bottom w:val="single" w:color="auto" w:sz="4" w:space="0"/>
                  <w:right w:val="single" w:color="auto" w:sz="4" w:space="0"/>
                </w:tcBorders>
                <w:vAlign w:val="center"/>
              </w:tcPr>
              <w:p>
                <w:pPr>
                  <w:ind w:firstLine="420" w:firstLineChars="200"/>
                  <w:rPr>
                    <w:szCs w:val="21"/>
                  </w:rPr>
                </w:pPr>
                <w:r>
                  <w:rPr>
                    <w:szCs w:val="21"/>
                  </w:rPr>
                  <w:t>1.</w:t>
                </w:r>
                <w:r>
                  <w:rPr>
                    <w:rFonts w:hint="eastAsia"/>
                    <w:szCs w:val="21"/>
                  </w:rPr>
                  <w:t>期初余额</w:t>
                </w:r>
              </w:p>
            </w:tc>
            <w:tc>
              <w:tcPr>
                <w:tcW w:w="1596"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13,283,821.83</w:t>
                </w: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6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6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13,283,821.83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821" w:type="dxa"/>
                <w:tcBorders>
                  <w:top w:val="single" w:color="auto" w:sz="4" w:space="0"/>
                  <w:left w:val="single" w:color="auto" w:sz="4" w:space="0"/>
                  <w:bottom w:val="single" w:color="auto" w:sz="4" w:space="0"/>
                  <w:right w:val="single" w:color="auto" w:sz="4" w:space="0"/>
                </w:tcBorders>
                <w:vAlign w:val="center"/>
              </w:tcPr>
              <w:p>
                <w:pPr>
                  <w:ind w:firstLine="420" w:firstLineChars="200"/>
                  <w:rPr>
                    <w:szCs w:val="21"/>
                  </w:rPr>
                </w:pPr>
                <w:r>
                  <w:rPr>
                    <w:szCs w:val="21"/>
                  </w:rPr>
                  <w:t>2.</w:t>
                </w:r>
                <w:r>
                  <w:rPr>
                    <w:rFonts w:hint="eastAsia"/>
                    <w:szCs w:val="21"/>
                  </w:rPr>
                  <w:t>本期增加金额</w:t>
                </w:r>
              </w:p>
            </w:tc>
            <w:tc>
              <w:tcPr>
                <w:tcW w:w="1596"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1,158,648.87</w:t>
                </w: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6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6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1,158,648.87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2821" w:type="dxa"/>
                <w:tcBorders>
                  <w:top w:val="single" w:color="auto" w:sz="4" w:space="0"/>
                  <w:left w:val="single" w:color="auto" w:sz="4" w:space="0"/>
                  <w:bottom w:val="single" w:color="auto" w:sz="4" w:space="0"/>
                  <w:right w:val="single" w:color="auto" w:sz="4" w:space="0"/>
                </w:tcBorders>
                <w:vAlign w:val="center"/>
              </w:tcPr>
              <w:p>
                <w:pPr>
                  <w:ind w:firstLine="420" w:firstLineChars="200"/>
                  <w:rPr>
                    <w:szCs w:val="21"/>
                  </w:rPr>
                </w:pPr>
                <w:r>
                  <w:rPr>
                    <w:rFonts w:hint="eastAsia"/>
                    <w:szCs w:val="21"/>
                  </w:rPr>
                  <w:t>（1）计提或摊销</w:t>
                </w:r>
              </w:p>
            </w:tc>
            <w:tc>
              <w:tcPr>
                <w:tcW w:w="1596"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1,158,648.87</w:t>
                </w: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6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6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1,158,648.87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2821" w:type="dxa"/>
                <w:tcBorders>
                  <w:top w:val="single" w:color="auto" w:sz="4" w:space="0"/>
                  <w:left w:val="single" w:color="auto" w:sz="4" w:space="0"/>
                  <w:bottom w:val="single" w:color="auto" w:sz="4" w:space="0"/>
                  <w:right w:val="single" w:color="auto" w:sz="4" w:space="0"/>
                </w:tcBorders>
                <w:vAlign w:val="center"/>
              </w:tcPr>
              <w:p>
                <w:pPr>
                  <w:ind w:firstLine="420" w:firstLineChars="200"/>
                  <w:rPr>
                    <w:szCs w:val="21"/>
                  </w:rPr>
                </w:pPr>
                <w:r>
                  <w:rPr>
                    <w:rFonts w:hint="eastAsia"/>
                    <w:szCs w:val="21"/>
                  </w:rPr>
                  <w:t>3.本期减少金额</w:t>
                </w:r>
              </w:p>
            </w:tc>
            <w:tc>
              <w:tcPr>
                <w:tcW w:w="1596"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6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69"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2821" w:type="dxa"/>
                <w:tcBorders>
                  <w:top w:val="single" w:color="auto" w:sz="4" w:space="0"/>
                  <w:left w:val="single" w:color="auto" w:sz="4" w:space="0"/>
                  <w:bottom w:val="single" w:color="auto" w:sz="4" w:space="0"/>
                  <w:right w:val="single" w:color="auto" w:sz="4" w:space="0"/>
                </w:tcBorders>
                <w:vAlign w:val="center"/>
              </w:tcPr>
              <w:p>
                <w:pPr>
                  <w:ind w:firstLine="420" w:firstLineChars="200"/>
                  <w:rPr>
                    <w:szCs w:val="21"/>
                  </w:rPr>
                </w:pPr>
                <w:r>
                  <w:rPr>
                    <w:rFonts w:hint="eastAsia"/>
                    <w:szCs w:val="21"/>
                  </w:rPr>
                  <w:t>4.期末余额</w:t>
                </w:r>
              </w:p>
            </w:tc>
            <w:tc>
              <w:tcPr>
                <w:tcW w:w="1596"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14,442,470.70</w:t>
                </w: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6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6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14,442,470.70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9049" w:type="dxa"/>
                <w:gridSpan w:val="5"/>
                <w:tcBorders>
                  <w:top w:val="single" w:color="auto" w:sz="4" w:space="0"/>
                  <w:left w:val="single" w:color="auto" w:sz="4" w:space="0"/>
                  <w:bottom w:val="single" w:color="auto" w:sz="4" w:space="0"/>
                  <w:right w:val="single" w:color="auto" w:sz="4" w:space="0"/>
                </w:tcBorders>
                <w:vAlign w:val="center"/>
              </w:tcPr>
              <w:sdt>
                <w:sdtPr>
                  <w:tag w:val="_PLD_c10b5aad27764e4b8d082d8300c71859"/>
                  <w:id w:val="7130"/>
                </w:sdtPr>
                <w:sdtContent>
                  <w:p>
                    <w:pPr>
                      <w:rPr>
                        <w:szCs w:val="21"/>
                      </w:rPr>
                    </w:pPr>
                    <w:r>
                      <w:rPr>
                        <w:rFonts w:hint="eastAsia"/>
                        <w:szCs w:val="21"/>
                      </w:rPr>
                      <w:t>三、减值准备</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2821" w:type="dxa"/>
                <w:tcBorders>
                  <w:top w:val="single" w:color="auto" w:sz="4" w:space="0"/>
                  <w:left w:val="single" w:color="auto" w:sz="4" w:space="0"/>
                  <w:bottom w:val="single" w:color="auto" w:sz="4" w:space="0"/>
                  <w:right w:val="single" w:color="auto" w:sz="4" w:space="0"/>
                </w:tcBorders>
                <w:vAlign w:val="center"/>
              </w:tcPr>
              <w:p>
                <w:pPr>
                  <w:ind w:firstLine="420" w:firstLineChars="200"/>
                  <w:rPr>
                    <w:szCs w:val="21"/>
                  </w:rPr>
                </w:pPr>
                <w:r>
                  <w:rPr>
                    <w:szCs w:val="21"/>
                  </w:rPr>
                  <w:t>1.本期增加金额</w:t>
                </w:r>
              </w:p>
            </w:tc>
            <w:tc>
              <w:tcPr>
                <w:tcW w:w="1596"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6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69"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2821" w:type="dxa"/>
                <w:tcBorders>
                  <w:top w:val="single" w:color="auto" w:sz="4" w:space="0"/>
                  <w:left w:val="single" w:color="auto" w:sz="4" w:space="0"/>
                  <w:bottom w:val="single" w:color="auto" w:sz="4" w:space="0"/>
                  <w:right w:val="single" w:color="auto" w:sz="4" w:space="0"/>
                </w:tcBorders>
                <w:vAlign w:val="center"/>
              </w:tcPr>
              <w:p>
                <w:pPr>
                  <w:ind w:firstLine="420" w:firstLineChars="200"/>
                  <w:rPr>
                    <w:szCs w:val="21"/>
                  </w:rPr>
                </w:pPr>
                <w:r>
                  <w:rPr>
                    <w:rFonts w:hint="eastAsia"/>
                    <w:szCs w:val="21"/>
                  </w:rPr>
                  <w:t>2.本期减少金额</w:t>
                </w:r>
              </w:p>
            </w:tc>
            <w:tc>
              <w:tcPr>
                <w:tcW w:w="1596"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6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69"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821" w:type="dxa"/>
                <w:tcBorders>
                  <w:top w:val="single" w:color="auto" w:sz="4" w:space="0"/>
                  <w:left w:val="single" w:color="auto" w:sz="4" w:space="0"/>
                  <w:bottom w:val="single" w:color="auto" w:sz="4" w:space="0"/>
                  <w:right w:val="single" w:color="auto" w:sz="4" w:space="0"/>
                </w:tcBorders>
                <w:vAlign w:val="center"/>
              </w:tcPr>
              <w:p>
                <w:pPr>
                  <w:ind w:firstLine="420" w:firstLineChars="200"/>
                  <w:rPr>
                    <w:szCs w:val="21"/>
                  </w:rPr>
                </w:pPr>
                <w:r>
                  <w:rPr>
                    <w:rFonts w:hint="eastAsia"/>
                    <w:szCs w:val="21"/>
                  </w:rPr>
                  <w:t>3.期末余额</w:t>
                </w:r>
              </w:p>
            </w:tc>
            <w:tc>
              <w:tcPr>
                <w:tcW w:w="1596"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6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69"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9049" w:type="dxa"/>
                <w:gridSpan w:val="5"/>
                <w:tcBorders>
                  <w:top w:val="single" w:color="auto" w:sz="4" w:space="0"/>
                  <w:left w:val="single" w:color="auto" w:sz="4" w:space="0"/>
                  <w:bottom w:val="single" w:color="auto" w:sz="4" w:space="0"/>
                  <w:right w:val="single" w:color="auto" w:sz="4" w:space="0"/>
                </w:tcBorders>
                <w:vAlign w:val="center"/>
              </w:tcPr>
              <w:sdt>
                <w:sdtPr>
                  <w:tag w:val="_PLD_5ad25d173a164f90a33b80cf52189833"/>
                  <w:id w:val="7131"/>
                </w:sdtPr>
                <w:sdtContent>
                  <w:p>
                    <w:pPr>
                      <w:rPr>
                        <w:szCs w:val="21"/>
                      </w:rPr>
                    </w:pPr>
                    <w:r>
                      <w:rPr>
                        <w:rFonts w:hint="eastAsia"/>
                        <w:szCs w:val="21"/>
                      </w:rPr>
                      <w:t>四、账面价值</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821" w:type="dxa"/>
                <w:tcBorders>
                  <w:top w:val="single" w:color="auto" w:sz="4" w:space="0"/>
                  <w:left w:val="single" w:color="auto" w:sz="4" w:space="0"/>
                  <w:bottom w:val="single" w:color="auto" w:sz="4" w:space="0"/>
                  <w:right w:val="single" w:color="auto" w:sz="4" w:space="0"/>
                </w:tcBorders>
                <w:vAlign w:val="center"/>
              </w:tcPr>
              <w:p>
                <w:pPr>
                  <w:ind w:firstLine="315" w:firstLineChars="150"/>
                  <w:rPr>
                    <w:szCs w:val="21"/>
                  </w:rPr>
                </w:pPr>
                <w:r>
                  <w:rPr>
                    <w:szCs w:val="21"/>
                  </w:rPr>
                  <w:t>1.</w:t>
                </w:r>
                <w:r>
                  <w:rPr>
                    <w:rFonts w:hint="eastAsia"/>
                    <w:szCs w:val="21"/>
                  </w:rPr>
                  <w:t>期末账面价值</w:t>
                </w:r>
              </w:p>
            </w:tc>
            <w:tc>
              <w:tcPr>
                <w:tcW w:w="1596"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43,226,336.62</w:t>
                </w: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6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6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43,226,336.62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821" w:type="dxa"/>
                <w:tcBorders>
                  <w:top w:val="single" w:color="auto" w:sz="4" w:space="0"/>
                  <w:left w:val="single" w:color="auto" w:sz="4" w:space="0"/>
                  <w:bottom w:val="single" w:color="auto" w:sz="4" w:space="0"/>
                  <w:right w:val="single" w:color="auto" w:sz="4" w:space="0"/>
                </w:tcBorders>
                <w:vAlign w:val="center"/>
              </w:tcPr>
              <w:p>
                <w:pPr>
                  <w:ind w:firstLine="315" w:firstLineChars="150"/>
                  <w:rPr>
                    <w:szCs w:val="21"/>
                  </w:rPr>
                </w:pPr>
                <w:r>
                  <w:rPr>
                    <w:szCs w:val="21"/>
                  </w:rPr>
                  <w:t>2.</w:t>
                </w:r>
                <w:r>
                  <w:rPr>
                    <w:rFonts w:hint="eastAsia"/>
                    <w:szCs w:val="21"/>
                  </w:rPr>
                  <w:t>期初账面价值</w:t>
                </w:r>
              </w:p>
            </w:tc>
            <w:tc>
              <w:tcPr>
                <w:tcW w:w="1596"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44,384,985.49</w:t>
                </w: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6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46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44,384,985.49</w:t>
                </w:r>
              </w:p>
            </w:tc>
          </w:tr>
        </w:tbl>
        <w:p>
          <w:pPr>
            <w:rPr>
              <w:rFonts w:cstheme="minorBidi"/>
              <w:kern w:val="2"/>
              <w:szCs w:val="21"/>
            </w:rPr>
          </w:pPr>
        </w:p>
        <w:p>
          <w:pPr>
            <w:pStyle w:val="5"/>
            <w:numPr>
              <w:ilvl w:val="3"/>
              <w:numId w:val="77"/>
            </w:numPr>
            <w:ind w:left="426" w:hanging="426"/>
            <w:rPr>
              <w:rFonts w:hint="eastAsia"/>
            </w:rPr>
          </w:pPr>
          <w:r>
            <w:rPr>
              <w:rFonts w:hint="eastAsia"/>
            </w:rPr>
            <w:t>未办妥产权证书的投资性房地产情况</w:t>
          </w:r>
        </w:p>
        <w:p>
          <w:sdt>
            <w:sdtPr>
              <w:alias w:val="是否适用：未办妥产权证书的投资性房地产情况[双击切换]"/>
              <w:tag w:val="_GBC_31ec2c57d73a48d2816267a8606d05e0"/>
              <w:id w:val="7132"/>
              <w:placeholder>
                <w:docPart w:val="GBC22222222222222222222222222222"/>
              </w:placeholder>
            </w:sdtPr>
            <w:sdtContent>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pPr>
            <w:rPr>
              <w:rFonts w:cstheme="minorBidi"/>
              <w:kern w:val="2"/>
              <w:szCs w:val="21"/>
            </w:rPr>
          </w:pPr>
        </w:p>
      </w:sdtContent>
    </w:sdt>
    <w:sdt>
      <w:sdtPr>
        <w:rPr>
          <w:rFonts w:hint="eastAsia" w:ascii="宋体" w:hAnsi="宋体" w:eastAsia="宋体" w:cs="宋体"/>
          <w:b w:val="0"/>
          <w:bCs w:val="0"/>
          <w:kern w:val="0"/>
          <w:szCs w:val="24"/>
        </w:rPr>
        <w:alias w:val="模块:采用成本计量模式的投资性房地产的减值测试情况"/>
        <w:tag w:val="_SEC_d9d7b38b1c1a492ebec6f68e3a4fc5b2"/>
        <w:id w:val="7133"/>
        <w:placeholder>
          <w:docPart w:val="GBC22222222222222222222222222222"/>
        </w:placeholder>
      </w:sdtPr>
      <w:sdtEndPr>
        <w:rPr>
          <w:rFonts w:hint="eastAsia" w:ascii="Times New Roman" w:hAnsi="Times New Roman" w:eastAsia="宋体" w:cs="Times New Roman"/>
          <w:b w:val="0"/>
          <w:bCs w:val="0"/>
          <w:kern w:val="0"/>
          <w:szCs w:val="21"/>
        </w:rPr>
      </w:sdtEndPr>
      <w:sdtContent>
        <w:p>
          <w:pPr>
            <w:pStyle w:val="5"/>
            <w:numPr>
              <w:ilvl w:val="3"/>
              <w:numId w:val="77"/>
            </w:numPr>
            <w:ind w:left="426" w:hanging="426"/>
            <w:rPr>
              <w:rFonts w:hint="eastAsia"/>
            </w:rPr>
          </w:pPr>
          <w:bookmarkStart w:id="295" w:name="_Hlk153460290"/>
          <w:r>
            <w:rPr>
              <w:rFonts w:hint="eastAsia"/>
            </w:rPr>
            <w:t>采用成本计量模式的投资性房地产的减值测试情况</w:t>
          </w:r>
        </w:p>
        <w:sdt>
          <w:sdtPr>
            <w:alias w:val="是否适用：减值测试情况[双击切换]"/>
            <w:tag w:val="_GBC_373a9d68c3e14bb29f489d169fab52f2"/>
            <w:id w:val="7134"/>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napToGrid w:val="0"/>
            <w:spacing w:line="240" w:lineRule="atLeast"/>
            <w:rPr>
              <w:b/>
              <w:szCs w:val="21"/>
            </w:rPr>
          </w:pPr>
        </w:p>
      </w:sdtContent>
    </w:sdt>
    <w:bookmarkEnd w:id="295"/>
    <w:sdt>
      <w:sdtPr>
        <w:rPr>
          <w:rFonts w:cstheme="minorBidi"/>
          <w:kern w:val="2"/>
          <w:szCs w:val="21"/>
        </w:rPr>
        <w:alias w:val="模块:其他说明"/>
        <w:tag w:val="_SEC_470c0ee5a6bf4916a395eeedd0ee1985"/>
        <w:id w:val="7135"/>
        <w:placeholder>
          <w:docPart w:val="GBC22222222222222222222222222222"/>
        </w:placeholder>
      </w:sdtPr>
      <w:sdtEndPr>
        <w:rPr>
          <w:rFonts w:cstheme="minorBidi"/>
          <w:kern w:val="2"/>
          <w:szCs w:val="21"/>
        </w:rPr>
      </w:sdtEndPr>
      <w:sdtContent>
        <w:p>
          <w:pPr>
            <w:rPr>
              <w:szCs w:val="21"/>
            </w:rPr>
          </w:pPr>
          <w:bookmarkStart w:id="296" w:name="_Hlk152860822"/>
          <w:r>
            <w:rPr>
              <w:rFonts w:hint="eastAsia"/>
              <w:szCs w:val="21"/>
            </w:rPr>
            <w:t>其他说明：</w:t>
          </w:r>
        </w:p>
        <w:sdt>
          <w:sdtPr>
            <w:rPr>
              <w:szCs w:val="21"/>
            </w:rPr>
            <w:alias w:val="是否适用：投资性房地产的说明[双击切换]"/>
            <w:tag w:val="_GBC_06b6501d8ce04b8993205409ee63cc68"/>
            <w:id w:val="7136"/>
            <w:placeholder>
              <w:docPart w:val="GBC22222222222222222222222222222"/>
            </w:placeholder>
          </w:sdtPr>
          <w:sdtEndPr>
            <w:rPr>
              <w:szCs w:val="21"/>
            </w:rPr>
          </w:sdtEndPr>
          <w:sdtContent>
            <w:p>
              <w:pPr>
                <w:ind w:left="-2" w:leftChars="-21" w:hanging="42" w:hangingChars="20"/>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szCs w:val="21"/>
            </w:rPr>
            <w:alias w:val="投资性房地产的说明"/>
            <w:tag w:val="_GBC_f2cf25b6ae3d486b8eb52a9c9fb209a7"/>
            <w:id w:val="7137"/>
            <w:placeholder>
              <w:docPart w:val="GBC22222222222222222222222222222"/>
            </w:placeholder>
          </w:sdtPr>
          <w:sdtEndPr>
            <w:rPr>
              <w:szCs w:val="21"/>
            </w:rPr>
          </w:sdtEndPr>
          <w:sdtContent>
            <w:p>
              <w:pPr>
                <w:rPr>
                  <w:szCs w:val="21"/>
                </w:rPr>
              </w:pPr>
              <w:r>
                <w:rPr>
                  <w:rFonts w:hint="eastAsia"/>
                  <w:szCs w:val="21"/>
                </w:rPr>
                <w:t>无</w:t>
              </w:r>
            </w:p>
          </w:sdtContent>
        </w:sdt>
        <w:p>
          <w:pPr>
            <w:rPr>
              <w:rFonts w:cstheme="minorBidi"/>
              <w:kern w:val="2"/>
              <w:szCs w:val="21"/>
            </w:rPr>
          </w:pPr>
        </w:p>
      </w:sdtContent>
    </w:sdt>
    <w:bookmarkEnd w:id="296"/>
    <w:sdt>
      <w:sdtPr>
        <w:tag w:val="_PLD_1d594fd275ed46389815c5e093465912"/>
        <w:id w:val="7138"/>
      </w:sdtPr>
      <w:sdtEndPr>
        <w:rPr>
          <w:rFonts w:cs="Times New Roman"/>
          <w:b/>
          <w:bCs/>
          <w:kern w:val="2"/>
        </w:rPr>
      </w:sdtEndPr>
      <w:sdtContent>
        <w:p>
          <w:pPr>
            <w:pStyle w:val="4"/>
            <w:numPr>
              <w:ilvl w:val="0"/>
              <w:numId w:val="62"/>
            </w:numPr>
            <w:tabs>
              <w:tab w:val="left" w:pos="504"/>
            </w:tabs>
            <w:rPr>
              <w:rFonts w:hint="eastAsia" w:ascii="宋体" w:hAnsi="宋体"/>
              <w:szCs w:val="21"/>
            </w:rPr>
          </w:pPr>
          <w:r>
            <w:rPr>
              <w:rFonts w:hint="eastAsia" w:ascii="宋体" w:hAnsi="宋体"/>
              <w:szCs w:val="21"/>
            </w:rPr>
            <w:t>固定资产</w:t>
          </w:r>
        </w:p>
      </w:sdtContent>
    </w:sdt>
    <w:p>
      <w:pPr>
        <w:pStyle w:val="5"/>
        <w:rPr>
          <w:rFonts w:hint="eastAsia"/>
        </w:rPr>
      </w:pPr>
      <w:bookmarkStart w:id="297" w:name="_Hlk532907583"/>
      <w:r>
        <w:rPr>
          <w:rFonts w:hint="eastAsia"/>
        </w:rPr>
        <w:t>项目列示</w:t>
      </w:r>
    </w:p>
    <w:sdt>
      <w:sdtPr>
        <w:alias w:val="是否适用：固定资产分类列示[双击切换]"/>
        <w:tag w:val="_GBC_aa56cf68790e4b9d866b3ea7d6d8073d"/>
        <w:id w:val="7139"/>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固定资产分类列示"/>
          <w:tag w:val="_GBC_857b5f6755c84b5aa235351580358065"/>
          <w:id w:val="714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固定资产分类列示"/>
          <w:tag w:val="_GBC_726c882708c540a4a7832f00029fe5d4"/>
          <w:id w:val="714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08"/>
        <w:gridCol w:w="2863"/>
        <w:gridCol w:w="2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8" w:type="dxa"/>
            <w:vAlign w:val="center"/>
          </w:tcPr>
          <w:sdt>
            <w:sdtPr>
              <w:tag w:val="_PLD_a1c8e68343ee4b7fa02f5422a7fad5c0"/>
              <w:id w:val="7142"/>
            </w:sdtPr>
            <w:sdtContent>
              <w:p>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sdtContent>
          </w:sdt>
        </w:tc>
        <w:tc>
          <w:tcPr>
            <w:tcW w:w="2863" w:type="dxa"/>
            <w:vAlign w:val="center"/>
          </w:tcPr>
          <w:sdt>
            <w:sdtPr>
              <w:tag w:val="_PLD_a7d9e039146b4c3ab8e71ba63a4ca55d"/>
              <w:id w:val="7143"/>
            </w:sdtPr>
            <w:sdtContent>
              <w:p>
                <w:pPr>
                  <w:jc w:val="center"/>
                  <w:rPr>
                    <w:szCs w:val="21"/>
                  </w:rPr>
                </w:pPr>
                <w:r>
                  <w:rPr>
                    <w:rFonts w:hint="eastAsia"/>
                    <w:szCs w:val="21"/>
                  </w:rPr>
                  <w:t>期末余额</w:t>
                </w:r>
              </w:p>
            </w:sdtContent>
          </w:sdt>
        </w:tc>
        <w:tc>
          <w:tcPr>
            <w:tcW w:w="2877" w:type="dxa"/>
            <w:vAlign w:val="center"/>
          </w:tcPr>
          <w:sdt>
            <w:sdtPr>
              <w:tag w:val="_PLD_a075f0130f1f4334b8370490adf71764"/>
              <w:id w:val="7144"/>
            </w:sdtPr>
            <w:sdtContent>
              <w:p>
                <w:pPr>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8" w:type="dxa"/>
            <w:vAlign w:val="center"/>
          </w:tcPr>
          <w:p>
            <w:pPr>
              <w:tabs>
                <w:tab w:val="right" w:pos="3690"/>
                <w:tab w:val="right" w:pos="5130"/>
                <w:tab w:val="right" w:pos="6030"/>
                <w:tab w:val="right" w:pos="7650"/>
                <w:tab w:val="right" w:pos="9270"/>
              </w:tabs>
              <w:adjustRightInd w:val="0"/>
              <w:snapToGrid w:val="0"/>
              <w:rPr>
                <w:szCs w:val="21"/>
              </w:rPr>
            </w:pPr>
            <w:r>
              <w:rPr>
                <w:rFonts w:hint="eastAsia"/>
                <w:szCs w:val="21"/>
              </w:rPr>
              <w:t>固定资产</w:t>
            </w:r>
          </w:p>
        </w:tc>
        <w:tc>
          <w:tcPr>
            <w:tcW w:w="2863" w:type="dxa"/>
            <w:vAlign w:val="center"/>
          </w:tcPr>
          <w:p>
            <w:pPr>
              <w:tabs>
                <w:tab w:val="right" w:pos="3690"/>
                <w:tab w:val="right" w:pos="5130"/>
                <w:tab w:val="right" w:pos="6030"/>
                <w:tab w:val="right" w:pos="7650"/>
                <w:tab w:val="right" w:pos="9270"/>
              </w:tabs>
              <w:adjustRightInd w:val="0"/>
              <w:snapToGrid w:val="0"/>
              <w:jc w:val="right"/>
              <w:rPr>
                <w:szCs w:val="21"/>
              </w:rPr>
            </w:pPr>
            <w:r>
              <w:rPr>
                <w:rFonts w:hint="eastAsia"/>
                <w:color w:val="auto"/>
              </w:rPr>
              <w:t>279,520,253.27</w:t>
            </w:r>
          </w:p>
        </w:tc>
        <w:tc>
          <w:tcPr>
            <w:tcW w:w="2877" w:type="dxa"/>
            <w:vAlign w:val="center"/>
          </w:tcPr>
          <w:p>
            <w:pPr>
              <w:tabs>
                <w:tab w:val="right" w:pos="3690"/>
                <w:tab w:val="right" w:pos="5130"/>
                <w:tab w:val="right" w:pos="6030"/>
                <w:tab w:val="right" w:pos="7650"/>
                <w:tab w:val="right" w:pos="9270"/>
              </w:tabs>
              <w:adjustRightInd w:val="0"/>
              <w:snapToGrid w:val="0"/>
              <w:jc w:val="right"/>
              <w:rPr>
                <w:szCs w:val="21"/>
              </w:rPr>
            </w:pPr>
            <w:r>
              <w:rPr>
                <w:rFonts w:hint="eastAsia"/>
                <w:color w:val="auto"/>
              </w:rPr>
              <w:t>276,830,833.14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8" w:type="dxa"/>
            <w:vAlign w:val="center"/>
          </w:tcPr>
          <w:p>
            <w:pPr>
              <w:tabs>
                <w:tab w:val="right" w:pos="3690"/>
                <w:tab w:val="right" w:pos="5130"/>
                <w:tab w:val="right" w:pos="6030"/>
                <w:tab w:val="right" w:pos="7650"/>
                <w:tab w:val="right" w:pos="9270"/>
              </w:tabs>
              <w:adjustRightInd w:val="0"/>
              <w:snapToGrid w:val="0"/>
              <w:jc w:val="center"/>
              <w:rPr>
                <w:szCs w:val="21"/>
              </w:rPr>
            </w:pPr>
            <w:r>
              <w:rPr>
                <w:rFonts w:hint="eastAsia"/>
                <w:szCs w:val="21"/>
              </w:rPr>
              <w:t>合计</w:t>
            </w:r>
          </w:p>
        </w:tc>
        <w:tc>
          <w:tcPr>
            <w:tcW w:w="2863" w:type="dxa"/>
            <w:vAlign w:val="center"/>
          </w:tcPr>
          <w:p>
            <w:pPr>
              <w:tabs>
                <w:tab w:val="right" w:pos="3690"/>
                <w:tab w:val="right" w:pos="5130"/>
                <w:tab w:val="right" w:pos="6030"/>
                <w:tab w:val="right" w:pos="7650"/>
                <w:tab w:val="right" w:pos="9270"/>
              </w:tabs>
              <w:adjustRightInd w:val="0"/>
              <w:snapToGrid w:val="0"/>
              <w:jc w:val="right"/>
              <w:rPr>
                <w:szCs w:val="21"/>
              </w:rPr>
            </w:pPr>
            <w:r>
              <w:rPr>
                <w:rFonts w:hint="eastAsia"/>
                <w:color w:val="auto"/>
              </w:rPr>
              <w:t>279,520,253.27</w:t>
            </w:r>
          </w:p>
        </w:tc>
        <w:tc>
          <w:tcPr>
            <w:tcW w:w="2877" w:type="dxa"/>
            <w:vAlign w:val="center"/>
          </w:tcPr>
          <w:p>
            <w:pPr>
              <w:tabs>
                <w:tab w:val="right" w:pos="3690"/>
                <w:tab w:val="right" w:pos="5130"/>
                <w:tab w:val="right" w:pos="6030"/>
                <w:tab w:val="right" w:pos="7650"/>
                <w:tab w:val="right" w:pos="9270"/>
              </w:tabs>
              <w:adjustRightInd w:val="0"/>
              <w:snapToGrid w:val="0"/>
              <w:jc w:val="right"/>
              <w:rPr>
                <w:szCs w:val="21"/>
              </w:rPr>
            </w:pPr>
            <w:r>
              <w:rPr>
                <w:rFonts w:hint="eastAsia"/>
                <w:color w:val="auto"/>
              </w:rPr>
              <w:t>276,830,833.14</w:t>
            </w:r>
          </w:p>
        </w:tc>
      </w:tr>
    </w:tbl>
    <w:p>
      <w:pPr>
        <w:rPr>
          <w:b/>
        </w:rPr>
      </w:pPr>
    </w:p>
    <w:bookmarkEnd w:id="297"/>
    <w:p>
      <w:pPr>
        <w:rPr>
          <w:szCs w:val="21"/>
        </w:rPr>
      </w:pPr>
      <w:r>
        <w:rPr>
          <w:rFonts w:hint="eastAsia"/>
          <w:szCs w:val="21"/>
        </w:rPr>
        <w:t>其他说明：</w:t>
      </w:r>
    </w:p>
    <w:sdt>
      <w:sdtPr>
        <w:rPr>
          <w:szCs w:val="21"/>
        </w:rPr>
        <w:alias w:val="是否适用：固定资产分类列示其他说明[双击切换]"/>
        <w:tag w:val="_GBC_242c272ba3a1435aacea1f45ade5a2e0"/>
        <w:id w:val="7145"/>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5"/>
        <w:ind w:left="360" w:hanging="360"/>
        <w:rPr>
          <w:rFonts w:hint="eastAsia"/>
        </w:rPr>
      </w:pPr>
      <w:r>
        <w:rPr>
          <w:rFonts w:hint="eastAsia"/>
        </w:rPr>
        <w:t>固定资产</w:t>
      </w:r>
    </w:p>
    <w:p>
      <w:pPr>
        <w:pStyle w:val="6"/>
        <w:numPr>
          <w:ilvl w:val="0"/>
          <w:numId w:val="78"/>
        </w:numPr>
        <w:ind w:leftChars="0"/>
      </w:pPr>
      <w:r>
        <w:rPr>
          <w:rFonts w:hint="eastAsia"/>
        </w:rPr>
        <w:t>固定资产情况</w:t>
      </w:r>
    </w:p>
    <w:sdt>
      <w:sdtPr>
        <w:alias w:val="是否适用：固定资产情况[双击切换]"/>
        <w:tag w:val="_GBC_a44afb7019ae43b7a273970cf76154a3"/>
        <w:id w:val="7146"/>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6aff6dff3e7c47e2891bcccce5ef5b8c"/>
          <w:id w:val="714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固定资产情况"/>
          <w:tag w:val="_GBC_acfb726ad8bc4e37a6326a98b903d495"/>
          <w:id w:val="714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1380"/>
        <w:gridCol w:w="1549"/>
        <w:gridCol w:w="1604"/>
        <w:gridCol w:w="1363"/>
        <w:gridCol w:w="1528"/>
        <w:gridCol w:w="1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sdt>
            <w:sdtPr>
              <w:tag w:val="_PLD_0431b88b9ff14ebb90e5715c273e1c1d"/>
              <w:id w:val="7149"/>
            </w:sdtPr>
            <w:sdtContent>
              <w:p>
                <w:pPr>
                  <w:jc w:val="center"/>
                </w:pPr>
                <w:r>
                  <w:rPr>
                    <w:rFonts w:hint="eastAsia"/>
                  </w:rPr>
                  <w:t>项目</w:t>
                </w:r>
              </w:p>
            </w:sdtContent>
          </w:sdt>
        </w:tc>
        <w:tc>
          <w:tcPr>
            <w:tcW w:w="1549" w:type="dxa"/>
            <w:vAlign w:val="center"/>
          </w:tcPr>
          <w:sdt>
            <w:sdtPr>
              <w:rPr>
                <w:rFonts w:hint="eastAsia"/>
              </w:rPr>
              <w:alias w:val="固定资产情况明细-项目名称"/>
              <w:tag w:val="_GBC_d421638fcfb34bbba0e548b4cb719a06"/>
              <w:id w:val="7150"/>
              <w:text/>
            </w:sdtPr>
            <w:sdtEndPr>
              <w:rPr>
                <w:rFonts w:hint="eastAsia"/>
              </w:rPr>
            </w:sdtEndPr>
            <w:sdtContent>
              <w:p>
                <w:pPr>
                  <w:jc w:val="center"/>
                </w:pPr>
                <w:r>
                  <w:rPr>
                    <w:rFonts w:hint="eastAsia"/>
                  </w:rPr>
                  <w:t>房屋及建筑物</w:t>
                </w:r>
              </w:p>
            </w:sdtContent>
          </w:sdt>
        </w:tc>
        <w:tc>
          <w:tcPr>
            <w:tcW w:w="1604" w:type="dxa"/>
            <w:vAlign w:val="center"/>
          </w:tcPr>
          <w:sdt>
            <w:sdtPr>
              <w:rPr>
                <w:rFonts w:hint="eastAsia"/>
              </w:rPr>
              <w:alias w:val="固定资产情况明细-项目名称"/>
              <w:tag w:val="_GBC_d421638fcfb34bbba0e548b4cb719a06"/>
              <w:id w:val="7151"/>
              <w:text/>
            </w:sdtPr>
            <w:sdtEndPr>
              <w:rPr>
                <w:rFonts w:hint="eastAsia"/>
              </w:rPr>
            </w:sdtEndPr>
            <w:sdtContent>
              <w:p>
                <w:pPr>
                  <w:jc w:val="center"/>
                </w:pPr>
                <w:r>
                  <w:rPr>
                    <w:rFonts w:hint="eastAsia"/>
                  </w:rPr>
                  <w:t>机器设备</w:t>
                </w:r>
              </w:p>
            </w:sdtContent>
          </w:sdt>
        </w:tc>
        <w:tc>
          <w:tcPr>
            <w:tcW w:w="1363" w:type="dxa"/>
            <w:vAlign w:val="center"/>
          </w:tcPr>
          <w:sdt>
            <w:sdtPr>
              <w:rPr>
                <w:rFonts w:hint="eastAsia"/>
              </w:rPr>
              <w:alias w:val="固定资产情况明细-项目名称"/>
              <w:tag w:val="_GBC_d421638fcfb34bbba0e548b4cb719a06"/>
              <w:id w:val="7152"/>
              <w:text/>
            </w:sdtPr>
            <w:sdtEndPr>
              <w:rPr>
                <w:rFonts w:hint="eastAsia"/>
              </w:rPr>
            </w:sdtEndPr>
            <w:sdtContent>
              <w:p>
                <w:pPr>
                  <w:jc w:val="center"/>
                </w:pPr>
                <w:r>
                  <w:rPr>
                    <w:rFonts w:hint="eastAsia"/>
                  </w:rPr>
                  <w:t>运输工具</w:t>
                </w:r>
              </w:p>
            </w:sdtContent>
          </w:sdt>
        </w:tc>
        <w:tc>
          <w:tcPr>
            <w:tcW w:w="1528" w:type="dxa"/>
            <w:vAlign w:val="center"/>
          </w:tcPr>
          <w:sdt>
            <w:sdtPr>
              <w:rPr>
                <w:rFonts w:hint="eastAsia"/>
              </w:rPr>
              <w:alias w:val="固定资产情况明细-项目名称"/>
              <w:tag w:val="_GBC_d421638fcfb34bbba0e548b4cb719a06"/>
              <w:id w:val="7153"/>
              <w:text/>
            </w:sdtPr>
            <w:sdtEndPr>
              <w:rPr>
                <w:rFonts w:hint="eastAsia"/>
              </w:rPr>
            </w:sdtEndPr>
            <w:sdtContent>
              <w:p>
                <w:pPr>
                  <w:jc w:val="center"/>
                </w:pPr>
                <w:r>
                  <w:rPr>
                    <w:rFonts w:hint="eastAsia"/>
                    <w:color w:val="auto"/>
                  </w:rPr>
                  <w:t>其他设备</w:t>
                </w:r>
              </w:p>
            </w:sdtContent>
          </w:sdt>
        </w:tc>
        <w:tc>
          <w:tcPr>
            <w:tcW w:w="1629" w:type="dxa"/>
            <w:vAlign w:val="center"/>
          </w:tcPr>
          <w:sdt>
            <w:sdtPr>
              <w:tag w:val="_PLD_44989fc4cd3d46cc990c4d1941405a11"/>
              <w:id w:val="7154"/>
            </w:sdtPr>
            <w:sdtContent>
              <w:p>
                <w:pPr>
                  <w:jc w:val="center"/>
                </w:pPr>
                <w:r>
                  <w:rPr>
                    <w:rFonts w:hint="eastAsia"/>
                  </w:rPr>
                  <w:t>合计</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9053" w:type="dxa"/>
            <w:gridSpan w:val="6"/>
            <w:vAlign w:val="center"/>
          </w:tcPr>
          <w:sdt>
            <w:sdtPr>
              <w:tag w:val="_PLD_baa91289996942f0a3579319b339b24d"/>
              <w:id w:val="7155"/>
            </w:sdtPr>
            <w:sdtContent>
              <w:p>
                <w:r>
                  <w:rPr>
                    <w:rFonts w:hint="eastAsia"/>
                  </w:rPr>
                  <w:t>一、账面原值：</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424" w:hRule="atLeast"/>
        </w:trPr>
        <w:tc>
          <w:tcPr>
            <w:tcW w:w="1380" w:type="dxa"/>
            <w:vAlign w:val="center"/>
          </w:tcPr>
          <w:p>
            <w:r>
              <w:t>1.</w:t>
            </w:r>
            <w:r>
              <w:rPr>
                <w:rFonts w:hint="eastAsia"/>
              </w:rPr>
              <w:t>期初余额</w:t>
            </w:r>
          </w:p>
        </w:tc>
        <w:tc>
          <w:tcPr>
            <w:tcW w:w="1549" w:type="dxa"/>
            <w:vAlign w:val="center"/>
          </w:tcPr>
          <w:p>
            <w:pPr>
              <w:jc w:val="right"/>
            </w:pPr>
            <w:r>
              <w:rPr>
                <w:rFonts w:hint="eastAsia"/>
                <w:color w:val="auto"/>
              </w:rPr>
              <w:t>358,992,495.75</w:t>
            </w:r>
          </w:p>
        </w:tc>
        <w:tc>
          <w:tcPr>
            <w:tcW w:w="1604" w:type="dxa"/>
            <w:vAlign w:val="center"/>
          </w:tcPr>
          <w:p>
            <w:pPr>
              <w:jc w:val="right"/>
            </w:pPr>
            <w:r>
              <w:rPr>
                <w:rFonts w:hint="eastAsia"/>
                <w:color w:val="auto"/>
              </w:rPr>
              <w:t>341,598,666.63</w:t>
            </w:r>
          </w:p>
        </w:tc>
        <w:tc>
          <w:tcPr>
            <w:tcW w:w="1363" w:type="dxa"/>
            <w:vAlign w:val="center"/>
          </w:tcPr>
          <w:p>
            <w:pPr>
              <w:jc w:val="right"/>
            </w:pPr>
            <w:r>
              <w:rPr>
                <w:rFonts w:hint="eastAsia"/>
                <w:color w:val="auto"/>
              </w:rPr>
              <w:t>7,878,074.49</w:t>
            </w:r>
          </w:p>
        </w:tc>
        <w:tc>
          <w:tcPr>
            <w:tcW w:w="1528" w:type="dxa"/>
            <w:vAlign w:val="center"/>
          </w:tcPr>
          <w:p>
            <w:pPr>
              <w:jc w:val="right"/>
            </w:pPr>
            <w:r>
              <w:rPr>
                <w:rFonts w:hint="eastAsia"/>
                <w:color w:val="auto"/>
              </w:rPr>
              <w:t>21,329,103.78</w:t>
            </w:r>
          </w:p>
        </w:tc>
        <w:tc>
          <w:tcPr>
            <w:tcW w:w="1629" w:type="dxa"/>
            <w:vAlign w:val="center"/>
          </w:tcPr>
          <w:p>
            <w:pPr>
              <w:jc w:val="right"/>
            </w:pPr>
            <w:r>
              <w:rPr>
                <w:rFonts w:hint="eastAsia"/>
                <w:color w:val="auto"/>
              </w:rPr>
              <w:t>729,798,340.65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t>2.</w:t>
            </w:r>
            <w:r>
              <w:rPr>
                <w:rFonts w:hint="eastAsia"/>
              </w:rPr>
              <w:t>本期增加金额</w:t>
            </w:r>
          </w:p>
        </w:tc>
        <w:tc>
          <w:tcPr>
            <w:tcW w:w="1549" w:type="dxa"/>
            <w:vAlign w:val="center"/>
          </w:tcPr>
          <w:p>
            <w:pPr>
              <w:jc w:val="right"/>
            </w:pPr>
            <w:r>
              <w:rPr>
                <w:rFonts w:hint="eastAsia"/>
                <w:color w:val="auto"/>
              </w:rPr>
              <w:t>205,298.77</w:t>
            </w:r>
          </w:p>
        </w:tc>
        <w:tc>
          <w:tcPr>
            <w:tcW w:w="1604" w:type="dxa"/>
            <w:vAlign w:val="center"/>
          </w:tcPr>
          <w:p>
            <w:pPr>
              <w:jc w:val="right"/>
            </w:pPr>
            <w:r>
              <w:rPr>
                <w:rFonts w:hint="eastAsia"/>
                <w:color w:val="auto"/>
              </w:rPr>
              <w:t>24,347,590.37</w:t>
            </w:r>
          </w:p>
        </w:tc>
        <w:tc>
          <w:tcPr>
            <w:tcW w:w="1363" w:type="dxa"/>
            <w:vAlign w:val="center"/>
          </w:tcPr>
          <w:p>
            <w:pPr>
              <w:jc w:val="right"/>
            </w:pPr>
            <w:r>
              <w:rPr>
                <w:rFonts w:hint="eastAsia"/>
                <w:color w:val="auto"/>
              </w:rPr>
              <w:t>878,212.38</w:t>
            </w:r>
          </w:p>
        </w:tc>
        <w:tc>
          <w:tcPr>
            <w:tcW w:w="1528" w:type="dxa"/>
            <w:vAlign w:val="center"/>
          </w:tcPr>
          <w:p>
            <w:pPr>
              <w:jc w:val="right"/>
            </w:pPr>
            <w:r>
              <w:rPr>
                <w:rFonts w:hint="eastAsia"/>
                <w:color w:val="auto"/>
              </w:rPr>
              <w:t>1,991,814.23</w:t>
            </w:r>
          </w:p>
        </w:tc>
        <w:tc>
          <w:tcPr>
            <w:tcW w:w="1629" w:type="dxa"/>
            <w:vAlign w:val="center"/>
          </w:tcPr>
          <w:p>
            <w:pPr>
              <w:jc w:val="right"/>
            </w:pPr>
            <w:r>
              <w:rPr>
                <w:rFonts w:hint="eastAsia"/>
                <w:color w:val="auto"/>
              </w:rPr>
              <w:t>27,422,915.75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rPr>
                <w:rFonts w:hint="eastAsia"/>
              </w:rPr>
              <w:t>（1）购置</w:t>
            </w:r>
          </w:p>
        </w:tc>
        <w:tc>
          <w:tcPr>
            <w:tcW w:w="1549" w:type="dxa"/>
            <w:vAlign w:val="center"/>
          </w:tcPr>
          <w:p>
            <w:pPr>
              <w:jc w:val="right"/>
            </w:pPr>
            <w:r>
              <w:rPr>
                <w:rFonts w:hint="eastAsia"/>
                <w:color w:val="auto"/>
              </w:rPr>
              <w:t>205,298.77</w:t>
            </w:r>
          </w:p>
        </w:tc>
        <w:tc>
          <w:tcPr>
            <w:tcW w:w="1604" w:type="dxa"/>
            <w:vAlign w:val="center"/>
          </w:tcPr>
          <w:p>
            <w:pPr>
              <w:jc w:val="right"/>
            </w:pPr>
            <w:r>
              <w:rPr>
                <w:rFonts w:hint="eastAsia"/>
                <w:color w:val="auto"/>
              </w:rPr>
              <w:t>14,491,387.52</w:t>
            </w:r>
          </w:p>
        </w:tc>
        <w:tc>
          <w:tcPr>
            <w:tcW w:w="1363" w:type="dxa"/>
            <w:vAlign w:val="center"/>
          </w:tcPr>
          <w:p>
            <w:pPr>
              <w:jc w:val="right"/>
            </w:pPr>
            <w:r>
              <w:rPr>
                <w:rFonts w:hint="eastAsia"/>
                <w:color w:val="auto"/>
              </w:rPr>
              <w:t>878,212.38</w:t>
            </w:r>
          </w:p>
        </w:tc>
        <w:tc>
          <w:tcPr>
            <w:tcW w:w="1528" w:type="dxa"/>
            <w:vAlign w:val="center"/>
          </w:tcPr>
          <w:p>
            <w:pPr>
              <w:jc w:val="right"/>
            </w:pPr>
            <w:r>
              <w:rPr>
                <w:rFonts w:hint="eastAsia"/>
                <w:color w:val="auto"/>
              </w:rPr>
              <w:t>1,991,814.23</w:t>
            </w:r>
          </w:p>
        </w:tc>
        <w:tc>
          <w:tcPr>
            <w:tcW w:w="1629" w:type="dxa"/>
            <w:vAlign w:val="center"/>
          </w:tcPr>
          <w:p>
            <w:pPr>
              <w:jc w:val="right"/>
            </w:pPr>
            <w:r>
              <w:rPr>
                <w:rFonts w:hint="eastAsia"/>
                <w:color w:val="auto"/>
              </w:rPr>
              <w:t>17,566,712.90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rPr>
                <w:rFonts w:hint="eastAsia"/>
              </w:rPr>
              <w:t>（2）在建工程转入</w:t>
            </w:r>
          </w:p>
        </w:tc>
        <w:tc>
          <w:tcPr>
            <w:tcW w:w="1549" w:type="dxa"/>
            <w:vAlign w:val="center"/>
          </w:tcPr>
          <w:p>
            <w:pPr>
              <w:jc w:val="right"/>
            </w:pPr>
          </w:p>
        </w:tc>
        <w:tc>
          <w:tcPr>
            <w:tcW w:w="1604" w:type="dxa"/>
            <w:vAlign w:val="center"/>
          </w:tcPr>
          <w:p>
            <w:pPr>
              <w:jc w:val="right"/>
            </w:pPr>
            <w:r>
              <w:rPr>
                <w:rFonts w:hint="eastAsia"/>
                <w:color w:val="auto"/>
              </w:rPr>
              <w:t>9,856,202.85</w:t>
            </w:r>
          </w:p>
        </w:tc>
        <w:tc>
          <w:tcPr>
            <w:tcW w:w="1363" w:type="dxa"/>
            <w:vAlign w:val="center"/>
          </w:tcPr>
          <w:p>
            <w:pPr>
              <w:jc w:val="right"/>
            </w:pPr>
          </w:p>
        </w:tc>
        <w:tc>
          <w:tcPr>
            <w:tcW w:w="1528" w:type="dxa"/>
            <w:vAlign w:val="center"/>
          </w:tcPr>
          <w:p>
            <w:pPr>
              <w:jc w:val="right"/>
            </w:pPr>
          </w:p>
        </w:tc>
        <w:tc>
          <w:tcPr>
            <w:tcW w:w="1629" w:type="dxa"/>
            <w:vAlign w:val="center"/>
          </w:tcPr>
          <w:p>
            <w:pPr>
              <w:jc w:val="right"/>
            </w:pPr>
            <w:r>
              <w:rPr>
                <w:rFonts w:hint="eastAsia"/>
                <w:color w:val="auto"/>
              </w:rPr>
              <w:t>9,856,202.85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rPr>
                <w:rFonts w:hint="eastAsia"/>
              </w:rPr>
              <w:t>（3）企业合并增加</w:t>
            </w:r>
          </w:p>
        </w:tc>
        <w:tc>
          <w:tcPr>
            <w:tcW w:w="1549" w:type="dxa"/>
            <w:vAlign w:val="center"/>
          </w:tcPr>
          <w:p>
            <w:pPr>
              <w:jc w:val="right"/>
            </w:pPr>
          </w:p>
        </w:tc>
        <w:tc>
          <w:tcPr>
            <w:tcW w:w="1604" w:type="dxa"/>
            <w:vAlign w:val="center"/>
          </w:tcPr>
          <w:p>
            <w:pPr>
              <w:jc w:val="right"/>
            </w:pPr>
          </w:p>
        </w:tc>
        <w:tc>
          <w:tcPr>
            <w:tcW w:w="1363" w:type="dxa"/>
            <w:vAlign w:val="center"/>
          </w:tcPr>
          <w:p>
            <w:pPr>
              <w:jc w:val="right"/>
            </w:pPr>
          </w:p>
        </w:tc>
        <w:tc>
          <w:tcPr>
            <w:tcW w:w="1528" w:type="dxa"/>
            <w:vAlign w:val="center"/>
          </w:tcPr>
          <w:p>
            <w:pPr>
              <w:jc w:val="right"/>
            </w:pPr>
          </w:p>
        </w:tc>
        <w:tc>
          <w:tcPr>
            <w:tcW w:w="1629" w:type="dxa"/>
            <w:vAlign w:val="center"/>
          </w:tcPr>
          <w:p>
            <w:pPr>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rPr>
                <w:rFonts w:hint="eastAsia"/>
              </w:rPr>
              <w:t>3.本期减少金额</w:t>
            </w:r>
          </w:p>
        </w:tc>
        <w:tc>
          <w:tcPr>
            <w:tcW w:w="1549" w:type="dxa"/>
            <w:vAlign w:val="center"/>
          </w:tcPr>
          <w:p>
            <w:pPr>
              <w:jc w:val="right"/>
            </w:pPr>
          </w:p>
        </w:tc>
        <w:tc>
          <w:tcPr>
            <w:tcW w:w="1604" w:type="dxa"/>
            <w:vAlign w:val="center"/>
          </w:tcPr>
          <w:p>
            <w:pPr>
              <w:jc w:val="right"/>
            </w:pPr>
            <w:r>
              <w:rPr>
                <w:rFonts w:hint="eastAsia"/>
                <w:color w:val="auto"/>
              </w:rPr>
              <w:t>1,001,604.25</w:t>
            </w:r>
          </w:p>
        </w:tc>
        <w:tc>
          <w:tcPr>
            <w:tcW w:w="1363" w:type="dxa"/>
            <w:vAlign w:val="center"/>
          </w:tcPr>
          <w:p>
            <w:pPr>
              <w:jc w:val="right"/>
            </w:pPr>
            <w:r>
              <w:rPr>
                <w:rFonts w:hint="eastAsia"/>
                <w:color w:val="auto"/>
              </w:rPr>
              <w:t>754,703.00</w:t>
            </w:r>
          </w:p>
        </w:tc>
        <w:tc>
          <w:tcPr>
            <w:tcW w:w="1528" w:type="dxa"/>
            <w:vAlign w:val="center"/>
          </w:tcPr>
          <w:p>
            <w:pPr>
              <w:jc w:val="right"/>
            </w:pPr>
            <w:r>
              <w:rPr>
                <w:rFonts w:hint="eastAsia"/>
                <w:color w:val="auto"/>
              </w:rPr>
              <w:t>4,500.00</w:t>
            </w:r>
          </w:p>
        </w:tc>
        <w:tc>
          <w:tcPr>
            <w:tcW w:w="1629" w:type="dxa"/>
            <w:vAlign w:val="center"/>
          </w:tcPr>
          <w:p>
            <w:pPr>
              <w:jc w:val="right"/>
            </w:pPr>
            <w:r>
              <w:rPr>
                <w:rFonts w:hint="eastAsia"/>
                <w:color w:val="auto"/>
              </w:rPr>
              <w:t>1,760,807.25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rPr>
                <w:rFonts w:hint="eastAsia"/>
              </w:rPr>
              <w:t>（1）处置或报废</w:t>
            </w:r>
          </w:p>
        </w:tc>
        <w:tc>
          <w:tcPr>
            <w:tcW w:w="1549" w:type="dxa"/>
            <w:vAlign w:val="center"/>
          </w:tcPr>
          <w:p>
            <w:pPr>
              <w:jc w:val="right"/>
            </w:pPr>
          </w:p>
        </w:tc>
        <w:tc>
          <w:tcPr>
            <w:tcW w:w="1604" w:type="dxa"/>
            <w:vAlign w:val="center"/>
          </w:tcPr>
          <w:p>
            <w:pPr>
              <w:jc w:val="right"/>
            </w:pPr>
            <w:r>
              <w:rPr>
                <w:rFonts w:hint="eastAsia"/>
                <w:color w:val="auto"/>
              </w:rPr>
              <w:t>1,001,604.25</w:t>
            </w:r>
          </w:p>
        </w:tc>
        <w:tc>
          <w:tcPr>
            <w:tcW w:w="1363" w:type="dxa"/>
            <w:vAlign w:val="center"/>
          </w:tcPr>
          <w:p>
            <w:pPr>
              <w:jc w:val="right"/>
            </w:pPr>
            <w:r>
              <w:rPr>
                <w:rFonts w:hint="eastAsia"/>
                <w:color w:val="auto"/>
              </w:rPr>
              <w:t>754,703.00</w:t>
            </w:r>
          </w:p>
        </w:tc>
        <w:tc>
          <w:tcPr>
            <w:tcW w:w="1528" w:type="dxa"/>
            <w:vAlign w:val="center"/>
          </w:tcPr>
          <w:p>
            <w:pPr>
              <w:jc w:val="right"/>
            </w:pPr>
            <w:r>
              <w:rPr>
                <w:rFonts w:hint="eastAsia"/>
                <w:color w:val="auto"/>
              </w:rPr>
              <w:t>4,500.00</w:t>
            </w:r>
          </w:p>
        </w:tc>
        <w:tc>
          <w:tcPr>
            <w:tcW w:w="1629" w:type="dxa"/>
            <w:vAlign w:val="center"/>
          </w:tcPr>
          <w:p>
            <w:pPr>
              <w:jc w:val="right"/>
            </w:pPr>
            <w:r>
              <w:rPr>
                <w:rFonts w:hint="eastAsia"/>
                <w:color w:val="auto"/>
              </w:rPr>
              <w:t>1,760,807.25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rPr>
                <w:rFonts w:hint="eastAsia"/>
              </w:rPr>
              <w:t>4.期末余额</w:t>
            </w:r>
          </w:p>
        </w:tc>
        <w:tc>
          <w:tcPr>
            <w:tcW w:w="1549" w:type="dxa"/>
            <w:vAlign w:val="center"/>
          </w:tcPr>
          <w:p>
            <w:pPr>
              <w:jc w:val="right"/>
            </w:pPr>
            <w:r>
              <w:rPr>
                <w:rFonts w:hint="eastAsia"/>
                <w:color w:val="auto"/>
              </w:rPr>
              <w:t>359,197,794.52</w:t>
            </w:r>
          </w:p>
        </w:tc>
        <w:tc>
          <w:tcPr>
            <w:tcW w:w="1604" w:type="dxa"/>
            <w:vAlign w:val="center"/>
          </w:tcPr>
          <w:p>
            <w:pPr>
              <w:jc w:val="right"/>
            </w:pPr>
            <w:r>
              <w:rPr>
                <w:rFonts w:hint="eastAsia"/>
                <w:color w:val="auto"/>
              </w:rPr>
              <w:t>364,944,652.75</w:t>
            </w:r>
          </w:p>
        </w:tc>
        <w:tc>
          <w:tcPr>
            <w:tcW w:w="1363" w:type="dxa"/>
            <w:vAlign w:val="center"/>
          </w:tcPr>
          <w:p>
            <w:pPr>
              <w:jc w:val="right"/>
            </w:pPr>
            <w:r>
              <w:rPr>
                <w:rFonts w:hint="eastAsia"/>
                <w:color w:val="auto"/>
              </w:rPr>
              <w:t>8,001,583.87</w:t>
            </w:r>
          </w:p>
        </w:tc>
        <w:tc>
          <w:tcPr>
            <w:tcW w:w="1528" w:type="dxa"/>
            <w:vAlign w:val="center"/>
          </w:tcPr>
          <w:p>
            <w:pPr>
              <w:jc w:val="right"/>
            </w:pPr>
            <w:r>
              <w:rPr>
                <w:rFonts w:hint="eastAsia"/>
                <w:color w:val="auto"/>
              </w:rPr>
              <w:t>23,316,418.01</w:t>
            </w:r>
          </w:p>
        </w:tc>
        <w:tc>
          <w:tcPr>
            <w:tcW w:w="1629" w:type="dxa"/>
            <w:vAlign w:val="center"/>
          </w:tcPr>
          <w:p>
            <w:pPr>
              <w:jc w:val="right"/>
            </w:pPr>
            <w:r>
              <w:rPr>
                <w:rFonts w:hint="eastAsia"/>
                <w:color w:val="auto"/>
              </w:rPr>
              <w:t>755,460,449.15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9053" w:type="dxa"/>
            <w:gridSpan w:val="6"/>
            <w:vAlign w:val="center"/>
          </w:tcPr>
          <w:sdt>
            <w:sdtPr>
              <w:tag w:val="_PLD_14f44e7a4341414ca27a4047f9622e44"/>
              <w:id w:val="7156"/>
            </w:sdtPr>
            <w:sdtContent>
              <w:p>
                <w:r>
                  <w:rPr>
                    <w:rFonts w:hint="eastAsia"/>
                  </w:rPr>
                  <w:t>二、累计折旧</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t>1.</w:t>
            </w:r>
            <w:r>
              <w:rPr>
                <w:rFonts w:hint="eastAsia"/>
              </w:rPr>
              <w:t>期初余额</w:t>
            </w:r>
          </w:p>
        </w:tc>
        <w:tc>
          <w:tcPr>
            <w:tcW w:w="1549" w:type="dxa"/>
            <w:vAlign w:val="center"/>
          </w:tcPr>
          <w:p>
            <w:pPr>
              <w:jc w:val="right"/>
            </w:pPr>
            <w:r>
              <w:rPr>
                <w:rFonts w:hint="eastAsia"/>
                <w:color w:val="auto"/>
              </w:rPr>
              <w:t>170,048,570.85</w:t>
            </w:r>
          </w:p>
        </w:tc>
        <w:tc>
          <w:tcPr>
            <w:tcW w:w="1604" w:type="dxa"/>
            <w:vAlign w:val="center"/>
          </w:tcPr>
          <w:p>
            <w:pPr>
              <w:jc w:val="right"/>
            </w:pPr>
            <w:r>
              <w:rPr>
                <w:rFonts w:hint="eastAsia"/>
                <w:color w:val="auto"/>
              </w:rPr>
              <w:t>259,638,776.56</w:t>
            </w:r>
          </w:p>
        </w:tc>
        <w:tc>
          <w:tcPr>
            <w:tcW w:w="1363" w:type="dxa"/>
            <w:vAlign w:val="center"/>
          </w:tcPr>
          <w:p>
            <w:pPr>
              <w:jc w:val="right"/>
            </w:pPr>
            <w:r>
              <w:rPr>
                <w:rFonts w:hint="eastAsia"/>
                <w:color w:val="auto"/>
              </w:rPr>
              <w:t>6,102,525.01</w:t>
            </w:r>
          </w:p>
        </w:tc>
        <w:tc>
          <w:tcPr>
            <w:tcW w:w="1528" w:type="dxa"/>
            <w:vAlign w:val="center"/>
          </w:tcPr>
          <w:p>
            <w:pPr>
              <w:jc w:val="right"/>
            </w:pPr>
            <w:r>
              <w:rPr>
                <w:rFonts w:hint="eastAsia"/>
                <w:color w:val="auto"/>
              </w:rPr>
              <w:t>16,917,565.07</w:t>
            </w:r>
          </w:p>
        </w:tc>
        <w:tc>
          <w:tcPr>
            <w:tcW w:w="1629" w:type="dxa"/>
            <w:vAlign w:val="center"/>
          </w:tcPr>
          <w:p>
            <w:pPr>
              <w:jc w:val="right"/>
            </w:pPr>
            <w:r>
              <w:rPr>
                <w:rFonts w:hint="eastAsia"/>
                <w:color w:val="auto"/>
              </w:rPr>
              <w:t>452,707,437.49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t>2.</w:t>
            </w:r>
            <w:r>
              <w:rPr>
                <w:rFonts w:hint="eastAsia"/>
              </w:rPr>
              <w:t>本期增加金额</w:t>
            </w:r>
          </w:p>
        </w:tc>
        <w:tc>
          <w:tcPr>
            <w:tcW w:w="1549" w:type="dxa"/>
            <w:vAlign w:val="center"/>
          </w:tcPr>
          <w:p>
            <w:pPr>
              <w:jc w:val="right"/>
            </w:pPr>
            <w:r>
              <w:rPr>
                <w:rFonts w:hint="eastAsia"/>
                <w:color w:val="auto"/>
              </w:rPr>
              <w:t>11,349,008.55</w:t>
            </w:r>
          </w:p>
        </w:tc>
        <w:tc>
          <w:tcPr>
            <w:tcW w:w="1604" w:type="dxa"/>
            <w:vAlign w:val="center"/>
          </w:tcPr>
          <w:p>
            <w:pPr>
              <w:jc w:val="right"/>
            </w:pPr>
            <w:r>
              <w:rPr>
                <w:rFonts w:hint="eastAsia"/>
                <w:color w:val="auto"/>
              </w:rPr>
              <w:t>11,480,204.81</w:t>
            </w:r>
          </w:p>
        </w:tc>
        <w:tc>
          <w:tcPr>
            <w:tcW w:w="1363" w:type="dxa"/>
            <w:vAlign w:val="center"/>
          </w:tcPr>
          <w:p>
            <w:pPr>
              <w:jc w:val="right"/>
            </w:pPr>
            <w:r>
              <w:rPr>
                <w:rFonts w:hint="eastAsia"/>
                <w:color w:val="auto"/>
              </w:rPr>
              <w:t>272,433.77</w:t>
            </w:r>
          </w:p>
        </w:tc>
        <w:tc>
          <w:tcPr>
            <w:tcW w:w="1528" w:type="dxa"/>
            <w:vAlign w:val="center"/>
          </w:tcPr>
          <w:p>
            <w:pPr>
              <w:jc w:val="right"/>
            </w:pPr>
            <w:r>
              <w:rPr>
                <w:rFonts w:hint="eastAsia"/>
                <w:color w:val="auto"/>
              </w:rPr>
              <w:t>1,536,118.63</w:t>
            </w:r>
          </w:p>
        </w:tc>
        <w:tc>
          <w:tcPr>
            <w:tcW w:w="1629" w:type="dxa"/>
            <w:vAlign w:val="center"/>
          </w:tcPr>
          <w:p>
            <w:pPr>
              <w:jc w:val="right"/>
            </w:pPr>
            <w:r>
              <w:rPr>
                <w:rFonts w:hint="eastAsia"/>
                <w:color w:val="auto"/>
              </w:rPr>
              <w:t>24,637,765.76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rPr>
                <w:rFonts w:hint="eastAsia"/>
              </w:rPr>
              <w:t>（1）计提</w:t>
            </w:r>
          </w:p>
        </w:tc>
        <w:tc>
          <w:tcPr>
            <w:tcW w:w="1549" w:type="dxa"/>
            <w:vAlign w:val="center"/>
          </w:tcPr>
          <w:p>
            <w:pPr>
              <w:jc w:val="right"/>
            </w:pPr>
            <w:r>
              <w:rPr>
                <w:rFonts w:hint="eastAsia"/>
                <w:color w:val="auto"/>
              </w:rPr>
              <w:t>11,349,008.55</w:t>
            </w:r>
          </w:p>
        </w:tc>
        <w:tc>
          <w:tcPr>
            <w:tcW w:w="1604" w:type="dxa"/>
            <w:vAlign w:val="center"/>
          </w:tcPr>
          <w:p>
            <w:pPr>
              <w:jc w:val="right"/>
            </w:pPr>
            <w:r>
              <w:rPr>
                <w:rFonts w:hint="eastAsia"/>
                <w:color w:val="auto"/>
              </w:rPr>
              <w:t>11,480,204.81</w:t>
            </w:r>
          </w:p>
        </w:tc>
        <w:tc>
          <w:tcPr>
            <w:tcW w:w="1363" w:type="dxa"/>
            <w:vAlign w:val="center"/>
          </w:tcPr>
          <w:p>
            <w:pPr>
              <w:jc w:val="right"/>
            </w:pPr>
            <w:r>
              <w:rPr>
                <w:rFonts w:hint="eastAsia"/>
                <w:color w:val="auto"/>
              </w:rPr>
              <w:t>272,433.77</w:t>
            </w:r>
          </w:p>
        </w:tc>
        <w:tc>
          <w:tcPr>
            <w:tcW w:w="1528" w:type="dxa"/>
            <w:vAlign w:val="center"/>
          </w:tcPr>
          <w:p>
            <w:pPr>
              <w:jc w:val="right"/>
            </w:pPr>
            <w:r>
              <w:rPr>
                <w:rFonts w:hint="eastAsia"/>
                <w:color w:val="auto"/>
              </w:rPr>
              <w:t>1,536,118.63</w:t>
            </w:r>
          </w:p>
        </w:tc>
        <w:tc>
          <w:tcPr>
            <w:tcW w:w="1629" w:type="dxa"/>
            <w:vAlign w:val="center"/>
          </w:tcPr>
          <w:p>
            <w:pPr>
              <w:jc w:val="right"/>
            </w:pPr>
            <w:r>
              <w:rPr>
                <w:rFonts w:hint="eastAsia"/>
                <w:color w:val="auto"/>
              </w:rPr>
              <w:t>24,637,765.76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rPr>
                <w:rFonts w:hint="eastAsia"/>
              </w:rPr>
              <w:t>3.本期减少金额</w:t>
            </w:r>
          </w:p>
        </w:tc>
        <w:tc>
          <w:tcPr>
            <w:tcW w:w="1549" w:type="dxa"/>
            <w:vAlign w:val="center"/>
          </w:tcPr>
          <w:p>
            <w:pPr>
              <w:jc w:val="right"/>
            </w:pPr>
          </w:p>
        </w:tc>
        <w:tc>
          <w:tcPr>
            <w:tcW w:w="1604" w:type="dxa"/>
            <w:vAlign w:val="center"/>
          </w:tcPr>
          <w:p>
            <w:pPr>
              <w:jc w:val="right"/>
            </w:pPr>
            <w:r>
              <w:rPr>
                <w:rFonts w:hint="eastAsia"/>
                <w:color w:val="auto"/>
              </w:rPr>
              <w:t>941,874.66</w:t>
            </w:r>
          </w:p>
        </w:tc>
        <w:tc>
          <w:tcPr>
            <w:tcW w:w="1363" w:type="dxa"/>
            <w:vAlign w:val="center"/>
          </w:tcPr>
          <w:p>
            <w:pPr>
              <w:jc w:val="right"/>
            </w:pPr>
            <w:r>
              <w:rPr>
                <w:rFonts w:hint="eastAsia"/>
                <w:color w:val="auto"/>
              </w:rPr>
              <w:t>718,927.73</w:t>
            </w:r>
          </w:p>
        </w:tc>
        <w:tc>
          <w:tcPr>
            <w:tcW w:w="1528" w:type="dxa"/>
            <w:vAlign w:val="center"/>
          </w:tcPr>
          <w:p>
            <w:pPr>
              <w:jc w:val="right"/>
            </w:pPr>
            <w:r>
              <w:rPr>
                <w:rFonts w:hint="eastAsia"/>
                <w:color w:val="auto"/>
              </w:rPr>
              <w:t>4,275.00</w:t>
            </w:r>
          </w:p>
        </w:tc>
        <w:tc>
          <w:tcPr>
            <w:tcW w:w="1629" w:type="dxa"/>
            <w:vAlign w:val="center"/>
          </w:tcPr>
          <w:p>
            <w:pPr>
              <w:jc w:val="right"/>
            </w:pPr>
            <w:r>
              <w:rPr>
                <w:rFonts w:hint="eastAsia"/>
                <w:color w:val="auto"/>
              </w:rPr>
              <w:t>1,665,077.39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rPr>
                <w:rFonts w:hint="eastAsia"/>
              </w:rPr>
              <w:t>（1）处置或报废</w:t>
            </w:r>
          </w:p>
        </w:tc>
        <w:tc>
          <w:tcPr>
            <w:tcW w:w="1549" w:type="dxa"/>
            <w:vAlign w:val="center"/>
          </w:tcPr>
          <w:p>
            <w:pPr>
              <w:jc w:val="right"/>
            </w:pPr>
          </w:p>
        </w:tc>
        <w:tc>
          <w:tcPr>
            <w:tcW w:w="1604" w:type="dxa"/>
            <w:vAlign w:val="center"/>
          </w:tcPr>
          <w:p>
            <w:pPr>
              <w:jc w:val="right"/>
            </w:pPr>
            <w:r>
              <w:rPr>
                <w:rFonts w:hint="eastAsia"/>
                <w:color w:val="auto"/>
              </w:rPr>
              <w:t>941,874.66</w:t>
            </w:r>
          </w:p>
        </w:tc>
        <w:tc>
          <w:tcPr>
            <w:tcW w:w="1363" w:type="dxa"/>
            <w:vAlign w:val="center"/>
          </w:tcPr>
          <w:p>
            <w:pPr>
              <w:jc w:val="right"/>
            </w:pPr>
            <w:r>
              <w:rPr>
                <w:rFonts w:hint="eastAsia"/>
                <w:color w:val="auto"/>
              </w:rPr>
              <w:t>718,927.73</w:t>
            </w:r>
          </w:p>
        </w:tc>
        <w:tc>
          <w:tcPr>
            <w:tcW w:w="1528" w:type="dxa"/>
            <w:vAlign w:val="center"/>
          </w:tcPr>
          <w:p>
            <w:pPr>
              <w:jc w:val="right"/>
            </w:pPr>
            <w:r>
              <w:rPr>
                <w:rFonts w:hint="eastAsia"/>
                <w:color w:val="auto"/>
              </w:rPr>
              <w:t>4,275.00</w:t>
            </w:r>
          </w:p>
        </w:tc>
        <w:tc>
          <w:tcPr>
            <w:tcW w:w="1629" w:type="dxa"/>
            <w:vAlign w:val="center"/>
          </w:tcPr>
          <w:p>
            <w:pPr>
              <w:jc w:val="right"/>
            </w:pPr>
            <w:r>
              <w:rPr>
                <w:rFonts w:hint="eastAsia"/>
                <w:color w:val="auto"/>
              </w:rPr>
              <w:t>1,665,077.39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rPr>
                <w:rFonts w:hint="eastAsia"/>
              </w:rPr>
              <w:t>4.期末余额</w:t>
            </w:r>
          </w:p>
        </w:tc>
        <w:tc>
          <w:tcPr>
            <w:tcW w:w="1549" w:type="dxa"/>
            <w:vAlign w:val="center"/>
          </w:tcPr>
          <w:p>
            <w:pPr>
              <w:jc w:val="right"/>
            </w:pPr>
            <w:r>
              <w:rPr>
                <w:rFonts w:hint="eastAsia"/>
                <w:color w:val="auto"/>
              </w:rPr>
              <w:t>181,397,579.40</w:t>
            </w:r>
          </w:p>
        </w:tc>
        <w:tc>
          <w:tcPr>
            <w:tcW w:w="1604" w:type="dxa"/>
            <w:vAlign w:val="center"/>
          </w:tcPr>
          <w:p>
            <w:pPr>
              <w:jc w:val="right"/>
            </w:pPr>
            <w:r>
              <w:rPr>
                <w:rFonts w:hint="eastAsia"/>
                <w:color w:val="auto"/>
              </w:rPr>
              <w:t>270,177,106.71</w:t>
            </w:r>
          </w:p>
        </w:tc>
        <w:tc>
          <w:tcPr>
            <w:tcW w:w="1363" w:type="dxa"/>
            <w:vAlign w:val="center"/>
          </w:tcPr>
          <w:p>
            <w:pPr>
              <w:jc w:val="right"/>
            </w:pPr>
            <w:r>
              <w:rPr>
                <w:rFonts w:hint="eastAsia"/>
                <w:color w:val="auto"/>
              </w:rPr>
              <w:t>5,656,031.05</w:t>
            </w:r>
          </w:p>
        </w:tc>
        <w:tc>
          <w:tcPr>
            <w:tcW w:w="1528" w:type="dxa"/>
            <w:vAlign w:val="center"/>
          </w:tcPr>
          <w:p>
            <w:pPr>
              <w:jc w:val="right"/>
            </w:pPr>
            <w:r>
              <w:rPr>
                <w:rFonts w:hint="eastAsia"/>
                <w:color w:val="auto"/>
              </w:rPr>
              <w:t>18,449,408.70</w:t>
            </w:r>
          </w:p>
        </w:tc>
        <w:tc>
          <w:tcPr>
            <w:tcW w:w="1629" w:type="dxa"/>
            <w:vAlign w:val="center"/>
          </w:tcPr>
          <w:p>
            <w:pPr>
              <w:jc w:val="right"/>
            </w:pPr>
            <w:r>
              <w:rPr>
                <w:rFonts w:hint="eastAsia"/>
                <w:color w:val="auto"/>
              </w:rPr>
              <w:t>475,680,125.86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9053" w:type="dxa"/>
            <w:gridSpan w:val="6"/>
            <w:vAlign w:val="center"/>
          </w:tcPr>
          <w:sdt>
            <w:sdtPr>
              <w:tag w:val="_PLD_b98cd9e8075a44b28b16fc9fd4c3c81f"/>
              <w:id w:val="7157"/>
            </w:sdtPr>
            <w:sdtContent>
              <w:p>
                <w:r>
                  <w:rPr>
                    <w:rFonts w:hint="eastAsia"/>
                  </w:rPr>
                  <w:t>三、减值准备</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t>1.</w:t>
            </w:r>
            <w:r>
              <w:rPr>
                <w:rFonts w:hint="eastAsia"/>
              </w:rPr>
              <w:t>期初余额</w:t>
            </w:r>
          </w:p>
        </w:tc>
        <w:tc>
          <w:tcPr>
            <w:tcW w:w="1549" w:type="dxa"/>
            <w:vAlign w:val="center"/>
          </w:tcPr>
          <w:p>
            <w:pPr>
              <w:jc w:val="right"/>
            </w:pPr>
          </w:p>
        </w:tc>
        <w:tc>
          <w:tcPr>
            <w:tcW w:w="1604" w:type="dxa"/>
            <w:vAlign w:val="center"/>
          </w:tcPr>
          <w:p>
            <w:pPr>
              <w:jc w:val="right"/>
            </w:pPr>
            <w:r>
              <w:rPr>
                <w:rFonts w:hint="eastAsia"/>
                <w:color w:val="auto"/>
              </w:rPr>
              <w:t>248,793.26</w:t>
            </w:r>
          </w:p>
        </w:tc>
        <w:tc>
          <w:tcPr>
            <w:tcW w:w="1363" w:type="dxa"/>
            <w:vAlign w:val="center"/>
          </w:tcPr>
          <w:p>
            <w:pPr>
              <w:jc w:val="right"/>
            </w:pPr>
            <w:r>
              <w:rPr>
                <w:rFonts w:hint="eastAsia"/>
                <w:color w:val="auto"/>
              </w:rPr>
              <w:t>3,984.70</w:t>
            </w:r>
          </w:p>
        </w:tc>
        <w:tc>
          <w:tcPr>
            <w:tcW w:w="1528" w:type="dxa"/>
            <w:vAlign w:val="center"/>
          </w:tcPr>
          <w:p>
            <w:pPr>
              <w:jc w:val="right"/>
            </w:pPr>
            <w:r>
              <w:rPr>
                <w:rFonts w:hint="eastAsia"/>
                <w:color w:val="auto"/>
              </w:rPr>
              <w:t>7,292.06</w:t>
            </w:r>
          </w:p>
        </w:tc>
        <w:tc>
          <w:tcPr>
            <w:tcW w:w="1629" w:type="dxa"/>
            <w:vAlign w:val="center"/>
          </w:tcPr>
          <w:p>
            <w:pPr>
              <w:jc w:val="right"/>
            </w:pPr>
            <w:r>
              <w:rPr>
                <w:rFonts w:hint="eastAsia"/>
                <w:color w:val="auto"/>
              </w:rPr>
              <w:t>260,070.02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t>2.</w:t>
            </w:r>
            <w:r>
              <w:rPr>
                <w:rFonts w:hint="eastAsia"/>
              </w:rPr>
              <w:t>本期增加金额</w:t>
            </w:r>
          </w:p>
        </w:tc>
        <w:tc>
          <w:tcPr>
            <w:tcW w:w="1549" w:type="dxa"/>
            <w:vAlign w:val="center"/>
          </w:tcPr>
          <w:p>
            <w:pPr>
              <w:jc w:val="right"/>
            </w:pPr>
          </w:p>
        </w:tc>
        <w:tc>
          <w:tcPr>
            <w:tcW w:w="1604" w:type="dxa"/>
            <w:vAlign w:val="center"/>
          </w:tcPr>
          <w:p>
            <w:pPr>
              <w:jc w:val="right"/>
            </w:pPr>
          </w:p>
        </w:tc>
        <w:tc>
          <w:tcPr>
            <w:tcW w:w="1363" w:type="dxa"/>
            <w:vAlign w:val="center"/>
          </w:tcPr>
          <w:p>
            <w:pPr>
              <w:jc w:val="right"/>
            </w:pPr>
          </w:p>
        </w:tc>
        <w:tc>
          <w:tcPr>
            <w:tcW w:w="1528" w:type="dxa"/>
            <w:vAlign w:val="center"/>
          </w:tcPr>
          <w:p>
            <w:pPr>
              <w:jc w:val="right"/>
            </w:pPr>
          </w:p>
        </w:tc>
        <w:tc>
          <w:tcPr>
            <w:tcW w:w="1629" w:type="dxa"/>
            <w:vAlign w:val="center"/>
          </w:tcPr>
          <w:p>
            <w:pPr>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rPr>
                <w:rFonts w:hint="eastAsia"/>
              </w:rPr>
              <w:t>（1）计提</w:t>
            </w:r>
          </w:p>
        </w:tc>
        <w:tc>
          <w:tcPr>
            <w:tcW w:w="1549" w:type="dxa"/>
            <w:vAlign w:val="center"/>
          </w:tcPr>
          <w:p>
            <w:pPr>
              <w:jc w:val="right"/>
            </w:pPr>
          </w:p>
        </w:tc>
        <w:tc>
          <w:tcPr>
            <w:tcW w:w="1604" w:type="dxa"/>
            <w:vAlign w:val="center"/>
          </w:tcPr>
          <w:p>
            <w:pPr>
              <w:jc w:val="right"/>
            </w:pPr>
          </w:p>
        </w:tc>
        <w:tc>
          <w:tcPr>
            <w:tcW w:w="1363" w:type="dxa"/>
            <w:vAlign w:val="center"/>
          </w:tcPr>
          <w:p>
            <w:pPr>
              <w:jc w:val="right"/>
            </w:pPr>
          </w:p>
        </w:tc>
        <w:tc>
          <w:tcPr>
            <w:tcW w:w="1528" w:type="dxa"/>
            <w:vAlign w:val="center"/>
          </w:tcPr>
          <w:p>
            <w:pPr>
              <w:jc w:val="right"/>
            </w:pPr>
          </w:p>
        </w:tc>
        <w:tc>
          <w:tcPr>
            <w:tcW w:w="1629" w:type="dxa"/>
            <w:vAlign w:val="center"/>
          </w:tcPr>
          <w:p>
            <w:pPr>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rPr>
                <w:rFonts w:hint="eastAsia"/>
              </w:rPr>
              <w:t>3.本期减少金额</w:t>
            </w:r>
          </w:p>
        </w:tc>
        <w:tc>
          <w:tcPr>
            <w:tcW w:w="1549" w:type="dxa"/>
            <w:vAlign w:val="center"/>
          </w:tcPr>
          <w:p>
            <w:pPr>
              <w:jc w:val="right"/>
            </w:pPr>
          </w:p>
        </w:tc>
        <w:tc>
          <w:tcPr>
            <w:tcW w:w="1604" w:type="dxa"/>
            <w:vAlign w:val="center"/>
          </w:tcPr>
          <w:p>
            <w:pPr>
              <w:jc w:val="right"/>
            </w:pPr>
          </w:p>
        </w:tc>
        <w:tc>
          <w:tcPr>
            <w:tcW w:w="1363" w:type="dxa"/>
            <w:vAlign w:val="center"/>
          </w:tcPr>
          <w:p>
            <w:pPr>
              <w:jc w:val="right"/>
            </w:pPr>
          </w:p>
        </w:tc>
        <w:tc>
          <w:tcPr>
            <w:tcW w:w="1528" w:type="dxa"/>
            <w:vAlign w:val="center"/>
          </w:tcPr>
          <w:p>
            <w:pPr>
              <w:jc w:val="right"/>
            </w:pPr>
          </w:p>
        </w:tc>
        <w:tc>
          <w:tcPr>
            <w:tcW w:w="1629" w:type="dxa"/>
            <w:vAlign w:val="center"/>
          </w:tcPr>
          <w:p>
            <w:pPr>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rPr>
                <w:rFonts w:hint="eastAsia"/>
              </w:rPr>
              <w:t>（1）处置或报废</w:t>
            </w:r>
          </w:p>
        </w:tc>
        <w:tc>
          <w:tcPr>
            <w:tcW w:w="1549" w:type="dxa"/>
            <w:vAlign w:val="center"/>
          </w:tcPr>
          <w:p>
            <w:pPr>
              <w:jc w:val="right"/>
            </w:pPr>
          </w:p>
        </w:tc>
        <w:tc>
          <w:tcPr>
            <w:tcW w:w="1604" w:type="dxa"/>
            <w:vAlign w:val="center"/>
          </w:tcPr>
          <w:p>
            <w:pPr>
              <w:jc w:val="right"/>
            </w:pPr>
          </w:p>
        </w:tc>
        <w:tc>
          <w:tcPr>
            <w:tcW w:w="1363" w:type="dxa"/>
            <w:vAlign w:val="center"/>
          </w:tcPr>
          <w:p>
            <w:pPr>
              <w:jc w:val="right"/>
            </w:pPr>
          </w:p>
        </w:tc>
        <w:tc>
          <w:tcPr>
            <w:tcW w:w="1528" w:type="dxa"/>
            <w:vAlign w:val="center"/>
          </w:tcPr>
          <w:p>
            <w:pPr>
              <w:jc w:val="right"/>
            </w:pPr>
          </w:p>
        </w:tc>
        <w:tc>
          <w:tcPr>
            <w:tcW w:w="1629" w:type="dxa"/>
            <w:vAlign w:val="center"/>
          </w:tcPr>
          <w:p>
            <w:pPr>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rPr>
                <w:rFonts w:hint="eastAsia"/>
              </w:rPr>
              <w:t>4.期末余额</w:t>
            </w:r>
          </w:p>
        </w:tc>
        <w:tc>
          <w:tcPr>
            <w:tcW w:w="1549" w:type="dxa"/>
            <w:vAlign w:val="center"/>
          </w:tcPr>
          <w:p>
            <w:pPr>
              <w:jc w:val="right"/>
            </w:pPr>
          </w:p>
        </w:tc>
        <w:tc>
          <w:tcPr>
            <w:tcW w:w="1604" w:type="dxa"/>
            <w:vAlign w:val="center"/>
          </w:tcPr>
          <w:p>
            <w:pPr>
              <w:jc w:val="right"/>
            </w:pPr>
            <w:r>
              <w:rPr>
                <w:rFonts w:hint="eastAsia"/>
                <w:color w:val="auto"/>
              </w:rPr>
              <w:t>248,793.26</w:t>
            </w:r>
          </w:p>
        </w:tc>
        <w:tc>
          <w:tcPr>
            <w:tcW w:w="1363" w:type="dxa"/>
            <w:vAlign w:val="center"/>
          </w:tcPr>
          <w:p>
            <w:pPr>
              <w:jc w:val="right"/>
            </w:pPr>
            <w:r>
              <w:rPr>
                <w:rFonts w:hint="eastAsia"/>
                <w:color w:val="auto"/>
              </w:rPr>
              <w:t>3,984.70</w:t>
            </w:r>
          </w:p>
        </w:tc>
        <w:tc>
          <w:tcPr>
            <w:tcW w:w="1528" w:type="dxa"/>
            <w:vAlign w:val="center"/>
          </w:tcPr>
          <w:p>
            <w:pPr>
              <w:jc w:val="right"/>
            </w:pPr>
            <w:r>
              <w:rPr>
                <w:rFonts w:hint="eastAsia"/>
                <w:color w:val="auto"/>
              </w:rPr>
              <w:t>7,292.06</w:t>
            </w:r>
          </w:p>
        </w:tc>
        <w:tc>
          <w:tcPr>
            <w:tcW w:w="1629" w:type="dxa"/>
            <w:vAlign w:val="center"/>
          </w:tcPr>
          <w:p>
            <w:pPr>
              <w:jc w:val="right"/>
            </w:pPr>
            <w:r>
              <w:rPr>
                <w:rFonts w:hint="eastAsia"/>
                <w:color w:val="auto"/>
              </w:rPr>
              <w:t>260,070.02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9053" w:type="dxa"/>
            <w:gridSpan w:val="6"/>
            <w:vAlign w:val="center"/>
          </w:tcPr>
          <w:sdt>
            <w:sdtPr>
              <w:tag w:val="_PLD_e1d51c426bd84ffbb9a1a19b00d3b374"/>
              <w:id w:val="7158"/>
            </w:sdtPr>
            <w:sdtContent>
              <w:p>
                <w:r>
                  <w:rPr>
                    <w:rFonts w:hint="eastAsia"/>
                  </w:rPr>
                  <w:t>四、账面价值</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rPr>
                <w:rFonts w:hint="eastAsia"/>
              </w:rPr>
              <w:t>1.期末账面价值</w:t>
            </w:r>
          </w:p>
        </w:tc>
        <w:tc>
          <w:tcPr>
            <w:tcW w:w="1549" w:type="dxa"/>
            <w:vAlign w:val="center"/>
          </w:tcPr>
          <w:p>
            <w:pPr>
              <w:jc w:val="right"/>
            </w:pPr>
            <w:r>
              <w:rPr>
                <w:rFonts w:hint="eastAsia"/>
                <w:color w:val="auto"/>
              </w:rPr>
              <w:t>177,800,215.12</w:t>
            </w:r>
          </w:p>
        </w:tc>
        <w:tc>
          <w:tcPr>
            <w:tcW w:w="1604" w:type="dxa"/>
            <w:vAlign w:val="center"/>
          </w:tcPr>
          <w:p>
            <w:pPr>
              <w:jc w:val="right"/>
            </w:pPr>
            <w:r>
              <w:rPr>
                <w:rFonts w:hint="eastAsia"/>
                <w:color w:val="auto"/>
              </w:rPr>
              <w:t>94,518,752.78</w:t>
            </w:r>
          </w:p>
        </w:tc>
        <w:tc>
          <w:tcPr>
            <w:tcW w:w="1363" w:type="dxa"/>
            <w:vAlign w:val="center"/>
          </w:tcPr>
          <w:p>
            <w:pPr>
              <w:jc w:val="right"/>
            </w:pPr>
            <w:r>
              <w:rPr>
                <w:rFonts w:hint="eastAsia"/>
                <w:color w:val="auto"/>
              </w:rPr>
              <w:t>2,341,568.12</w:t>
            </w:r>
          </w:p>
        </w:tc>
        <w:tc>
          <w:tcPr>
            <w:tcW w:w="1528" w:type="dxa"/>
            <w:vAlign w:val="center"/>
          </w:tcPr>
          <w:p>
            <w:pPr>
              <w:jc w:val="right"/>
            </w:pPr>
            <w:r>
              <w:rPr>
                <w:rFonts w:hint="eastAsia"/>
                <w:color w:val="auto"/>
              </w:rPr>
              <w:t>4,859,717.25</w:t>
            </w:r>
          </w:p>
        </w:tc>
        <w:tc>
          <w:tcPr>
            <w:tcW w:w="1629" w:type="dxa"/>
            <w:vAlign w:val="center"/>
          </w:tcPr>
          <w:p>
            <w:pPr>
              <w:jc w:val="right"/>
            </w:pPr>
            <w:r>
              <w:rPr>
                <w:rFonts w:hint="eastAsia"/>
                <w:color w:val="auto"/>
              </w:rPr>
              <w:t>279,520,253.27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380" w:type="dxa"/>
            <w:vAlign w:val="center"/>
          </w:tcPr>
          <w:p>
            <w:r>
              <w:rPr>
                <w:rFonts w:hint="eastAsia"/>
              </w:rPr>
              <w:t>2.期初账面价值</w:t>
            </w:r>
          </w:p>
        </w:tc>
        <w:tc>
          <w:tcPr>
            <w:tcW w:w="1549" w:type="dxa"/>
            <w:vAlign w:val="center"/>
          </w:tcPr>
          <w:p>
            <w:pPr>
              <w:jc w:val="right"/>
            </w:pPr>
            <w:r>
              <w:rPr>
                <w:rFonts w:hint="eastAsia"/>
                <w:color w:val="auto"/>
              </w:rPr>
              <w:t>188,943,924.90</w:t>
            </w:r>
          </w:p>
        </w:tc>
        <w:tc>
          <w:tcPr>
            <w:tcW w:w="1604" w:type="dxa"/>
            <w:vAlign w:val="center"/>
          </w:tcPr>
          <w:p>
            <w:pPr>
              <w:jc w:val="right"/>
            </w:pPr>
            <w:r>
              <w:rPr>
                <w:rFonts w:hint="eastAsia"/>
                <w:color w:val="auto"/>
              </w:rPr>
              <w:t>81,711,096.81</w:t>
            </w:r>
          </w:p>
        </w:tc>
        <w:tc>
          <w:tcPr>
            <w:tcW w:w="1363" w:type="dxa"/>
            <w:vAlign w:val="center"/>
          </w:tcPr>
          <w:p>
            <w:pPr>
              <w:jc w:val="right"/>
            </w:pPr>
            <w:r>
              <w:rPr>
                <w:rFonts w:hint="eastAsia"/>
                <w:color w:val="auto"/>
              </w:rPr>
              <w:t>1,771,564.78</w:t>
            </w:r>
          </w:p>
        </w:tc>
        <w:tc>
          <w:tcPr>
            <w:tcW w:w="1528" w:type="dxa"/>
            <w:vAlign w:val="center"/>
          </w:tcPr>
          <w:p>
            <w:pPr>
              <w:jc w:val="right"/>
            </w:pPr>
            <w:r>
              <w:rPr>
                <w:rFonts w:hint="eastAsia"/>
                <w:color w:val="auto"/>
              </w:rPr>
              <w:t>4,404,246.65</w:t>
            </w:r>
          </w:p>
        </w:tc>
        <w:tc>
          <w:tcPr>
            <w:tcW w:w="1629" w:type="dxa"/>
            <w:vAlign w:val="center"/>
          </w:tcPr>
          <w:p>
            <w:pPr>
              <w:jc w:val="right"/>
            </w:pPr>
            <w:r>
              <w:rPr>
                <w:rFonts w:hint="eastAsia"/>
                <w:color w:val="auto"/>
              </w:rPr>
              <w:t>276,830,833.14</w:t>
            </w:r>
          </w:p>
        </w:tc>
      </w:tr>
    </w:tbl>
    <w:p>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rPr>
      </w:pPr>
      <w:r>
        <w:rPr>
          <w:rFonts w:hint="eastAsia" w:ascii="Times New Roman" w:hAnsi="Times New Roman" w:eastAsia="宋体"/>
          <w:sz w:val="24"/>
          <w:szCs w:val="24"/>
        </w:rPr>
        <w:t>注：</w:t>
      </w:r>
      <w:r>
        <w:rPr>
          <w:rFonts w:hint="eastAsia" w:ascii="Times New Roman" w:hAnsi="Times New Roman" w:eastAsia="宋体"/>
          <w:sz w:val="21"/>
          <w:szCs w:val="21"/>
        </w:rPr>
        <w:t>固定资产抵押详见“七、合并财务报表注释”之“31.所有权或使用权受限资产”和“32.短期借款”。</w:t>
      </w:r>
    </w:p>
    <w:p>
      <w:pPr>
        <w:rPr>
          <w:szCs w:val="21"/>
        </w:rPr>
      </w:pPr>
    </w:p>
    <w:p>
      <w:pPr>
        <w:pStyle w:val="6"/>
        <w:numPr>
          <w:ilvl w:val="0"/>
          <w:numId w:val="78"/>
        </w:numPr>
        <w:ind w:leftChars="0"/>
        <w:rPr>
          <w:rFonts w:hint="eastAsia" w:ascii="宋体" w:hAnsi="宋体" w:cs="宋体"/>
          <w:kern w:val="0"/>
          <w:szCs w:val="24"/>
        </w:rPr>
      </w:pPr>
      <w:r>
        <w:rPr>
          <w:rFonts w:hint="eastAsia" w:ascii="宋体" w:hAnsi="宋体" w:cs="宋体"/>
          <w:kern w:val="0"/>
          <w:szCs w:val="24"/>
        </w:rPr>
        <w:t>暂时闲置的固定资产情况</w:t>
      </w:r>
    </w:p>
    <w:sdt>
      <w:sdtPr>
        <w:alias w:val="是否适用：暂时闲置的固定资产情况[双击切换]"/>
        <w:tag w:val="_GBC_2fdfdf37e427442eb50e14c905c59fbe"/>
        <w:id w:val="7159"/>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6"/>
        <w:numPr>
          <w:ilvl w:val="0"/>
          <w:numId w:val="78"/>
        </w:numPr>
        <w:ind w:leftChars="0"/>
        <w:rPr>
          <w:rFonts w:hint="eastAsia" w:ascii="宋体" w:hAnsi="宋体" w:cs="宋体"/>
          <w:kern w:val="0"/>
          <w:szCs w:val="24"/>
        </w:rPr>
      </w:pPr>
      <w:r>
        <w:rPr>
          <w:rFonts w:hint="eastAsia" w:ascii="宋体" w:hAnsi="宋体" w:cs="宋体"/>
          <w:kern w:val="0"/>
          <w:szCs w:val="24"/>
        </w:rPr>
        <w:t>通过经营租赁租出的固定资产</w:t>
      </w:r>
    </w:p>
    <w:sdt>
      <w:sdtPr>
        <w:alias w:val="是否适用：通过经营租赁租出的固定资产[双击切换]"/>
        <w:tag w:val="_GBC_c2ddde62aad742b6997b43c9077b5c4b"/>
        <w:id w:val="716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color w:val="FF0000"/>
          <w:szCs w:val="21"/>
        </w:rPr>
      </w:pPr>
    </w:p>
    <w:p>
      <w:pPr>
        <w:pStyle w:val="6"/>
        <w:numPr>
          <w:ilvl w:val="0"/>
          <w:numId w:val="78"/>
        </w:numPr>
        <w:ind w:leftChars="0"/>
        <w:rPr>
          <w:rFonts w:hint="eastAsia" w:ascii="宋体" w:hAnsi="宋体" w:cs="宋体"/>
          <w:kern w:val="0"/>
          <w:szCs w:val="24"/>
        </w:rPr>
      </w:pPr>
      <w:r>
        <w:rPr>
          <w:rFonts w:hint="eastAsia" w:ascii="宋体" w:hAnsi="宋体" w:cs="宋体"/>
          <w:kern w:val="0"/>
          <w:szCs w:val="24"/>
        </w:rPr>
        <w:t>未办妥产权证书的固定资产情况</w:t>
      </w:r>
    </w:p>
    <w:p>
      <w:sdt>
        <w:sdtPr>
          <w:alias w:val="是否适用：未办妥产权证书的固定资产情况[双击切换]"/>
          <w:tag w:val="_GBC_46625a97c34c4326af56ee4f005058fb"/>
          <w:id w:val="7161"/>
          <w:placeholder>
            <w:docPart w:val="GBC22222222222222222222222222222"/>
          </w:placeholder>
        </w:sdtPr>
        <w:sdtContent>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p>
      <w:pPr>
        <w:pStyle w:val="6"/>
        <w:numPr>
          <w:ilvl w:val="0"/>
          <w:numId w:val="78"/>
        </w:numPr>
        <w:ind w:leftChars="0"/>
        <w:rPr>
          <w:rFonts w:hint="eastAsia" w:ascii="宋体" w:hAnsi="宋体" w:cs="宋体"/>
          <w:kern w:val="0"/>
          <w:szCs w:val="24"/>
        </w:rPr>
      </w:pPr>
      <w:bookmarkStart w:id="298" w:name="_Hlk153460880"/>
      <w:r>
        <w:rPr>
          <w:rFonts w:hint="eastAsia" w:ascii="宋体" w:hAnsi="宋体" w:cs="宋体"/>
          <w:kern w:val="0"/>
          <w:szCs w:val="24"/>
        </w:rPr>
        <w:t>固定资产的减值测试情况</w:t>
      </w:r>
    </w:p>
    <w:sdt>
      <w:sdtPr>
        <w:alias w:val="是否适用：减值测试情况[双击切换]"/>
        <w:tag w:val="_GBC_d1f21a00be1347f697689e4105263cab"/>
        <w:id w:val="7162"/>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298"/>
    <w:p>
      <w:pPr>
        <w:rPr>
          <w:szCs w:val="21"/>
        </w:rPr>
      </w:pPr>
      <w:r>
        <w:rPr>
          <w:rFonts w:hint="eastAsia"/>
          <w:szCs w:val="21"/>
        </w:rPr>
        <w:t>其他说明：</w:t>
      </w:r>
    </w:p>
    <w:sdt>
      <w:sdtPr>
        <w:rPr>
          <w:szCs w:val="21"/>
        </w:rPr>
        <w:alias w:val="是否适用：固定资产的说明[双击切换]"/>
        <w:tag w:val="_GBC_a7ec4df8fd354d7d9980e0f731a85e12"/>
        <w:id w:val="7163"/>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5"/>
        <w:ind w:left="360" w:hanging="360"/>
        <w:rPr>
          <w:rFonts w:hint="eastAsia"/>
        </w:rPr>
      </w:pPr>
      <w:r>
        <w:rPr>
          <w:rFonts w:hint="eastAsia"/>
        </w:rPr>
        <w:t>固定资产清理</w:t>
      </w:r>
    </w:p>
    <w:sdt>
      <w:sdtPr>
        <w:alias w:val="是否适用：固定资产清理[双击切换]"/>
        <w:tag w:val="_GBC_e3c92a1042004e36882d16145109bd0e"/>
        <w:id w:val="716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sdt>
      <w:sdtPr>
        <w:tag w:val="_PLD_489a1d8d8b014569b38896339e7f2f0b"/>
        <w:id w:val="7165"/>
      </w:sdtPr>
      <w:sdtContent>
        <w:p>
          <w:pPr>
            <w:pStyle w:val="4"/>
            <w:numPr>
              <w:ilvl w:val="0"/>
              <w:numId w:val="62"/>
            </w:numPr>
            <w:tabs>
              <w:tab w:val="left" w:pos="504"/>
            </w:tabs>
            <w:rPr>
              <w:rFonts w:hint="eastAsia" w:ascii="宋体" w:hAnsi="宋体"/>
              <w:szCs w:val="21"/>
            </w:rPr>
          </w:pPr>
          <w:r>
            <w:rPr>
              <w:rFonts w:hint="eastAsia" w:ascii="宋体" w:hAnsi="宋体"/>
              <w:szCs w:val="21"/>
            </w:rPr>
            <w:t>在建工程</w:t>
          </w:r>
        </w:p>
      </w:sdtContent>
    </w:sdt>
    <w:p>
      <w:pPr>
        <w:pStyle w:val="5"/>
        <w:rPr>
          <w:rFonts w:hint="eastAsia" w:ascii="宋体" w:hAnsi="宋体"/>
          <w:szCs w:val="21"/>
        </w:rPr>
      </w:pPr>
      <w:bookmarkStart w:id="299" w:name="_Hlk532914352"/>
      <w:r>
        <w:rPr>
          <w:rFonts w:hint="eastAsia"/>
        </w:rPr>
        <w:t>项目列示</w:t>
      </w:r>
    </w:p>
    <w:sdt>
      <w:sdtPr>
        <w:alias w:val="是否适用：在建工程分类列示[双击切换]"/>
        <w:tag w:val="_GBC_c1e2db0ea96a470497d3e7b3545f11ff"/>
        <w:id w:val="7166"/>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在建工程分类列示"/>
          <w:tag w:val="_GBC_c3fc0d9041a1447580d30c51269288ae"/>
          <w:id w:val="71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在建工程分类列示"/>
          <w:tag w:val="_GBC_1bdb2a3deae044179993a80635469bb5"/>
          <w:id w:val="716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3196"/>
        <w:gridCol w:w="2938"/>
        <w:gridCol w:w="2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196" w:type="dxa"/>
            <w:vAlign w:val="center"/>
          </w:tcPr>
          <w:sdt>
            <w:sdtPr>
              <w:tag w:val="_PLD_e3fac3cdac65475ca8ba6bb772e3b841"/>
              <w:id w:val="7169"/>
            </w:sdtPr>
            <w:sdtContent>
              <w:p>
                <w:pPr>
                  <w:jc w:val="center"/>
                  <w:rPr>
                    <w:szCs w:val="21"/>
                  </w:rPr>
                </w:pPr>
                <w:r>
                  <w:rPr>
                    <w:rFonts w:hint="eastAsia"/>
                    <w:szCs w:val="21"/>
                  </w:rPr>
                  <w:t>项目</w:t>
                </w:r>
              </w:p>
            </w:sdtContent>
          </w:sdt>
        </w:tc>
        <w:tc>
          <w:tcPr>
            <w:tcW w:w="2938" w:type="dxa"/>
            <w:vAlign w:val="center"/>
          </w:tcPr>
          <w:sdt>
            <w:sdtPr>
              <w:tag w:val="_PLD_4e98919cdcd84191b541b2ee895e77bf"/>
              <w:id w:val="7170"/>
            </w:sdtPr>
            <w:sdtContent>
              <w:p>
                <w:pPr>
                  <w:jc w:val="center"/>
                  <w:rPr>
                    <w:szCs w:val="21"/>
                  </w:rPr>
                </w:pPr>
                <w:r>
                  <w:rPr>
                    <w:rFonts w:hint="eastAsia"/>
                    <w:szCs w:val="21"/>
                  </w:rPr>
                  <w:t>期末余额</w:t>
                </w:r>
              </w:p>
            </w:sdtContent>
          </w:sdt>
        </w:tc>
        <w:tc>
          <w:tcPr>
            <w:tcW w:w="2924" w:type="dxa"/>
            <w:vAlign w:val="center"/>
          </w:tcPr>
          <w:sdt>
            <w:sdtPr>
              <w:tag w:val="_PLD_4ce0928269bc47149a98320193bd0b0a"/>
              <w:id w:val="7171"/>
            </w:sdtPr>
            <w:sdtContent>
              <w:p>
                <w:pPr>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196" w:type="dxa"/>
            <w:vAlign w:val="center"/>
          </w:tcPr>
          <w:p>
            <w:pPr>
              <w:tabs>
                <w:tab w:val="right" w:pos="3690"/>
                <w:tab w:val="right" w:pos="5130"/>
                <w:tab w:val="right" w:pos="6030"/>
                <w:tab w:val="right" w:pos="7650"/>
                <w:tab w:val="right" w:pos="9270"/>
              </w:tabs>
              <w:adjustRightInd w:val="0"/>
              <w:snapToGrid w:val="0"/>
              <w:rPr>
                <w:szCs w:val="21"/>
              </w:rPr>
            </w:pPr>
            <w:r>
              <w:rPr>
                <w:rFonts w:hint="eastAsia"/>
                <w:szCs w:val="21"/>
              </w:rPr>
              <w:t>在建工程</w:t>
            </w:r>
          </w:p>
        </w:tc>
        <w:tc>
          <w:tcPr>
            <w:tcW w:w="2938" w:type="dxa"/>
            <w:vAlign w:val="center"/>
          </w:tcPr>
          <w:p>
            <w:pPr>
              <w:ind w:right="5"/>
              <w:jc w:val="right"/>
              <w:rPr>
                <w:szCs w:val="21"/>
              </w:rPr>
            </w:pPr>
            <w:r>
              <w:rPr>
                <w:rFonts w:hint="eastAsia"/>
                <w:color w:val="auto"/>
              </w:rPr>
              <w:t>22,821,377.61</w:t>
            </w:r>
          </w:p>
        </w:tc>
        <w:tc>
          <w:tcPr>
            <w:tcW w:w="2924" w:type="dxa"/>
            <w:vAlign w:val="center"/>
          </w:tcPr>
          <w:p>
            <w:pPr>
              <w:ind w:right="5"/>
              <w:jc w:val="right"/>
              <w:rPr>
                <w:szCs w:val="21"/>
              </w:rPr>
            </w:pPr>
            <w:r>
              <w:rPr>
                <w:rFonts w:hint="eastAsia"/>
                <w:color w:val="auto"/>
              </w:rPr>
              <w:t>8,274,122.56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196" w:type="dxa"/>
            <w:vAlign w:val="center"/>
          </w:tcPr>
          <w:p>
            <w:pPr>
              <w:autoSpaceDE w:val="0"/>
              <w:autoSpaceDN w:val="0"/>
              <w:adjustRightInd w:val="0"/>
              <w:jc w:val="center"/>
              <w:rPr>
                <w:szCs w:val="21"/>
              </w:rPr>
            </w:pPr>
            <w:r>
              <w:rPr>
                <w:rFonts w:hint="eastAsia"/>
                <w:szCs w:val="21"/>
              </w:rPr>
              <w:t>合计</w:t>
            </w:r>
          </w:p>
        </w:tc>
        <w:tc>
          <w:tcPr>
            <w:tcW w:w="2938" w:type="dxa"/>
            <w:vAlign w:val="center"/>
          </w:tcPr>
          <w:p>
            <w:pPr>
              <w:jc w:val="right"/>
              <w:rPr>
                <w:szCs w:val="21"/>
              </w:rPr>
            </w:pPr>
            <w:r>
              <w:rPr>
                <w:rFonts w:hint="eastAsia"/>
                <w:color w:val="auto"/>
              </w:rPr>
              <w:t>22,821,377.61</w:t>
            </w:r>
          </w:p>
        </w:tc>
        <w:tc>
          <w:tcPr>
            <w:tcW w:w="2924" w:type="dxa"/>
            <w:vAlign w:val="center"/>
          </w:tcPr>
          <w:p>
            <w:pPr>
              <w:ind w:right="5"/>
              <w:jc w:val="right"/>
              <w:rPr>
                <w:szCs w:val="21"/>
              </w:rPr>
            </w:pPr>
            <w:r>
              <w:rPr>
                <w:rFonts w:hint="eastAsia"/>
                <w:color w:val="auto"/>
              </w:rPr>
              <w:t>8,274,122.56</w:t>
            </w:r>
          </w:p>
        </w:tc>
      </w:tr>
    </w:tbl>
    <w:p/>
    <w:bookmarkEnd w:id="299"/>
    <w:p>
      <w:pPr>
        <w:rPr>
          <w:szCs w:val="21"/>
        </w:rPr>
      </w:pPr>
      <w:bookmarkStart w:id="300" w:name="_Hlk532915382"/>
      <w:r>
        <w:rPr>
          <w:rFonts w:hint="eastAsia"/>
          <w:szCs w:val="21"/>
        </w:rPr>
        <w:t>其他说明：</w:t>
      </w:r>
    </w:p>
    <w:sdt>
      <w:sdtPr>
        <w:rPr>
          <w:szCs w:val="21"/>
        </w:rPr>
        <w:alias w:val="是否适用：在建工程分类列示其他说明[双击切换]"/>
        <w:tag w:val="_GBC_97da24841dd24220bc5206311fc28039"/>
        <w:id w:val="7172"/>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bookmarkEnd w:id="300"/>
    <w:p>
      <w:pPr>
        <w:rPr>
          <w:szCs w:val="21"/>
        </w:rPr>
      </w:pPr>
    </w:p>
    <w:p>
      <w:pPr>
        <w:pStyle w:val="5"/>
        <w:ind w:left="360" w:hanging="360"/>
        <w:rPr>
          <w:rFonts w:hint="eastAsia"/>
        </w:rPr>
      </w:pPr>
      <w:r>
        <w:rPr>
          <w:rFonts w:hint="eastAsia"/>
        </w:rPr>
        <w:t>在建工程</w:t>
      </w:r>
    </w:p>
    <w:p>
      <w:pPr>
        <w:pStyle w:val="6"/>
        <w:numPr>
          <w:ilvl w:val="0"/>
          <w:numId w:val="79"/>
        </w:numPr>
        <w:ind w:leftChars="0"/>
      </w:pPr>
      <w:r>
        <w:rPr>
          <w:rFonts w:hint="eastAsia"/>
        </w:rPr>
        <w:t>在建工程情况</w:t>
      </w:r>
    </w:p>
    <w:sdt>
      <w:sdtPr>
        <w:alias w:val="是否适用：在建工程情况[双击切换]"/>
        <w:tag w:val="_GBC_3d1e0f4f19d8472c9f5250b0ba025185"/>
        <w:id w:val="7173"/>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在建工程"/>
          <w:tag w:val="_GBC_c20f70bc9d1e4476bd65c1988111664f"/>
          <w:id w:val="717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在建工程"/>
          <w:tag w:val="_GBC_8057969f154445809d2bd47ba3a4ee1d"/>
          <w:id w:val="717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3"/>
        <w:gridCol w:w="1538"/>
        <w:gridCol w:w="720"/>
        <w:gridCol w:w="1606"/>
        <w:gridCol w:w="1372"/>
        <w:gridCol w:w="753"/>
        <w:gridCol w:w="1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93" w:type="dxa"/>
            <w:vMerge w:val="restart"/>
            <w:vAlign w:val="center"/>
          </w:tcPr>
          <w:sdt>
            <w:sdtPr>
              <w:tag w:val="_PLD_64c6d788b0564cf39dd83135bd94fa33"/>
              <w:id w:val="7176"/>
            </w:sdtPr>
            <w:sdtContent>
              <w:p>
                <w:pPr>
                  <w:jc w:val="center"/>
                  <w:rPr>
                    <w:szCs w:val="21"/>
                  </w:rPr>
                </w:pPr>
                <w:r>
                  <w:rPr>
                    <w:rFonts w:hint="eastAsia"/>
                    <w:szCs w:val="21"/>
                  </w:rPr>
                  <w:t>项目</w:t>
                </w:r>
              </w:p>
            </w:sdtContent>
          </w:sdt>
        </w:tc>
        <w:tc>
          <w:tcPr>
            <w:tcW w:w="3864" w:type="dxa"/>
            <w:gridSpan w:val="3"/>
            <w:vAlign w:val="center"/>
          </w:tcPr>
          <w:sdt>
            <w:sdtPr>
              <w:tag w:val="_PLD_0f8aeba685c643d8bbe995cb6221e768"/>
              <w:id w:val="7177"/>
            </w:sdtPr>
            <w:sdtContent>
              <w:p>
                <w:pPr>
                  <w:jc w:val="center"/>
                  <w:rPr>
                    <w:szCs w:val="21"/>
                  </w:rPr>
                </w:pPr>
                <w:r>
                  <w:rPr>
                    <w:rFonts w:hint="eastAsia"/>
                    <w:szCs w:val="21"/>
                  </w:rPr>
                  <w:t>期末余额</w:t>
                </w:r>
              </w:p>
            </w:sdtContent>
          </w:sdt>
        </w:tc>
        <w:tc>
          <w:tcPr>
            <w:tcW w:w="3587" w:type="dxa"/>
            <w:gridSpan w:val="3"/>
            <w:vAlign w:val="center"/>
          </w:tcPr>
          <w:sdt>
            <w:sdtPr>
              <w:tag w:val="_PLD_87e3270219434e9f8494ce0079d505fd"/>
              <w:id w:val="7178"/>
            </w:sdtPr>
            <w:sdtContent>
              <w:p>
                <w:pPr>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93" w:type="dxa"/>
            <w:vMerge w:val="continue"/>
            <w:vAlign w:val="center"/>
          </w:tcPr>
          <w:p>
            <w:pPr>
              <w:tabs>
                <w:tab w:val="left" w:pos="420"/>
              </w:tabs>
              <w:ind w:left="420" w:hanging="420"/>
              <w:jc w:val="center"/>
              <w:rPr>
                <w:szCs w:val="21"/>
              </w:rPr>
            </w:pPr>
          </w:p>
        </w:tc>
        <w:tc>
          <w:tcPr>
            <w:tcW w:w="1538" w:type="dxa"/>
            <w:vAlign w:val="center"/>
          </w:tcPr>
          <w:sdt>
            <w:sdtPr>
              <w:tag w:val="_PLD_38fd2fe6396a41ae994e421a6ad8573a"/>
              <w:id w:val="7179"/>
            </w:sdtPr>
            <w:sdtContent>
              <w:p>
                <w:pPr>
                  <w:tabs>
                    <w:tab w:val="left" w:pos="420"/>
                  </w:tabs>
                  <w:ind w:left="420" w:hanging="420"/>
                  <w:jc w:val="center"/>
                  <w:rPr>
                    <w:szCs w:val="21"/>
                  </w:rPr>
                </w:pPr>
                <w:r>
                  <w:rPr>
                    <w:rFonts w:hint="eastAsia"/>
                    <w:szCs w:val="21"/>
                  </w:rPr>
                  <w:t>账面余额</w:t>
                </w:r>
              </w:p>
            </w:sdtContent>
          </w:sdt>
        </w:tc>
        <w:tc>
          <w:tcPr>
            <w:tcW w:w="720" w:type="dxa"/>
            <w:vAlign w:val="center"/>
          </w:tcPr>
          <w:sdt>
            <w:sdtPr>
              <w:tag w:val="_PLD_efb5f565ae7d43338576e6ba69d207b2"/>
              <w:id w:val="7180"/>
            </w:sdtPr>
            <w:sdtContent>
              <w:p>
                <w:pPr>
                  <w:pStyle w:val="28"/>
                  <w:spacing w:line="240" w:lineRule="auto"/>
                  <w:jc w:val="center"/>
                </w:pPr>
                <w:r>
                  <w:rPr>
                    <w:rFonts w:hint="eastAsia"/>
                  </w:rPr>
                  <w:t>减值准备</w:t>
                </w:r>
              </w:p>
            </w:sdtContent>
          </w:sdt>
        </w:tc>
        <w:tc>
          <w:tcPr>
            <w:tcW w:w="1606" w:type="dxa"/>
            <w:vAlign w:val="center"/>
          </w:tcPr>
          <w:sdt>
            <w:sdtPr>
              <w:tag w:val="_PLD_74e2fff2faeb4e10b56ba612a8b3b4e8"/>
              <w:id w:val="7181"/>
            </w:sdtPr>
            <w:sdtContent>
              <w:p>
                <w:pPr>
                  <w:pStyle w:val="28"/>
                  <w:spacing w:line="240" w:lineRule="auto"/>
                  <w:jc w:val="center"/>
                </w:pPr>
                <w:r>
                  <w:rPr>
                    <w:rFonts w:hint="eastAsia"/>
                  </w:rPr>
                  <w:t>账面价值</w:t>
                </w:r>
              </w:p>
            </w:sdtContent>
          </w:sdt>
        </w:tc>
        <w:tc>
          <w:tcPr>
            <w:tcW w:w="1372" w:type="dxa"/>
            <w:vAlign w:val="center"/>
          </w:tcPr>
          <w:sdt>
            <w:sdtPr>
              <w:tag w:val="_PLD_320b5c6e751a40cb8f8d6cb989669680"/>
              <w:id w:val="7182"/>
            </w:sdtPr>
            <w:sdtContent>
              <w:p>
                <w:pPr>
                  <w:tabs>
                    <w:tab w:val="left" w:pos="420"/>
                  </w:tabs>
                  <w:ind w:left="420" w:hanging="420"/>
                  <w:jc w:val="center"/>
                  <w:rPr>
                    <w:szCs w:val="21"/>
                  </w:rPr>
                </w:pPr>
                <w:r>
                  <w:rPr>
                    <w:rFonts w:hint="eastAsia"/>
                    <w:szCs w:val="21"/>
                  </w:rPr>
                  <w:t>账面余额</w:t>
                </w:r>
              </w:p>
            </w:sdtContent>
          </w:sdt>
        </w:tc>
        <w:tc>
          <w:tcPr>
            <w:tcW w:w="753" w:type="dxa"/>
            <w:vAlign w:val="center"/>
          </w:tcPr>
          <w:sdt>
            <w:sdtPr>
              <w:tag w:val="_PLD_887f924a18a14763b7d38b336e4eca91"/>
              <w:id w:val="7183"/>
            </w:sdtPr>
            <w:sdtContent>
              <w:p>
                <w:pPr>
                  <w:pStyle w:val="28"/>
                  <w:spacing w:line="240" w:lineRule="auto"/>
                  <w:jc w:val="center"/>
                </w:pPr>
                <w:r>
                  <w:rPr>
                    <w:rFonts w:hint="eastAsia"/>
                  </w:rPr>
                  <w:t>减值准备</w:t>
                </w:r>
              </w:p>
            </w:sdtContent>
          </w:sdt>
        </w:tc>
        <w:tc>
          <w:tcPr>
            <w:tcW w:w="1462" w:type="dxa"/>
            <w:vAlign w:val="center"/>
          </w:tcPr>
          <w:sdt>
            <w:sdtPr>
              <w:tag w:val="_PLD_56d3163c60044998bf2f3d80a83c26a6"/>
              <w:id w:val="7184"/>
            </w:sdtPr>
            <w:sdtContent>
              <w:p>
                <w:pPr>
                  <w:pStyle w:val="28"/>
                  <w:spacing w:line="240" w:lineRule="auto"/>
                  <w:jc w:val="center"/>
                </w:pPr>
                <w:r>
                  <w:rPr>
                    <w:rFonts w:hint="eastAsia"/>
                  </w:rPr>
                  <w:t>账面价值</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93" w:type="dxa"/>
            <w:vAlign w:val="center"/>
          </w:tcPr>
          <w:p>
            <w:pPr>
              <w:rPr>
                <w:szCs w:val="21"/>
              </w:rPr>
            </w:pPr>
            <w:r>
              <w:rPr>
                <w:rFonts w:hint="eastAsia"/>
                <w:color w:val="auto"/>
              </w:rPr>
              <w:t>牙膏车间改造项目</w:t>
            </w:r>
          </w:p>
        </w:tc>
        <w:tc>
          <w:tcPr>
            <w:tcW w:w="1538" w:type="dxa"/>
            <w:vAlign w:val="center"/>
          </w:tcPr>
          <w:p>
            <w:pPr>
              <w:ind w:right="105"/>
              <w:jc w:val="right"/>
              <w:rPr>
                <w:szCs w:val="21"/>
              </w:rPr>
            </w:pPr>
            <w:r>
              <w:rPr>
                <w:rFonts w:hint="eastAsia"/>
                <w:color w:val="auto"/>
              </w:rPr>
              <w:t>　</w:t>
            </w:r>
          </w:p>
        </w:tc>
        <w:tc>
          <w:tcPr>
            <w:tcW w:w="720" w:type="dxa"/>
            <w:vAlign w:val="center"/>
          </w:tcPr>
          <w:p>
            <w:pPr>
              <w:ind w:right="73"/>
              <w:jc w:val="right"/>
              <w:rPr>
                <w:szCs w:val="21"/>
              </w:rPr>
            </w:pPr>
            <w:r>
              <w:rPr>
                <w:rFonts w:hint="eastAsia"/>
                <w:color w:val="auto"/>
              </w:rPr>
              <w:t>　</w:t>
            </w:r>
          </w:p>
        </w:tc>
        <w:tc>
          <w:tcPr>
            <w:tcW w:w="1606" w:type="dxa"/>
            <w:vAlign w:val="center"/>
          </w:tcPr>
          <w:p>
            <w:pPr>
              <w:ind w:right="73"/>
              <w:jc w:val="right"/>
              <w:rPr>
                <w:szCs w:val="21"/>
              </w:rPr>
            </w:pPr>
            <w:r>
              <w:rPr>
                <w:rFonts w:hint="eastAsia"/>
                <w:color w:val="auto"/>
              </w:rPr>
              <w:t>　</w:t>
            </w:r>
          </w:p>
        </w:tc>
        <w:tc>
          <w:tcPr>
            <w:tcW w:w="1372" w:type="dxa"/>
            <w:vAlign w:val="center"/>
          </w:tcPr>
          <w:p>
            <w:pPr>
              <w:jc w:val="right"/>
              <w:rPr>
                <w:szCs w:val="21"/>
              </w:rPr>
            </w:pPr>
            <w:r>
              <w:rPr>
                <w:rFonts w:hint="eastAsia"/>
                <w:color w:val="auto"/>
              </w:rPr>
              <w:t>5,325,319.85</w:t>
            </w:r>
          </w:p>
        </w:tc>
        <w:tc>
          <w:tcPr>
            <w:tcW w:w="753" w:type="dxa"/>
            <w:vAlign w:val="center"/>
          </w:tcPr>
          <w:p>
            <w:pPr>
              <w:jc w:val="right"/>
              <w:rPr>
                <w:szCs w:val="21"/>
              </w:rPr>
            </w:pPr>
            <w:r>
              <w:rPr>
                <w:rFonts w:hint="eastAsia"/>
                <w:color w:val="auto"/>
              </w:rPr>
              <w:t>　</w:t>
            </w:r>
          </w:p>
        </w:tc>
        <w:tc>
          <w:tcPr>
            <w:tcW w:w="1462" w:type="dxa"/>
            <w:vAlign w:val="center"/>
          </w:tcPr>
          <w:p>
            <w:pPr>
              <w:jc w:val="right"/>
              <w:rPr>
                <w:szCs w:val="21"/>
              </w:rPr>
            </w:pPr>
            <w:r>
              <w:rPr>
                <w:rFonts w:hint="eastAsia"/>
                <w:color w:val="auto"/>
              </w:rPr>
              <w:t>5,325,319.85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93" w:type="dxa"/>
            <w:vAlign w:val="center"/>
          </w:tcPr>
          <w:p>
            <w:pPr>
              <w:rPr>
                <w:szCs w:val="21"/>
              </w:rPr>
            </w:pPr>
            <w:r>
              <w:rPr>
                <w:rFonts w:hint="eastAsia"/>
                <w:color w:val="auto"/>
              </w:rPr>
              <w:t>两面针中草药功能性口腔护理产品生产基地</w:t>
            </w:r>
          </w:p>
        </w:tc>
        <w:tc>
          <w:tcPr>
            <w:tcW w:w="1538" w:type="dxa"/>
            <w:vAlign w:val="center"/>
          </w:tcPr>
          <w:p>
            <w:pPr>
              <w:ind w:right="105"/>
              <w:jc w:val="right"/>
              <w:rPr>
                <w:szCs w:val="21"/>
              </w:rPr>
            </w:pPr>
            <w:r>
              <w:rPr>
                <w:rFonts w:hint="eastAsia"/>
                <w:color w:val="auto"/>
              </w:rPr>
              <w:t>16,516,687.73</w:t>
            </w:r>
          </w:p>
        </w:tc>
        <w:tc>
          <w:tcPr>
            <w:tcW w:w="720" w:type="dxa"/>
            <w:vAlign w:val="center"/>
          </w:tcPr>
          <w:p>
            <w:pPr>
              <w:ind w:right="73"/>
              <w:jc w:val="right"/>
              <w:rPr>
                <w:szCs w:val="21"/>
              </w:rPr>
            </w:pPr>
            <w:r>
              <w:rPr>
                <w:rFonts w:hint="eastAsia"/>
                <w:color w:val="auto"/>
              </w:rPr>
              <w:t>　</w:t>
            </w:r>
          </w:p>
        </w:tc>
        <w:tc>
          <w:tcPr>
            <w:tcW w:w="1606" w:type="dxa"/>
            <w:vAlign w:val="center"/>
          </w:tcPr>
          <w:p>
            <w:pPr>
              <w:ind w:right="73"/>
              <w:jc w:val="right"/>
              <w:rPr>
                <w:szCs w:val="21"/>
              </w:rPr>
            </w:pPr>
            <w:r>
              <w:rPr>
                <w:rFonts w:hint="eastAsia"/>
                <w:color w:val="auto"/>
              </w:rPr>
              <w:t>16,516,687.73</w:t>
            </w:r>
          </w:p>
        </w:tc>
        <w:tc>
          <w:tcPr>
            <w:tcW w:w="1372" w:type="dxa"/>
            <w:vAlign w:val="center"/>
          </w:tcPr>
          <w:p>
            <w:pPr>
              <w:jc w:val="right"/>
              <w:rPr>
                <w:szCs w:val="21"/>
              </w:rPr>
            </w:pPr>
            <w:r>
              <w:rPr>
                <w:rFonts w:hint="eastAsia"/>
                <w:color w:val="auto"/>
              </w:rPr>
              <w:t>　</w:t>
            </w:r>
          </w:p>
        </w:tc>
        <w:tc>
          <w:tcPr>
            <w:tcW w:w="753" w:type="dxa"/>
            <w:vAlign w:val="center"/>
          </w:tcPr>
          <w:p>
            <w:pPr>
              <w:jc w:val="right"/>
              <w:rPr>
                <w:szCs w:val="21"/>
              </w:rPr>
            </w:pPr>
            <w:r>
              <w:rPr>
                <w:rFonts w:hint="eastAsia"/>
                <w:color w:val="auto"/>
              </w:rPr>
              <w:t>　</w:t>
            </w:r>
          </w:p>
        </w:tc>
        <w:tc>
          <w:tcPr>
            <w:tcW w:w="1462" w:type="dxa"/>
            <w:vAlign w:val="center"/>
          </w:tcPr>
          <w:p>
            <w:pPr>
              <w:jc w:val="right"/>
              <w:rPr>
                <w:szCs w:val="21"/>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93" w:type="dxa"/>
            <w:vAlign w:val="center"/>
          </w:tcPr>
          <w:p>
            <w:pPr>
              <w:rPr>
                <w:szCs w:val="21"/>
              </w:rPr>
            </w:pPr>
            <w:r>
              <w:rPr>
                <w:rFonts w:hint="eastAsia"/>
                <w:color w:val="auto"/>
              </w:rPr>
              <w:t>洗化车间扩建项目</w:t>
            </w:r>
          </w:p>
        </w:tc>
        <w:tc>
          <w:tcPr>
            <w:tcW w:w="1538" w:type="dxa"/>
            <w:vAlign w:val="center"/>
          </w:tcPr>
          <w:p>
            <w:pPr>
              <w:ind w:right="105"/>
              <w:jc w:val="right"/>
              <w:rPr>
                <w:szCs w:val="21"/>
              </w:rPr>
            </w:pPr>
            <w:r>
              <w:rPr>
                <w:rFonts w:hint="eastAsia"/>
                <w:color w:val="auto"/>
              </w:rPr>
              <w:t>3,026,770.12</w:t>
            </w:r>
          </w:p>
        </w:tc>
        <w:tc>
          <w:tcPr>
            <w:tcW w:w="720" w:type="dxa"/>
            <w:vAlign w:val="center"/>
          </w:tcPr>
          <w:p>
            <w:pPr>
              <w:ind w:right="73"/>
              <w:jc w:val="right"/>
              <w:rPr>
                <w:szCs w:val="21"/>
              </w:rPr>
            </w:pPr>
            <w:r>
              <w:rPr>
                <w:rFonts w:hint="eastAsia"/>
                <w:color w:val="auto"/>
              </w:rPr>
              <w:t>　</w:t>
            </w:r>
          </w:p>
        </w:tc>
        <w:tc>
          <w:tcPr>
            <w:tcW w:w="1606" w:type="dxa"/>
            <w:vAlign w:val="center"/>
          </w:tcPr>
          <w:p>
            <w:pPr>
              <w:ind w:right="73"/>
              <w:jc w:val="right"/>
              <w:rPr>
                <w:szCs w:val="21"/>
              </w:rPr>
            </w:pPr>
            <w:r>
              <w:rPr>
                <w:rFonts w:hint="eastAsia"/>
                <w:color w:val="auto"/>
              </w:rPr>
              <w:t>3,026,770.12</w:t>
            </w:r>
          </w:p>
        </w:tc>
        <w:tc>
          <w:tcPr>
            <w:tcW w:w="1372" w:type="dxa"/>
            <w:vAlign w:val="center"/>
          </w:tcPr>
          <w:p>
            <w:pPr>
              <w:jc w:val="right"/>
              <w:rPr>
                <w:szCs w:val="21"/>
              </w:rPr>
            </w:pPr>
            <w:r>
              <w:rPr>
                <w:rFonts w:hint="eastAsia"/>
                <w:color w:val="auto"/>
              </w:rPr>
              <w:t>　</w:t>
            </w:r>
          </w:p>
        </w:tc>
        <w:tc>
          <w:tcPr>
            <w:tcW w:w="753" w:type="dxa"/>
            <w:vAlign w:val="center"/>
          </w:tcPr>
          <w:p>
            <w:pPr>
              <w:jc w:val="right"/>
              <w:rPr>
                <w:szCs w:val="21"/>
              </w:rPr>
            </w:pPr>
            <w:r>
              <w:rPr>
                <w:rFonts w:hint="eastAsia"/>
                <w:color w:val="auto"/>
              </w:rPr>
              <w:t>　</w:t>
            </w:r>
          </w:p>
        </w:tc>
        <w:tc>
          <w:tcPr>
            <w:tcW w:w="1462" w:type="dxa"/>
            <w:vAlign w:val="center"/>
          </w:tcPr>
          <w:p>
            <w:pPr>
              <w:jc w:val="right"/>
              <w:rPr>
                <w:szCs w:val="21"/>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93" w:type="dxa"/>
            <w:vAlign w:val="center"/>
          </w:tcPr>
          <w:p>
            <w:pPr>
              <w:rPr>
                <w:szCs w:val="21"/>
              </w:rPr>
            </w:pPr>
            <w:r>
              <w:rPr>
                <w:rFonts w:hint="eastAsia"/>
                <w:color w:val="auto"/>
              </w:rPr>
              <w:t>洗涤车间改造项目</w:t>
            </w:r>
          </w:p>
        </w:tc>
        <w:tc>
          <w:tcPr>
            <w:tcW w:w="1538" w:type="dxa"/>
            <w:vAlign w:val="center"/>
          </w:tcPr>
          <w:p>
            <w:pPr>
              <w:ind w:right="105"/>
              <w:jc w:val="right"/>
              <w:rPr>
                <w:szCs w:val="21"/>
              </w:rPr>
            </w:pPr>
            <w:r>
              <w:rPr>
                <w:rFonts w:hint="eastAsia"/>
                <w:color w:val="auto"/>
              </w:rPr>
              <w:t>　</w:t>
            </w:r>
          </w:p>
        </w:tc>
        <w:tc>
          <w:tcPr>
            <w:tcW w:w="720" w:type="dxa"/>
            <w:vAlign w:val="center"/>
          </w:tcPr>
          <w:p>
            <w:pPr>
              <w:ind w:right="73"/>
              <w:jc w:val="right"/>
              <w:rPr>
                <w:szCs w:val="21"/>
              </w:rPr>
            </w:pPr>
            <w:r>
              <w:rPr>
                <w:rFonts w:hint="eastAsia"/>
                <w:color w:val="auto"/>
              </w:rPr>
              <w:t>　</w:t>
            </w:r>
          </w:p>
        </w:tc>
        <w:tc>
          <w:tcPr>
            <w:tcW w:w="1606" w:type="dxa"/>
            <w:vAlign w:val="center"/>
          </w:tcPr>
          <w:p>
            <w:pPr>
              <w:ind w:right="73"/>
              <w:jc w:val="right"/>
              <w:rPr>
                <w:szCs w:val="21"/>
              </w:rPr>
            </w:pPr>
            <w:r>
              <w:rPr>
                <w:rFonts w:hint="eastAsia"/>
                <w:color w:val="auto"/>
              </w:rPr>
              <w:t> </w:t>
            </w:r>
          </w:p>
        </w:tc>
        <w:tc>
          <w:tcPr>
            <w:tcW w:w="1372" w:type="dxa"/>
            <w:vAlign w:val="center"/>
          </w:tcPr>
          <w:p>
            <w:pPr>
              <w:jc w:val="right"/>
              <w:rPr>
                <w:szCs w:val="21"/>
              </w:rPr>
            </w:pPr>
            <w:r>
              <w:rPr>
                <w:rFonts w:hint="eastAsia"/>
                <w:color w:val="auto"/>
              </w:rPr>
              <w:t>1,167,759.98</w:t>
            </w:r>
          </w:p>
        </w:tc>
        <w:tc>
          <w:tcPr>
            <w:tcW w:w="753" w:type="dxa"/>
            <w:vAlign w:val="center"/>
          </w:tcPr>
          <w:p>
            <w:pPr>
              <w:jc w:val="right"/>
              <w:rPr>
                <w:szCs w:val="21"/>
              </w:rPr>
            </w:pPr>
            <w:r>
              <w:rPr>
                <w:rFonts w:hint="eastAsia"/>
                <w:color w:val="auto"/>
              </w:rPr>
              <w:t>　</w:t>
            </w:r>
          </w:p>
        </w:tc>
        <w:tc>
          <w:tcPr>
            <w:tcW w:w="1462" w:type="dxa"/>
            <w:vAlign w:val="center"/>
          </w:tcPr>
          <w:p>
            <w:pPr>
              <w:jc w:val="right"/>
              <w:rPr>
                <w:szCs w:val="21"/>
              </w:rPr>
            </w:pPr>
            <w:r>
              <w:rPr>
                <w:rFonts w:hint="eastAsia"/>
                <w:color w:val="auto"/>
              </w:rPr>
              <w:t>1,167,759.98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93" w:type="dxa"/>
            <w:vAlign w:val="center"/>
          </w:tcPr>
          <w:p>
            <w:pPr>
              <w:rPr>
                <w:szCs w:val="21"/>
              </w:rPr>
            </w:pPr>
            <w:r>
              <w:rPr>
                <w:rFonts w:hint="eastAsia"/>
                <w:color w:val="auto"/>
              </w:rPr>
              <w:t>牙膏制膏机及辅机</w:t>
            </w:r>
          </w:p>
        </w:tc>
        <w:tc>
          <w:tcPr>
            <w:tcW w:w="1538" w:type="dxa"/>
            <w:vAlign w:val="center"/>
          </w:tcPr>
          <w:p>
            <w:pPr>
              <w:ind w:right="105"/>
              <w:jc w:val="right"/>
              <w:rPr>
                <w:szCs w:val="21"/>
              </w:rPr>
            </w:pPr>
            <w:r>
              <w:rPr>
                <w:rFonts w:hint="eastAsia"/>
                <w:color w:val="auto"/>
              </w:rPr>
              <w:t>1,915,929.22</w:t>
            </w:r>
          </w:p>
        </w:tc>
        <w:tc>
          <w:tcPr>
            <w:tcW w:w="720" w:type="dxa"/>
            <w:vAlign w:val="center"/>
          </w:tcPr>
          <w:p>
            <w:pPr>
              <w:ind w:right="73"/>
              <w:jc w:val="right"/>
              <w:rPr>
                <w:szCs w:val="21"/>
              </w:rPr>
            </w:pPr>
            <w:r>
              <w:rPr>
                <w:rFonts w:hint="eastAsia"/>
                <w:color w:val="auto"/>
              </w:rPr>
              <w:t>　</w:t>
            </w:r>
          </w:p>
        </w:tc>
        <w:tc>
          <w:tcPr>
            <w:tcW w:w="1606" w:type="dxa"/>
            <w:vAlign w:val="center"/>
          </w:tcPr>
          <w:p>
            <w:pPr>
              <w:ind w:right="73"/>
              <w:jc w:val="right"/>
              <w:rPr>
                <w:szCs w:val="21"/>
              </w:rPr>
            </w:pPr>
            <w:r>
              <w:rPr>
                <w:rFonts w:hint="eastAsia"/>
                <w:color w:val="auto"/>
              </w:rPr>
              <w:t>1,915,929.22</w:t>
            </w:r>
          </w:p>
        </w:tc>
        <w:tc>
          <w:tcPr>
            <w:tcW w:w="1372" w:type="dxa"/>
            <w:vAlign w:val="center"/>
          </w:tcPr>
          <w:p>
            <w:pPr>
              <w:jc w:val="right"/>
              <w:rPr>
                <w:szCs w:val="21"/>
              </w:rPr>
            </w:pPr>
            <w:r>
              <w:rPr>
                <w:rFonts w:hint="eastAsia"/>
                <w:color w:val="auto"/>
              </w:rPr>
              <w:t>　</w:t>
            </w:r>
          </w:p>
        </w:tc>
        <w:tc>
          <w:tcPr>
            <w:tcW w:w="753" w:type="dxa"/>
            <w:vAlign w:val="center"/>
          </w:tcPr>
          <w:p>
            <w:pPr>
              <w:jc w:val="right"/>
              <w:rPr>
                <w:szCs w:val="21"/>
              </w:rPr>
            </w:pPr>
            <w:r>
              <w:rPr>
                <w:rFonts w:hint="eastAsia"/>
                <w:color w:val="auto"/>
              </w:rPr>
              <w:t>　</w:t>
            </w:r>
          </w:p>
        </w:tc>
        <w:tc>
          <w:tcPr>
            <w:tcW w:w="1462" w:type="dxa"/>
            <w:vAlign w:val="center"/>
          </w:tcPr>
          <w:p>
            <w:pPr>
              <w:jc w:val="right"/>
              <w:rPr>
                <w:szCs w:val="21"/>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93" w:type="dxa"/>
            <w:vAlign w:val="center"/>
          </w:tcPr>
          <w:p>
            <w:pPr>
              <w:rPr>
                <w:szCs w:val="21"/>
              </w:rPr>
            </w:pPr>
            <w:r>
              <w:rPr>
                <w:rFonts w:hint="eastAsia"/>
                <w:color w:val="auto"/>
              </w:rPr>
              <w:t>模具</w:t>
            </w:r>
          </w:p>
        </w:tc>
        <w:tc>
          <w:tcPr>
            <w:tcW w:w="1538" w:type="dxa"/>
            <w:vAlign w:val="center"/>
          </w:tcPr>
          <w:p>
            <w:pPr>
              <w:ind w:right="105"/>
              <w:jc w:val="right"/>
              <w:rPr>
                <w:szCs w:val="21"/>
              </w:rPr>
            </w:pPr>
            <w:r>
              <w:rPr>
                <w:rFonts w:hint="eastAsia"/>
                <w:color w:val="auto"/>
              </w:rPr>
              <w:t>580,556.26</w:t>
            </w:r>
          </w:p>
        </w:tc>
        <w:tc>
          <w:tcPr>
            <w:tcW w:w="720" w:type="dxa"/>
            <w:vAlign w:val="center"/>
          </w:tcPr>
          <w:p>
            <w:pPr>
              <w:ind w:right="73"/>
              <w:jc w:val="right"/>
              <w:rPr>
                <w:szCs w:val="21"/>
              </w:rPr>
            </w:pPr>
            <w:r>
              <w:rPr>
                <w:rFonts w:hint="eastAsia"/>
                <w:color w:val="auto"/>
              </w:rPr>
              <w:t>　</w:t>
            </w:r>
          </w:p>
        </w:tc>
        <w:tc>
          <w:tcPr>
            <w:tcW w:w="1606" w:type="dxa"/>
            <w:vAlign w:val="center"/>
          </w:tcPr>
          <w:p>
            <w:pPr>
              <w:ind w:right="73"/>
              <w:jc w:val="right"/>
              <w:rPr>
                <w:szCs w:val="21"/>
              </w:rPr>
            </w:pPr>
            <w:r>
              <w:rPr>
                <w:rFonts w:hint="eastAsia"/>
                <w:color w:val="auto"/>
              </w:rPr>
              <w:t>580,556.26</w:t>
            </w:r>
          </w:p>
        </w:tc>
        <w:tc>
          <w:tcPr>
            <w:tcW w:w="1372" w:type="dxa"/>
            <w:vAlign w:val="center"/>
          </w:tcPr>
          <w:p>
            <w:pPr>
              <w:jc w:val="right"/>
              <w:rPr>
                <w:szCs w:val="21"/>
              </w:rPr>
            </w:pPr>
            <w:r>
              <w:rPr>
                <w:rFonts w:hint="eastAsia"/>
                <w:color w:val="auto"/>
              </w:rPr>
              <w:t>1,109,075.21</w:t>
            </w:r>
          </w:p>
        </w:tc>
        <w:tc>
          <w:tcPr>
            <w:tcW w:w="753" w:type="dxa"/>
            <w:vAlign w:val="center"/>
          </w:tcPr>
          <w:p>
            <w:pPr>
              <w:jc w:val="right"/>
              <w:rPr>
                <w:szCs w:val="21"/>
              </w:rPr>
            </w:pPr>
            <w:r>
              <w:rPr>
                <w:rFonts w:hint="eastAsia"/>
                <w:color w:val="auto"/>
              </w:rPr>
              <w:t>　</w:t>
            </w:r>
          </w:p>
        </w:tc>
        <w:tc>
          <w:tcPr>
            <w:tcW w:w="1462" w:type="dxa"/>
            <w:vAlign w:val="center"/>
          </w:tcPr>
          <w:p>
            <w:pPr>
              <w:jc w:val="right"/>
              <w:rPr>
                <w:szCs w:val="21"/>
              </w:rPr>
            </w:pPr>
            <w:r>
              <w:rPr>
                <w:rFonts w:hint="eastAsia"/>
                <w:color w:val="auto"/>
              </w:rPr>
              <w:t>1,109,075.21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93" w:type="dxa"/>
            <w:vAlign w:val="center"/>
          </w:tcPr>
          <w:p>
            <w:pPr>
              <w:rPr>
                <w:szCs w:val="21"/>
              </w:rPr>
            </w:pPr>
            <w:r>
              <w:rPr>
                <w:rFonts w:hint="eastAsia"/>
                <w:color w:val="auto"/>
              </w:rPr>
              <w:t>其他</w:t>
            </w:r>
          </w:p>
        </w:tc>
        <w:tc>
          <w:tcPr>
            <w:tcW w:w="1538" w:type="dxa"/>
            <w:vAlign w:val="center"/>
          </w:tcPr>
          <w:p>
            <w:pPr>
              <w:ind w:right="105"/>
              <w:jc w:val="right"/>
              <w:rPr>
                <w:szCs w:val="21"/>
              </w:rPr>
            </w:pPr>
            <w:r>
              <w:rPr>
                <w:rFonts w:hint="eastAsia"/>
                <w:color w:val="auto"/>
              </w:rPr>
              <w:t>781,434.28</w:t>
            </w:r>
          </w:p>
        </w:tc>
        <w:tc>
          <w:tcPr>
            <w:tcW w:w="720" w:type="dxa"/>
            <w:vAlign w:val="center"/>
          </w:tcPr>
          <w:p>
            <w:pPr>
              <w:ind w:right="73"/>
              <w:jc w:val="right"/>
              <w:rPr>
                <w:szCs w:val="21"/>
              </w:rPr>
            </w:pPr>
            <w:r>
              <w:rPr>
                <w:rFonts w:hint="eastAsia"/>
                <w:color w:val="auto"/>
              </w:rPr>
              <w:t>　</w:t>
            </w:r>
          </w:p>
        </w:tc>
        <w:tc>
          <w:tcPr>
            <w:tcW w:w="1606" w:type="dxa"/>
            <w:vAlign w:val="center"/>
          </w:tcPr>
          <w:p>
            <w:pPr>
              <w:ind w:right="73"/>
              <w:jc w:val="right"/>
              <w:rPr>
                <w:szCs w:val="21"/>
              </w:rPr>
            </w:pPr>
            <w:r>
              <w:rPr>
                <w:rFonts w:hint="eastAsia"/>
                <w:color w:val="auto"/>
              </w:rPr>
              <w:t>781,434.28</w:t>
            </w:r>
          </w:p>
        </w:tc>
        <w:tc>
          <w:tcPr>
            <w:tcW w:w="1372" w:type="dxa"/>
            <w:vAlign w:val="center"/>
          </w:tcPr>
          <w:p>
            <w:pPr>
              <w:jc w:val="right"/>
              <w:rPr>
                <w:szCs w:val="21"/>
              </w:rPr>
            </w:pPr>
            <w:r>
              <w:rPr>
                <w:rFonts w:hint="eastAsia"/>
                <w:color w:val="auto"/>
              </w:rPr>
              <w:t>671,967.52</w:t>
            </w:r>
          </w:p>
        </w:tc>
        <w:tc>
          <w:tcPr>
            <w:tcW w:w="753" w:type="dxa"/>
            <w:vAlign w:val="center"/>
          </w:tcPr>
          <w:p>
            <w:pPr>
              <w:jc w:val="right"/>
              <w:rPr>
                <w:szCs w:val="21"/>
              </w:rPr>
            </w:pPr>
            <w:r>
              <w:rPr>
                <w:rFonts w:hint="eastAsia"/>
                <w:color w:val="auto"/>
              </w:rPr>
              <w:t>　</w:t>
            </w:r>
          </w:p>
        </w:tc>
        <w:tc>
          <w:tcPr>
            <w:tcW w:w="1462" w:type="dxa"/>
            <w:vAlign w:val="center"/>
          </w:tcPr>
          <w:p>
            <w:pPr>
              <w:jc w:val="right"/>
              <w:rPr>
                <w:szCs w:val="21"/>
              </w:rPr>
            </w:pPr>
            <w:r>
              <w:rPr>
                <w:rFonts w:hint="eastAsia"/>
                <w:color w:val="auto"/>
              </w:rPr>
              <w:t>671,967.52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93" w:type="dxa"/>
            <w:vAlign w:val="center"/>
          </w:tcPr>
          <w:p>
            <w:pPr>
              <w:jc w:val="center"/>
              <w:rPr>
                <w:szCs w:val="21"/>
              </w:rPr>
            </w:pPr>
            <w:r>
              <w:rPr>
                <w:rFonts w:hint="eastAsia"/>
                <w:szCs w:val="21"/>
              </w:rPr>
              <w:t>合计</w:t>
            </w:r>
          </w:p>
        </w:tc>
        <w:tc>
          <w:tcPr>
            <w:tcW w:w="1538" w:type="dxa"/>
            <w:vAlign w:val="center"/>
          </w:tcPr>
          <w:p>
            <w:pPr>
              <w:ind w:right="105"/>
              <w:jc w:val="right"/>
              <w:rPr>
                <w:szCs w:val="21"/>
              </w:rPr>
            </w:pPr>
            <w:r>
              <w:rPr>
                <w:rFonts w:hint="eastAsia"/>
                <w:color w:val="auto"/>
                <w:szCs w:val="21"/>
              </w:rPr>
              <w:t>22,821,377.61</w:t>
            </w:r>
          </w:p>
        </w:tc>
        <w:tc>
          <w:tcPr>
            <w:tcW w:w="720" w:type="dxa"/>
            <w:vAlign w:val="center"/>
          </w:tcPr>
          <w:p>
            <w:pPr>
              <w:ind w:right="73"/>
              <w:jc w:val="right"/>
              <w:rPr>
                <w:szCs w:val="21"/>
              </w:rPr>
            </w:pPr>
            <w:r>
              <w:rPr>
                <w:rFonts w:hint="eastAsia"/>
                <w:color w:val="auto"/>
                <w:szCs w:val="21"/>
              </w:rPr>
              <w:t>　</w:t>
            </w:r>
          </w:p>
        </w:tc>
        <w:tc>
          <w:tcPr>
            <w:tcW w:w="1606" w:type="dxa"/>
            <w:vAlign w:val="center"/>
          </w:tcPr>
          <w:p>
            <w:pPr>
              <w:ind w:right="73"/>
              <w:jc w:val="right"/>
              <w:rPr>
                <w:szCs w:val="21"/>
              </w:rPr>
            </w:pPr>
            <w:r>
              <w:rPr>
                <w:rFonts w:hint="eastAsia"/>
                <w:color w:val="auto"/>
                <w:szCs w:val="21"/>
              </w:rPr>
              <w:t>22,821,377.61</w:t>
            </w:r>
          </w:p>
        </w:tc>
        <w:tc>
          <w:tcPr>
            <w:tcW w:w="1372" w:type="dxa"/>
            <w:vAlign w:val="center"/>
          </w:tcPr>
          <w:p>
            <w:pPr>
              <w:jc w:val="right"/>
              <w:rPr>
                <w:szCs w:val="21"/>
              </w:rPr>
            </w:pPr>
            <w:r>
              <w:rPr>
                <w:rFonts w:hint="eastAsia"/>
                <w:color w:val="auto"/>
                <w:szCs w:val="21"/>
              </w:rPr>
              <w:t>8,274,122.56</w:t>
            </w:r>
          </w:p>
        </w:tc>
        <w:tc>
          <w:tcPr>
            <w:tcW w:w="753" w:type="dxa"/>
            <w:vAlign w:val="center"/>
          </w:tcPr>
          <w:p>
            <w:pPr>
              <w:jc w:val="right"/>
              <w:rPr>
                <w:szCs w:val="21"/>
              </w:rPr>
            </w:pPr>
            <w:r>
              <w:rPr>
                <w:rFonts w:hint="eastAsia"/>
                <w:color w:val="auto"/>
                <w:szCs w:val="21"/>
              </w:rPr>
              <w:t>　</w:t>
            </w:r>
          </w:p>
        </w:tc>
        <w:tc>
          <w:tcPr>
            <w:tcW w:w="1462" w:type="dxa"/>
            <w:vAlign w:val="center"/>
          </w:tcPr>
          <w:p>
            <w:pPr>
              <w:jc w:val="right"/>
              <w:rPr>
                <w:szCs w:val="21"/>
              </w:rPr>
            </w:pPr>
            <w:r>
              <w:rPr>
                <w:rFonts w:hint="eastAsia"/>
                <w:color w:val="auto"/>
                <w:szCs w:val="21"/>
              </w:rPr>
              <w:t>8,274,122.56</w:t>
            </w:r>
          </w:p>
        </w:tc>
      </w:tr>
    </w:tbl>
    <w:p>
      <w:pPr>
        <w:sectPr>
          <w:pgSz w:w="11906" w:h="16838"/>
          <w:pgMar w:top="1440" w:right="1797" w:bottom="1525" w:left="1276" w:header="856" w:footer="992" w:gutter="0"/>
          <w:cols w:space="425" w:num="1"/>
          <w:docGrid w:linePitch="312" w:charSpace="0"/>
        </w:sectPr>
      </w:pPr>
    </w:p>
    <w:p>
      <w:pPr>
        <w:pStyle w:val="17"/>
      </w:pPr>
    </w:p>
    <w:p>
      <w:pPr>
        <w:pStyle w:val="6"/>
        <w:numPr>
          <w:ilvl w:val="0"/>
          <w:numId w:val="79"/>
        </w:numPr>
        <w:ind w:leftChars="0"/>
        <w:rPr>
          <w:rFonts w:hint="eastAsia" w:ascii="宋体" w:hAnsi="宋体" w:cs="宋体"/>
          <w:kern w:val="0"/>
          <w:szCs w:val="24"/>
        </w:rPr>
      </w:pPr>
      <w:r>
        <w:rPr>
          <w:rFonts w:hint="eastAsia" w:ascii="宋体" w:hAnsi="宋体" w:cs="宋体"/>
          <w:kern w:val="0"/>
          <w:szCs w:val="24"/>
        </w:rPr>
        <w:t>重要在建工程项目本期变动情况</w:t>
      </w:r>
    </w:p>
    <w:sdt>
      <w:sdtPr>
        <w:alias w:val="是否适用：重要在建工程项目本期变动情况[双击切换]"/>
        <w:tag w:val="_GBC_964f4529e8234c358a8541e8c4754ec8"/>
        <w:id w:val="7185"/>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在建工程项目变动情况"/>
          <w:tag w:val="_GBC_9057dff5be8544c398fdbd55cff334f7"/>
          <w:id w:val="718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在建工程项目变动情况"/>
          <w:tag w:val="_GBC_110e0fe0dd4f471bae83a62e58e88d74"/>
          <w:id w:val="71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1167"/>
        <w:gridCol w:w="1386"/>
        <w:gridCol w:w="1451"/>
        <w:gridCol w:w="1407"/>
        <w:gridCol w:w="605"/>
        <w:gridCol w:w="1485"/>
        <w:gridCol w:w="1020"/>
        <w:gridCol w:w="780"/>
        <w:gridCol w:w="810"/>
        <w:gridCol w:w="795"/>
        <w:gridCol w:w="876"/>
        <w:gridCol w:w="1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14" w:type="dxa"/>
            <w:vAlign w:val="center"/>
          </w:tcPr>
          <w:sdt>
            <w:sdtPr>
              <w:tag w:val="_PLD_0072ffbc51294cefbe17dde844d0e5ed"/>
              <w:id w:val="7188"/>
            </w:sdtPr>
            <w:sdtContent>
              <w:p>
                <w:pPr>
                  <w:jc w:val="center"/>
                  <w:rPr>
                    <w:szCs w:val="21"/>
                  </w:rPr>
                </w:pPr>
                <w:r>
                  <w:rPr>
                    <w:rFonts w:hint="eastAsia"/>
                    <w:szCs w:val="21"/>
                  </w:rPr>
                  <w:t>项目名称</w:t>
                </w:r>
              </w:p>
            </w:sdtContent>
          </w:sdt>
        </w:tc>
        <w:tc>
          <w:tcPr>
            <w:tcW w:w="1167" w:type="dxa"/>
            <w:vAlign w:val="center"/>
          </w:tcPr>
          <w:sdt>
            <w:sdtPr>
              <w:tag w:val="_PLD_6349ea6a696f4d27b00b071275a38ea5"/>
              <w:id w:val="7189"/>
            </w:sdtPr>
            <w:sdtContent>
              <w:p>
                <w:pPr>
                  <w:jc w:val="center"/>
                  <w:rPr>
                    <w:szCs w:val="21"/>
                  </w:rPr>
                </w:pPr>
                <w:r>
                  <w:rPr>
                    <w:rFonts w:hint="eastAsia"/>
                    <w:szCs w:val="21"/>
                  </w:rPr>
                  <w:t>预算数</w:t>
                </w:r>
              </w:p>
            </w:sdtContent>
          </w:sdt>
        </w:tc>
        <w:tc>
          <w:tcPr>
            <w:tcW w:w="1386" w:type="dxa"/>
            <w:vAlign w:val="center"/>
          </w:tcPr>
          <w:sdt>
            <w:sdtPr>
              <w:tag w:val="_PLD_392420deb7e94f0a8026947a325da4f4"/>
              <w:id w:val="7190"/>
            </w:sdtPr>
            <w:sdtContent>
              <w:p>
                <w:pPr>
                  <w:jc w:val="center"/>
                  <w:rPr>
                    <w:szCs w:val="21"/>
                  </w:rPr>
                </w:pPr>
                <w:r>
                  <w:rPr>
                    <w:rFonts w:hint="eastAsia"/>
                    <w:szCs w:val="21"/>
                  </w:rPr>
                  <w:t>期初</w:t>
                </w:r>
              </w:p>
              <w:p>
                <w:pPr>
                  <w:jc w:val="center"/>
                  <w:rPr>
                    <w:szCs w:val="21"/>
                  </w:rPr>
                </w:pPr>
                <w:r>
                  <w:rPr>
                    <w:rFonts w:hint="eastAsia"/>
                    <w:szCs w:val="21"/>
                  </w:rPr>
                  <w:t>余额</w:t>
                </w:r>
              </w:p>
            </w:sdtContent>
          </w:sdt>
        </w:tc>
        <w:tc>
          <w:tcPr>
            <w:tcW w:w="1451" w:type="dxa"/>
            <w:vAlign w:val="center"/>
          </w:tcPr>
          <w:sdt>
            <w:sdtPr>
              <w:tag w:val="_PLD_de4faed3465b4da6b8ac35d7e677431c"/>
              <w:id w:val="7191"/>
            </w:sdtPr>
            <w:sdtContent>
              <w:p>
                <w:pPr>
                  <w:jc w:val="center"/>
                  <w:rPr>
                    <w:szCs w:val="21"/>
                  </w:rPr>
                </w:pPr>
                <w:r>
                  <w:rPr>
                    <w:rFonts w:hint="eastAsia"/>
                    <w:szCs w:val="21"/>
                  </w:rPr>
                  <w:t>本期增加金额</w:t>
                </w:r>
              </w:p>
            </w:sdtContent>
          </w:sdt>
        </w:tc>
        <w:tc>
          <w:tcPr>
            <w:tcW w:w="1407" w:type="dxa"/>
            <w:vAlign w:val="center"/>
          </w:tcPr>
          <w:sdt>
            <w:sdtPr>
              <w:tag w:val="_PLD_51ce4224316b4f4b99a8fb0c8e4500a5"/>
              <w:id w:val="7192"/>
            </w:sdtPr>
            <w:sdtContent>
              <w:p>
                <w:pPr>
                  <w:jc w:val="center"/>
                  <w:rPr>
                    <w:szCs w:val="21"/>
                  </w:rPr>
                </w:pPr>
                <w:r>
                  <w:rPr>
                    <w:rFonts w:hint="eastAsia"/>
                    <w:szCs w:val="21"/>
                  </w:rPr>
                  <w:t>本期转入固定资产金额</w:t>
                </w:r>
              </w:p>
            </w:sdtContent>
          </w:sdt>
        </w:tc>
        <w:tc>
          <w:tcPr>
            <w:tcW w:w="605" w:type="dxa"/>
            <w:vAlign w:val="center"/>
          </w:tcPr>
          <w:sdt>
            <w:sdtPr>
              <w:tag w:val="_PLD_d80ffbe10b944f57a31723041ffbcbdf"/>
              <w:id w:val="7193"/>
            </w:sdtPr>
            <w:sdtContent>
              <w:p>
                <w:pPr>
                  <w:jc w:val="center"/>
                  <w:rPr>
                    <w:szCs w:val="21"/>
                  </w:rPr>
                </w:pPr>
                <w:r>
                  <w:rPr>
                    <w:rFonts w:hint="eastAsia"/>
                    <w:szCs w:val="21"/>
                  </w:rPr>
                  <w:t>本期其他减少金额</w:t>
                </w:r>
              </w:p>
            </w:sdtContent>
          </w:sdt>
        </w:tc>
        <w:tc>
          <w:tcPr>
            <w:tcW w:w="1485" w:type="dxa"/>
            <w:vAlign w:val="center"/>
          </w:tcPr>
          <w:sdt>
            <w:sdtPr>
              <w:tag w:val="_PLD_c8b617c64ad64a03834695d9bc0b8d2f"/>
              <w:id w:val="7194"/>
            </w:sdtPr>
            <w:sdtContent>
              <w:p>
                <w:pPr>
                  <w:jc w:val="center"/>
                  <w:rPr>
                    <w:szCs w:val="21"/>
                  </w:rPr>
                </w:pPr>
                <w:r>
                  <w:rPr>
                    <w:rFonts w:hint="eastAsia"/>
                    <w:szCs w:val="21"/>
                  </w:rPr>
                  <w:t>期末</w:t>
                </w:r>
              </w:p>
              <w:p>
                <w:pPr>
                  <w:jc w:val="center"/>
                  <w:rPr>
                    <w:szCs w:val="21"/>
                  </w:rPr>
                </w:pPr>
                <w:r>
                  <w:rPr>
                    <w:rFonts w:hint="eastAsia"/>
                    <w:szCs w:val="21"/>
                  </w:rPr>
                  <w:t>余额</w:t>
                </w:r>
              </w:p>
            </w:sdtContent>
          </w:sdt>
        </w:tc>
        <w:tc>
          <w:tcPr>
            <w:tcW w:w="1020" w:type="dxa"/>
            <w:vAlign w:val="center"/>
          </w:tcPr>
          <w:sdt>
            <w:sdtPr>
              <w:tag w:val="_PLD_738551d97ef741f093f852402c423e47"/>
              <w:id w:val="7195"/>
            </w:sdtPr>
            <w:sdtContent>
              <w:p>
                <w:pPr>
                  <w:jc w:val="center"/>
                  <w:rPr>
                    <w:szCs w:val="21"/>
                  </w:rPr>
                </w:pPr>
                <w:r>
                  <w:rPr>
                    <w:rFonts w:hint="eastAsia"/>
                    <w:szCs w:val="21"/>
                  </w:rPr>
                  <w:t>工程累计投入占预算比例(%)</w:t>
                </w:r>
              </w:p>
            </w:sdtContent>
          </w:sdt>
        </w:tc>
        <w:tc>
          <w:tcPr>
            <w:tcW w:w="780" w:type="dxa"/>
            <w:vAlign w:val="center"/>
          </w:tcPr>
          <w:sdt>
            <w:sdtPr>
              <w:tag w:val="_PLD_0f7f749f98e74f33ae9032c17002d136"/>
              <w:id w:val="7196"/>
            </w:sdtPr>
            <w:sdtContent>
              <w:p>
                <w:pPr>
                  <w:jc w:val="center"/>
                  <w:rPr>
                    <w:szCs w:val="21"/>
                  </w:rPr>
                </w:pPr>
                <w:r>
                  <w:rPr>
                    <w:rFonts w:hint="eastAsia"/>
                    <w:szCs w:val="21"/>
                  </w:rPr>
                  <w:t>工程进度</w:t>
                </w:r>
              </w:p>
            </w:sdtContent>
          </w:sdt>
        </w:tc>
        <w:tc>
          <w:tcPr>
            <w:tcW w:w="810" w:type="dxa"/>
            <w:vAlign w:val="center"/>
          </w:tcPr>
          <w:sdt>
            <w:sdtPr>
              <w:tag w:val="_PLD_0b58d44121d2475586a13d1ce8eaed0a"/>
              <w:id w:val="7197"/>
            </w:sdtPr>
            <w:sdtContent>
              <w:p>
                <w:pPr>
                  <w:jc w:val="center"/>
                  <w:rPr>
                    <w:szCs w:val="21"/>
                  </w:rPr>
                </w:pPr>
                <w:r>
                  <w:rPr>
                    <w:rFonts w:hint="eastAsia"/>
                    <w:szCs w:val="21"/>
                  </w:rPr>
                  <w:t>利息资本化累计金额</w:t>
                </w:r>
              </w:p>
            </w:sdtContent>
          </w:sdt>
        </w:tc>
        <w:tc>
          <w:tcPr>
            <w:tcW w:w="795" w:type="dxa"/>
            <w:vAlign w:val="center"/>
          </w:tcPr>
          <w:sdt>
            <w:sdtPr>
              <w:tag w:val="_PLD_2250f692e957437687c2cafcae1d7f81"/>
              <w:id w:val="7198"/>
            </w:sdtPr>
            <w:sdtContent>
              <w:p>
                <w:pPr>
                  <w:jc w:val="center"/>
                  <w:rPr>
                    <w:szCs w:val="21"/>
                  </w:rPr>
                </w:pPr>
                <w:r>
                  <w:rPr>
                    <w:rFonts w:hint="eastAsia"/>
                    <w:szCs w:val="21"/>
                  </w:rPr>
                  <w:t>其中：本期利息资本化金额</w:t>
                </w:r>
              </w:p>
            </w:sdtContent>
          </w:sdt>
        </w:tc>
        <w:tc>
          <w:tcPr>
            <w:tcW w:w="876" w:type="dxa"/>
            <w:vAlign w:val="center"/>
          </w:tcPr>
          <w:sdt>
            <w:sdtPr>
              <w:tag w:val="_PLD_7a9834f354d948e19f071bbf4b5baafe"/>
              <w:id w:val="7199"/>
            </w:sdtPr>
            <w:sdtContent>
              <w:p>
                <w:pPr>
                  <w:jc w:val="center"/>
                  <w:rPr>
                    <w:szCs w:val="21"/>
                  </w:rPr>
                </w:pPr>
                <w:r>
                  <w:rPr>
                    <w:rFonts w:hint="eastAsia"/>
                    <w:szCs w:val="21"/>
                  </w:rPr>
                  <w:t>本期利息资本化率(%)</w:t>
                </w:r>
              </w:p>
            </w:sdtContent>
          </w:sdt>
        </w:tc>
        <w:tc>
          <w:tcPr>
            <w:tcW w:w="1058" w:type="dxa"/>
            <w:vAlign w:val="center"/>
          </w:tcPr>
          <w:sdt>
            <w:sdtPr>
              <w:tag w:val="_PLD_6015e39597424a7ea59d45da3ff56e99"/>
              <w:id w:val="7200"/>
            </w:sdtPr>
            <w:sdtContent>
              <w:p>
                <w:pPr>
                  <w:jc w:val="center"/>
                  <w:rPr>
                    <w:szCs w:val="21"/>
                  </w:rPr>
                </w:pPr>
                <w:r>
                  <w:rPr>
                    <w:rFonts w:hint="eastAsia"/>
                    <w:szCs w:val="21"/>
                  </w:rPr>
                  <w:t>资金来源</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14" w:type="dxa"/>
            <w:vAlign w:val="center"/>
          </w:tcPr>
          <w:p>
            <w:pPr>
              <w:rPr>
                <w:szCs w:val="21"/>
              </w:rPr>
            </w:pPr>
            <w:r>
              <w:rPr>
                <w:rFonts w:hint="eastAsia"/>
                <w:color w:val="auto"/>
                <w:szCs w:val="21"/>
              </w:rPr>
              <w:t>牙膏车间改造项目</w:t>
            </w:r>
          </w:p>
        </w:tc>
        <w:tc>
          <w:tcPr>
            <w:tcW w:w="1167" w:type="dxa"/>
            <w:vAlign w:val="center"/>
          </w:tcPr>
          <w:p>
            <w:pPr>
              <w:jc w:val="right"/>
              <w:rPr>
                <w:szCs w:val="21"/>
              </w:rPr>
            </w:pPr>
          </w:p>
        </w:tc>
        <w:tc>
          <w:tcPr>
            <w:tcW w:w="1386" w:type="dxa"/>
            <w:vAlign w:val="center"/>
          </w:tcPr>
          <w:p>
            <w:pPr>
              <w:jc w:val="right"/>
              <w:rPr>
                <w:szCs w:val="21"/>
              </w:rPr>
            </w:pPr>
            <w:r>
              <w:rPr>
                <w:rFonts w:hint="eastAsia"/>
                <w:color w:val="auto"/>
                <w:szCs w:val="21"/>
              </w:rPr>
              <w:t>5,325,319.85</w:t>
            </w:r>
          </w:p>
        </w:tc>
        <w:tc>
          <w:tcPr>
            <w:tcW w:w="1451" w:type="dxa"/>
            <w:vAlign w:val="center"/>
          </w:tcPr>
          <w:p>
            <w:pPr>
              <w:jc w:val="right"/>
              <w:rPr>
                <w:szCs w:val="21"/>
              </w:rPr>
            </w:pPr>
            <w:r>
              <w:rPr>
                <w:rFonts w:hint="eastAsia"/>
                <w:color w:val="auto"/>
                <w:szCs w:val="21"/>
              </w:rPr>
              <w:t>737,968.70</w:t>
            </w:r>
          </w:p>
        </w:tc>
        <w:tc>
          <w:tcPr>
            <w:tcW w:w="1407" w:type="dxa"/>
            <w:vAlign w:val="center"/>
          </w:tcPr>
          <w:p>
            <w:pPr>
              <w:jc w:val="right"/>
              <w:rPr>
                <w:szCs w:val="21"/>
              </w:rPr>
            </w:pPr>
            <w:r>
              <w:rPr>
                <w:rFonts w:hint="eastAsia"/>
                <w:color w:val="auto"/>
                <w:szCs w:val="21"/>
              </w:rPr>
              <w:t>6,063,288.55</w:t>
            </w:r>
          </w:p>
        </w:tc>
        <w:tc>
          <w:tcPr>
            <w:tcW w:w="605" w:type="dxa"/>
            <w:vAlign w:val="center"/>
          </w:tcPr>
          <w:p>
            <w:pPr>
              <w:jc w:val="right"/>
              <w:rPr>
                <w:szCs w:val="21"/>
              </w:rPr>
            </w:pPr>
            <w:r>
              <w:rPr>
                <w:rFonts w:hint="eastAsia"/>
                <w:color w:val="auto"/>
                <w:szCs w:val="21"/>
              </w:rPr>
              <w:t>　</w:t>
            </w:r>
          </w:p>
        </w:tc>
        <w:tc>
          <w:tcPr>
            <w:tcW w:w="1485" w:type="dxa"/>
            <w:vAlign w:val="center"/>
          </w:tcPr>
          <w:p>
            <w:pPr>
              <w:jc w:val="right"/>
              <w:rPr>
                <w:szCs w:val="21"/>
              </w:rPr>
            </w:pPr>
            <w:r>
              <w:rPr>
                <w:rFonts w:hint="eastAsia"/>
                <w:color w:val="auto"/>
                <w:szCs w:val="21"/>
              </w:rPr>
              <w:t>　</w:t>
            </w:r>
          </w:p>
        </w:tc>
        <w:tc>
          <w:tcPr>
            <w:tcW w:w="1020" w:type="dxa"/>
            <w:vAlign w:val="center"/>
          </w:tcPr>
          <w:p>
            <w:pPr>
              <w:jc w:val="right"/>
              <w:rPr>
                <w:szCs w:val="21"/>
              </w:rPr>
            </w:pPr>
          </w:p>
        </w:tc>
        <w:tc>
          <w:tcPr>
            <w:tcW w:w="780" w:type="dxa"/>
            <w:vAlign w:val="center"/>
          </w:tcPr>
          <w:p>
            <w:pPr>
              <w:rPr>
                <w:szCs w:val="21"/>
              </w:rPr>
            </w:pPr>
          </w:p>
        </w:tc>
        <w:tc>
          <w:tcPr>
            <w:tcW w:w="810" w:type="dxa"/>
            <w:vAlign w:val="center"/>
          </w:tcPr>
          <w:p>
            <w:pPr>
              <w:jc w:val="right"/>
              <w:rPr>
                <w:szCs w:val="21"/>
              </w:rPr>
            </w:pPr>
          </w:p>
        </w:tc>
        <w:tc>
          <w:tcPr>
            <w:tcW w:w="795" w:type="dxa"/>
            <w:vAlign w:val="center"/>
          </w:tcPr>
          <w:p>
            <w:pPr>
              <w:jc w:val="right"/>
              <w:rPr>
                <w:szCs w:val="21"/>
              </w:rPr>
            </w:pPr>
          </w:p>
        </w:tc>
        <w:tc>
          <w:tcPr>
            <w:tcW w:w="876" w:type="dxa"/>
            <w:vAlign w:val="center"/>
          </w:tcPr>
          <w:p>
            <w:pPr>
              <w:jc w:val="right"/>
              <w:rPr>
                <w:szCs w:val="21"/>
              </w:rPr>
            </w:pPr>
          </w:p>
        </w:tc>
        <w:tc>
          <w:tcPr>
            <w:tcW w:w="1058" w:type="dxa"/>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14" w:type="dxa"/>
            <w:vAlign w:val="center"/>
          </w:tcPr>
          <w:p>
            <w:pPr>
              <w:rPr>
                <w:szCs w:val="21"/>
              </w:rPr>
            </w:pPr>
            <w:r>
              <w:rPr>
                <w:rFonts w:hint="eastAsia"/>
                <w:color w:val="auto"/>
                <w:szCs w:val="21"/>
              </w:rPr>
              <w:t>两面针中草药功能性口腔护理产品生产基地</w:t>
            </w:r>
          </w:p>
        </w:tc>
        <w:tc>
          <w:tcPr>
            <w:tcW w:w="1167" w:type="dxa"/>
            <w:vAlign w:val="center"/>
          </w:tcPr>
          <w:p>
            <w:pPr>
              <w:jc w:val="right"/>
              <w:rPr>
                <w:szCs w:val="21"/>
              </w:rPr>
            </w:pPr>
            <w:r>
              <w:rPr>
                <w:rFonts w:hint="eastAsia"/>
                <w:color w:val="auto"/>
              </w:rPr>
              <w:t>43,490,000</w:t>
            </w:r>
          </w:p>
        </w:tc>
        <w:tc>
          <w:tcPr>
            <w:tcW w:w="1386" w:type="dxa"/>
            <w:vAlign w:val="center"/>
          </w:tcPr>
          <w:p>
            <w:pPr>
              <w:jc w:val="right"/>
              <w:rPr>
                <w:szCs w:val="21"/>
              </w:rPr>
            </w:pPr>
            <w:r>
              <w:rPr>
                <w:rFonts w:hint="eastAsia"/>
                <w:color w:val="auto"/>
                <w:szCs w:val="21"/>
              </w:rPr>
              <w:t>　</w:t>
            </w:r>
          </w:p>
        </w:tc>
        <w:tc>
          <w:tcPr>
            <w:tcW w:w="1451" w:type="dxa"/>
            <w:vAlign w:val="center"/>
          </w:tcPr>
          <w:p>
            <w:pPr>
              <w:jc w:val="right"/>
              <w:rPr>
                <w:szCs w:val="21"/>
              </w:rPr>
            </w:pPr>
            <w:r>
              <w:rPr>
                <w:rFonts w:hint="eastAsia"/>
                <w:color w:val="auto"/>
                <w:szCs w:val="21"/>
              </w:rPr>
              <w:t>16,516,687.73</w:t>
            </w:r>
          </w:p>
        </w:tc>
        <w:tc>
          <w:tcPr>
            <w:tcW w:w="1407" w:type="dxa"/>
            <w:vAlign w:val="center"/>
          </w:tcPr>
          <w:p>
            <w:pPr>
              <w:jc w:val="right"/>
              <w:rPr>
                <w:szCs w:val="21"/>
              </w:rPr>
            </w:pPr>
            <w:r>
              <w:rPr>
                <w:rFonts w:hint="eastAsia"/>
                <w:color w:val="auto"/>
                <w:szCs w:val="21"/>
              </w:rPr>
              <w:t>　</w:t>
            </w:r>
          </w:p>
        </w:tc>
        <w:tc>
          <w:tcPr>
            <w:tcW w:w="605" w:type="dxa"/>
            <w:vAlign w:val="center"/>
          </w:tcPr>
          <w:p>
            <w:pPr>
              <w:jc w:val="right"/>
              <w:rPr>
                <w:szCs w:val="21"/>
              </w:rPr>
            </w:pPr>
            <w:r>
              <w:rPr>
                <w:rFonts w:hint="eastAsia"/>
                <w:color w:val="auto"/>
                <w:szCs w:val="21"/>
              </w:rPr>
              <w:t>　</w:t>
            </w:r>
          </w:p>
        </w:tc>
        <w:tc>
          <w:tcPr>
            <w:tcW w:w="1485" w:type="dxa"/>
            <w:vAlign w:val="center"/>
          </w:tcPr>
          <w:p>
            <w:pPr>
              <w:jc w:val="right"/>
              <w:rPr>
                <w:szCs w:val="21"/>
              </w:rPr>
            </w:pPr>
            <w:r>
              <w:rPr>
                <w:rFonts w:hint="eastAsia"/>
                <w:color w:val="auto"/>
                <w:szCs w:val="21"/>
              </w:rPr>
              <w:t>16,516,687.73</w:t>
            </w:r>
          </w:p>
        </w:tc>
        <w:tc>
          <w:tcPr>
            <w:tcW w:w="1020" w:type="dxa"/>
            <w:vAlign w:val="center"/>
          </w:tcPr>
          <w:p>
            <w:pPr>
              <w:jc w:val="right"/>
              <w:rPr>
                <w:szCs w:val="21"/>
              </w:rPr>
            </w:pPr>
            <w:r>
              <w:rPr>
                <w:rFonts w:hint="eastAsia"/>
                <w:color w:val="auto"/>
                <w:szCs w:val="21"/>
              </w:rPr>
              <w:t>37.98</w:t>
            </w:r>
          </w:p>
        </w:tc>
        <w:tc>
          <w:tcPr>
            <w:tcW w:w="780" w:type="dxa"/>
            <w:vAlign w:val="center"/>
          </w:tcPr>
          <w:p>
            <w:pPr>
              <w:rPr>
                <w:szCs w:val="21"/>
              </w:rPr>
            </w:pPr>
            <w:r>
              <w:rPr>
                <w:rFonts w:hint="eastAsia"/>
                <w:color w:val="auto"/>
                <w:szCs w:val="21"/>
                <w:lang w:val="en-US" w:eastAsia="zh-CN"/>
              </w:rPr>
              <w:t>55</w:t>
            </w:r>
            <w:r>
              <w:rPr>
                <w:rFonts w:hint="eastAsia"/>
                <w:color w:val="auto"/>
                <w:szCs w:val="21"/>
              </w:rPr>
              <w:t>.00</w:t>
            </w:r>
          </w:p>
        </w:tc>
        <w:tc>
          <w:tcPr>
            <w:tcW w:w="810" w:type="dxa"/>
            <w:vAlign w:val="center"/>
          </w:tcPr>
          <w:p>
            <w:pPr>
              <w:jc w:val="right"/>
              <w:rPr>
                <w:szCs w:val="21"/>
              </w:rPr>
            </w:pPr>
          </w:p>
        </w:tc>
        <w:tc>
          <w:tcPr>
            <w:tcW w:w="795" w:type="dxa"/>
            <w:vAlign w:val="center"/>
          </w:tcPr>
          <w:p>
            <w:pPr>
              <w:jc w:val="right"/>
              <w:rPr>
                <w:szCs w:val="21"/>
              </w:rPr>
            </w:pPr>
          </w:p>
        </w:tc>
        <w:tc>
          <w:tcPr>
            <w:tcW w:w="876" w:type="dxa"/>
            <w:vAlign w:val="center"/>
          </w:tcPr>
          <w:p>
            <w:pPr>
              <w:jc w:val="right"/>
              <w:rPr>
                <w:szCs w:val="21"/>
              </w:rPr>
            </w:pPr>
          </w:p>
        </w:tc>
        <w:tc>
          <w:tcPr>
            <w:tcW w:w="1058" w:type="dxa"/>
            <w:vAlign w:val="center"/>
          </w:tcPr>
          <w:p>
            <w:pPr>
              <w:rPr>
                <w:szCs w:val="21"/>
              </w:rPr>
            </w:pPr>
            <w:r>
              <w:rPr>
                <w:rFonts w:hint="eastAsia"/>
                <w:color w:val="auto"/>
                <w:szCs w:val="21"/>
              </w:rPr>
              <w:t>自有资金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14" w:type="dxa"/>
            <w:vAlign w:val="center"/>
          </w:tcPr>
          <w:p>
            <w:pPr>
              <w:rPr>
                <w:szCs w:val="21"/>
              </w:rPr>
            </w:pPr>
            <w:r>
              <w:rPr>
                <w:rFonts w:hint="eastAsia"/>
                <w:color w:val="auto"/>
                <w:szCs w:val="21"/>
              </w:rPr>
              <w:t>洗化车间扩建项目</w:t>
            </w:r>
          </w:p>
        </w:tc>
        <w:tc>
          <w:tcPr>
            <w:tcW w:w="1167" w:type="dxa"/>
            <w:vAlign w:val="center"/>
          </w:tcPr>
          <w:p>
            <w:pPr>
              <w:jc w:val="right"/>
              <w:rPr>
                <w:szCs w:val="21"/>
              </w:rPr>
            </w:pPr>
            <w:r>
              <w:rPr>
                <w:rFonts w:hint="eastAsia"/>
                <w:color w:val="auto"/>
              </w:rPr>
              <w:t>3,260,000</w:t>
            </w:r>
          </w:p>
        </w:tc>
        <w:tc>
          <w:tcPr>
            <w:tcW w:w="1386" w:type="dxa"/>
            <w:vAlign w:val="center"/>
          </w:tcPr>
          <w:p>
            <w:pPr>
              <w:jc w:val="right"/>
              <w:rPr>
                <w:szCs w:val="21"/>
              </w:rPr>
            </w:pPr>
          </w:p>
        </w:tc>
        <w:tc>
          <w:tcPr>
            <w:tcW w:w="1451" w:type="dxa"/>
            <w:vAlign w:val="center"/>
          </w:tcPr>
          <w:p>
            <w:pPr>
              <w:jc w:val="right"/>
              <w:rPr>
                <w:szCs w:val="21"/>
              </w:rPr>
            </w:pPr>
            <w:r>
              <w:rPr>
                <w:rFonts w:hint="eastAsia"/>
                <w:color w:val="auto"/>
                <w:szCs w:val="21"/>
              </w:rPr>
              <w:t>3,026,770.12</w:t>
            </w:r>
          </w:p>
        </w:tc>
        <w:tc>
          <w:tcPr>
            <w:tcW w:w="1407" w:type="dxa"/>
            <w:vAlign w:val="center"/>
          </w:tcPr>
          <w:p>
            <w:pPr>
              <w:jc w:val="right"/>
              <w:rPr>
                <w:szCs w:val="21"/>
              </w:rPr>
            </w:pPr>
            <w:r>
              <w:rPr>
                <w:rFonts w:hint="eastAsia"/>
                <w:color w:val="auto"/>
                <w:szCs w:val="21"/>
              </w:rPr>
              <w:t>　</w:t>
            </w:r>
          </w:p>
        </w:tc>
        <w:tc>
          <w:tcPr>
            <w:tcW w:w="605" w:type="dxa"/>
            <w:vAlign w:val="center"/>
          </w:tcPr>
          <w:p>
            <w:pPr>
              <w:jc w:val="right"/>
              <w:rPr>
                <w:szCs w:val="21"/>
              </w:rPr>
            </w:pPr>
            <w:r>
              <w:rPr>
                <w:rFonts w:hint="eastAsia"/>
                <w:color w:val="auto"/>
                <w:szCs w:val="21"/>
              </w:rPr>
              <w:t>　</w:t>
            </w:r>
          </w:p>
        </w:tc>
        <w:tc>
          <w:tcPr>
            <w:tcW w:w="1485" w:type="dxa"/>
            <w:vAlign w:val="center"/>
          </w:tcPr>
          <w:p>
            <w:pPr>
              <w:jc w:val="right"/>
              <w:rPr>
                <w:szCs w:val="21"/>
              </w:rPr>
            </w:pPr>
            <w:r>
              <w:rPr>
                <w:rFonts w:hint="eastAsia"/>
                <w:color w:val="auto"/>
                <w:szCs w:val="21"/>
              </w:rPr>
              <w:t>3,026,770.12</w:t>
            </w:r>
          </w:p>
        </w:tc>
        <w:tc>
          <w:tcPr>
            <w:tcW w:w="1020" w:type="dxa"/>
            <w:vAlign w:val="center"/>
          </w:tcPr>
          <w:p>
            <w:pPr>
              <w:jc w:val="right"/>
              <w:rPr>
                <w:szCs w:val="21"/>
              </w:rPr>
            </w:pPr>
            <w:r>
              <w:rPr>
                <w:rFonts w:hint="eastAsia"/>
                <w:color w:val="auto"/>
                <w:szCs w:val="21"/>
              </w:rPr>
              <w:t>92.85</w:t>
            </w:r>
          </w:p>
        </w:tc>
        <w:tc>
          <w:tcPr>
            <w:tcW w:w="780" w:type="dxa"/>
            <w:vAlign w:val="center"/>
          </w:tcPr>
          <w:p>
            <w:pPr>
              <w:rPr>
                <w:szCs w:val="21"/>
              </w:rPr>
            </w:pPr>
            <w:r>
              <w:rPr>
                <w:rFonts w:hint="eastAsia"/>
                <w:color w:val="auto"/>
                <w:szCs w:val="21"/>
              </w:rPr>
              <w:t>85.00</w:t>
            </w:r>
          </w:p>
        </w:tc>
        <w:tc>
          <w:tcPr>
            <w:tcW w:w="810" w:type="dxa"/>
            <w:vAlign w:val="center"/>
          </w:tcPr>
          <w:p>
            <w:pPr>
              <w:jc w:val="right"/>
              <w:rPr>
                <w:szCs w:val="21"/>
              </w:rPr>
            </w:pPr>
          </w:p>
        </w:tc>
        <w:tc>
          <w:tcPr>
            <w:tcW w:w="795" w:type="dxa"/>
            <w:vAlign w:val="center"/>
          </w:tcPr>
          <w:p>
            <w:pPr>
              <w:jc w:val="right"/>
              <w:rPr>
                <w:szCs w:val="21"/>
              </w:rPr>
            </w:pPr>
          </w:p>
        </w:tc>
        <w:tc>
          <w:tcPr>
            <w:tcW w:w="876" w:type="dxa"/>
            <w:vAlign w:val="center"/>
          </w:tcPr>
          <w:p>
            <w:pPr>
              <w:jc w:val="right"/>
              <w:rPr>
                <w:szCs w:val="21"/>
              </w:rPr>
            </w:pPr>
          </w:p>
        </w:tc>
        <w:tc>
          <w:tcPr>
            <w:tcW w:w="1058" w:type="dxa"/>
            <w:vAlign w:val="center"/>
          </w:tcPr>
          <w:p>
            <w:pPr>
              <w:rPr>
                <w:szCs w:val="21"/>
              </w:rPr>
            </w:pPr>
            <w:r>
              <w:rPr>
                <w:rFonts w:hint="eastAsia"/>
                <w:color w:val="auto"/>
                <w:szCs w:val="21"/>
              </w:rPr>
              <w:t>自有资金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14" w:type="dxa"/>
            <w:vAlign w:val="center"/>
          </w:tcPr>
          <w:p>
            <w:pPr>
              <w:rPr>
                <w:szCs w:val="21"/>
              </w:rPr>
            </w:pPr>
            <w:r>
              <w:rPr>
                <w:rFonts w:hint="eastAsia"/>
                <w:color w:val="auto"/>
                <w:szCs w:val="21"/>
              </w:rPr>
              <w:t>洗涤车间改造项目</w:t>
            </w:r>
          </w:p>
        </w:tc>
        <w:tc>
          <w:tcPr>
            <w:tcW w:w="1167" w:type="dxa"/>
            <w:vAlign w:val="center"/>
          </w:tcPr>
          <w:p>
            <w:pPr>
              <w:jc w:val="right"/>
              <w:rPr>
                <w:szCs w:val="21"/>
              </w:rPr>
            </w:pPr>
          </w:p>
        </w:tc>
        <w:tc>
          <w:tcPr>
            <w:tcW w:w="1386" w:type="dxa"/>
            <w:vAlign w:val="center"/>
          </w:tcPr>
          <w:p>
            <w:pPr>
              <w:jc w:val="right"/>
              <w:rPr>
                <w:szCs w:val="21"/>
              </w:rPr>
            </w:pPr>
            <w:r>
              <w:rPr>
                <w:rFonts w:hint="eastAsia"/>
                <w:color w:val="auto"/>
                <w:szCs w:val="21"/>
              </w:rPr>
              <w:t>1,167,759.98</w:t>
            </w:r>
          </w:p>
        </w:tc>
        <w:tc>
          <w:tcPr>
            <w:tcW w:w="1451" w:type="dxa"/>
            <w:vAlign w:val="center"/>
          </w:tcPr>
          <w:p>
            <w:pPr>
              <w:jc w:val="right"/>
              <w:rPr>
                <w:szCs w:val="21"/>
              </w:rPr>
            </w:pPr>
            <w:r>
              <w:rPr>
                <w:rFonts w:hint="eastAsia"/>
                <w:color w:val="auto"/>
                <w:szCs w:val="21"/>
              </w:rPr>
              <w:t>　</w:t>
            </w:r>
          </w:p>
        </w:tc>
        <w:tc>
          <w:tcPr>
            <w:tcW w:w="1407" w:type="dxa"/>
            <w:vAlign w:val="center"/>
          </w:tcPr>
          <w:p>
            <w:pPr>
              <w:jc w:val="right"/>
              <w:rPr>
                <w:szCs w:val="21"/>
              </w:rPr>
            </w:pPr>
            <w:r>
              <w:rPr>
                <w:rFonts w:hint="eastAsia"/>
                <w:color w:val="auto"/>
                <w:szCs w:val="21"/>
              </w:rPr>
              <w:t>1,167,759.98</w:t>
            </w:r>
          </w:p>
        </w:tc>
        <w:tc>
          <w:tcPr>
            <w:tcW w:w="605" w:type="dxa"/>
            <w:vAlign w:val="center"/>
          </w:tcPr>
          <w:p>
            <w:pPr>
              <w:jc w:val="right"/>
              <w:rPr>
                <w:szCs w:val="21"/>
              </w:rPr>
            </w:pPr>
          </w:p>
        </w:tc>
        <w:tc>
          <w:tcPr>
            <w:tcW w:w="1485" w:type="dxa"/>
            <w:vAlign w:val="center"/>
          </w:tcPr>
          <w:p>
            <w:pPr>
              <w:jc w:val="right"/>
              <w:rPr>
                <w:szCs w:val="21"/>
              </w:rPr>
            </w:pPr>
          </w:p>
        </w:tc>
        <w:tc>
          <w:tcPr>
            <w:tcW w:w="1020" w:type="dxa"/>
            <w:vAlign w:val="center"/>
          </w:tcPr>
          <w:p>
            <w:pPr>
              <w:jc w:val="right"/>
              <w:rPr>
                <w:szCs w:val="21"/>
              </w:rPr>
            </w:pPr>
          </w:p>
        </w:tc>
        <w:tc>
          <w:tcPr>
            <w:tcW w:w="780" w:type="dxa"/>
            <w:vAlign w:val="center"/>
          </w:tcPr>
          <w:p>
            <w:pPr>
              <w:rPr>
                <w:szCs w:val="21"/>
              </w:rPr>
            </w:pPr>
          </w:p>
        </w:tc>
        <w:tc>
          <w:tcPr>
            <w:tcW w:w="810" w:type="dxa"/>
            <w:vAlign w:val="center"/>
          </w:tcPr>
          <w:p>
            <w:pPr>
              <w:jc w:val="right"/>
              <w:rPr>
                <w:szCs w:val="21"/>
              </w:rPr>
            </w:pPr>
          </w:p>
        </w:tc>
        <w:tc>
          <w:tcPr>
            <w:tcW w:w="795" w:type="dxa"/>
            <w:vAlign w:val="center"/>
          </w:tcPr>
          <w:p>
            <w:pPr>
              <w:jc w:val="right"/>
              <w:rPr>
                <w:szCs w:val="21"/>
              </w:rPr>
            </w:pPr>
          </w:p>
        </w:tc>
        <w:tc>
          <w:tcPr>
            <w:tcW w:w="876" w:type="dxa"/>
            <w:vAlign w:val="center"/>
          </w:tcPr>
          <w:p>
            <w:pPr>
              <w:jc w:val="right"/>
              <w:rPr>
                <w:szCs w:val="21"/>
              </w:rPr>
            </w:pPr>
          </w:p>
        </w:tc>
        <w:tc>
          <w:tcPr>
            <w:tcW w:w="1058" w:type="dxa"/>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14" w:type="dxa"/>
            <w:vAlign w:val="center"/>
          </w:tcPr>
          <w:p>
            <w:pPr>
              <w:rPr>
                <w:szCs w:val="21"/>
              </w:rPr>
            </w:pPr>
            <w:r>
              <w:rPr>
                <w:rFonts w:hint="eastAsia"/>
                <w:color w:val="auto"/>
                <w:szCs w:val="21"/>
              </w:rPr>
              <w:t>牙膏制膏机及辅机</w:t>
            </w:r>
          </w:p>
        </w:tc>
        <w:tc>
          <w:tcPr>
            <w:tcW w:w="1167" w:type="dxa"/>
            <w:vAlign w:val="center"/>
          </w:tcPr>
          <w:p>
            <w:pPr>
              <w:jc w:val="right"/>
              <w:rPr>
                <w:szCs w:val="21"/>
              </w:rPr>
            </w:pPr>
            <w:r>
              <w:rPr>
                <w:rFonts w:hint="eastAsia"/>
                <w:color w:val="auto"/>
              </w:rPr>
              <w:t>4,190,000</w:t>
            </w:r>
          </w:p>
        </w:tc>
        <w:tc>
          <w:tcPr>
            <w:tcW w:w="1386" w:type="dxa"/>
            <w:vAlign w:val="center"/>
          </w:tcPr>
          <w:p>
            <w:pPr>
              <w:jc w:val="right"/>
              <w:rPr>
                <w:szCs w:val="21"/>
              </w:rPr>
            </w:pPr>
            <w:r>
              <w:rPr>
                <w:rFonts w:hint="eastAsia"/>
                <w:color w:val="auto"/>
                <w:szCs w:val="21"/>
              </w:rPr>
              <w:t>　</w:t>
            </w:r>
          </w:p>
        </w:tc>
        <w:tc>
          <w:tcPr>
            <w:tcW w:w="1451" w:type="dxa"/>
            <w:vAlign w:val="center"/>
          </w:tcPr>
          <w:p>
            <w:pPr>
              <w:jc w:val="right"/>
              <w:rPr>
                <w:szCs w:val="21"/>
              </w:rPr>
            </w:pPr>
            <w:r>
              <w:rPr>
                <w:rFonts w:hint="eastAsia"/>
                <w:color w:val="auto"/>
                <w:szCs w:val="21"/>
              </w:rPr>
              <w:t>1,915,929.22</w:t>
            </w:r>
          </w:p>
        </w:tc>
        <w:tc>
          <w:tcPr>
            <w:tcW w:w="1407" w:type="dxa"/>
            <w:vAlign w:val="center"/>
          </w:tcPr>
          <w:p>
            <w:pPr>
              <w:jc w:val="right"/>
              <w:rPr>
                <w:szCs w:val="21"/>
              </w:rPr>
            </w:pPr>
            <w:r>
              <w:rPr>
                <w:rFonts w:hint="eastAsia"/>
                <w:color w:val="auto"/>
                <w:szCs w:val="21"/>
              </w:rPr>
              <w:t>　</w:t>
            </w:r>
          </w:p>
        </w:tc>
        <w:tc>
          <w:tcPr>
            <w:tcW w:w="605" w:type="dxa"/>
            <w:vAlign w:val="center"/>
          </w:tcPr>
          <w:p>
            <w:pPr>
              <w:jc w:val="right"/>
              <w:rPr>
                <w:szCs w:val="21"/>
              </w:rPr>
            </w:pPr>
            <w:r>
              <w:rPr>
                <w:rFonts w:hint="eastAsia"/>
                <w:color w:val="auto"/>
                <w:szCs w:val="21"/>
              </w:rPr>
              <w:t>　</w:t>
            </w:r>
          </w:p>
        </w:tc>
        <w:tc>
          <w:tcPr>
            <w:tcW w:w="1485" w:type="dxa"/>
            <w:vAlign w:val="center"/>
          </w:tcPr>
          <w:p>
            <w:pPr>
              <w:jc w:val="right"/>
              <w:rPr>
                <w:szCs w:val="21"/>
              </w:rPr>
            </w:pPr>
            <w:r>
              <w:rPr>
                <w:rFonts w:hint="eastAsia"/>
                <w:color w:val="auto"/>
                <w:szCs w:val="21"/>
              </w:rPr>
              <w:t>1,915,929.22</w:t>
            </w:r>
          </w:p>
        </w:tc>
        <w:tc>
          <w:tcPr>
            <w:tcW w:w="1020" w:type="dxa"/>
            <w:vAlign w:val="center"/>
          </w:tcPr>
          <w:p>
            <w:pPr>
              <w:jc w:val="right"/>
              <w:rPr>
                <w:szCs w:val="21"/>
              </w:rPr>
            </w:pPr>
            <w:r>
              <w:rPr>
                <w:rFonts w:hint="eastAsia"/>
                <w:color w:val="auto"/>
                <w:szCs w:val="21"/>
              </w:rPr>
              <w:t>45.73</w:t>
            </w:r>
          </w:p>
        </w:tc>
        <w:tc>
          <w:tcPr>
            <w:tcW w:w="780" w:type="dxa"/>
            <w:vAlign w:val="center"/>
          </w:tcPr>
          <w:p>
            <w:pPr>
              <w:rPr>
                <w:szCs w:val="21"/>
              </w:rPr>
            </w:pPr>
            <w:r>
              <w:rPr>
                <w:rFonts w:hint="eastAsia"/>
                <w:color w:val="auto"/>
                <w:szCs w:val="21"/>
                <w:lang w:val="en-US" w:eastAsia="zh-CN"/>
              </w:rPr>
              <w:t>50</w:t>
            </w:r>
            <w:r>
              <w:rPr>
                <w:rFonts w:hint="eastAsia"/>
                <w:color w:val="auto"/>
                <w:szCs w:val="21"/>
              </w:rPr>
              <w:t>.00</w:t>
            </w:r>
          </w:p>
        </w:tc>
        <w:tc>
          <w:tcPr>
            <w:tcW w:w="810" w:type="dxa"/>
            <w:vAlign w:val="center"/>
          </w:tcPr>
          <w:p>
            <w:pPr>
              <w:jc w:val="right"/>
              <w:rPr>
                <w:szCs w:val="21"/>
              </w:rPr>
            </w:pPr>
          </w:p>
        </w:tc>
        <w:tc>
          <w:tcPr>
            <w:tcW w:w="795" w:type="dxa"/>
            <w:vAlign w:val="center"/>
          </w:tcPr>
          <w:p>
            <w:pPr>
              <w:jc w:val="right"/>
              <w:rPr>
                <w:szCs w:val="21"/>
              </w:rPr>
            </w:pPr>
          </w:p>
        </w:tc>
        <w:tc>
          <w:tcPr>
            <w:tcW w:w="876" w:type="dxa"/>
            <w:vAlign w:val="center"/>
          </w:tcPr>
          <w:p>
            <w:pPr>
              <w:jc w:val="right"/>
              <w:rPr>
                <w:szCs w:val="21"/>
              </w:rPr>
            </w:pPr>
          </w:p>
        </w:tc>
        <w:tc>
          <w:tcPr>
            <w:tcW w:w="1058" w:type="dxa"/>
            <w:vAlign w:val="center"/>
          </w:tcPr>
          <w:p>
            <w:pPr>
              <w:rPr>
                <w:szCs w:val="21"/>
              </w:rPr>
            </w:pPr>
            <w:r>
              <w:rPr>
                <w:rFonts w:hint="eastAsia"/>
                <w:color w:val="auto"/>
                <w:szCs w:val="21"/>
              </w:rPr>
              <w:t>自有资金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14" w:type="dxa"/>
            <w:vAlign w:val="center"/>
          </w:tcPr>
          <w:p>
            <w:pPr>
              <w:rPr>
                <w:szCs w:val="21"/>
              </w:rPr>
            </w:pPr>
            <w:r>
              <w:rPr>
                <w:rFonts w:hint="eastAsia"/>
                <w:color w:val="auto"/>
                <w:szCs w:val="21"/>
              </w:rPr>
              <w:t>模具</w:t>
            </w:r>
          </w:p>
        </w:tc>
        <w:tc>
          <w:tcPr>
            <w:tcW w:w="1167" w:type="dxa"/>
            <w:vAlign w:val="center"/>
          </w:tcPr>
          <w:p>
            <w:pPr>
              <w:jc w:val="right"/>
              <w:rPr>
                <w:szCs w:val="21"/>
              </w:rPr>
            </w:pPr>
          </w:p>
        </w:tc>
        <w:tc>
          <w:tcPr>
            <w:tcW w:w="1386" w:type="dxa"/>
            <w:vAlign w:val="center"/>
          </w:tcPr>
          <w:p>
            <w:pPr>
              <w:jc w:val="right"/>
              <w:rPr>
                <w:szCs w:val="21"/>
              </w:rPr>
            </w:pPr>
            <w:r>
              <w:rPr>
                <w:rFonts w:hint="eastAsia"/>
                <w:color w:val="auto"/>
                <w:szCs w:val="21"/>
              </w:rPr>
              <w:t>1,109,075.21</w:t>
            </w:r>
          </w:p>
        </w:tc>
        <w:tc>
          <w:tcPr>
            <w:tcW w:w="1451" w:type="dxa"/>
            <w:vAlign w:val="center"/>
          </w:tcPr>
          <w:p>
            <w:pPr>
              <w:jc w:val="right"/>
              <w:rPr>
                <w:szCs w:val="21"/>
              </w:rPr>
            </w:pPr>
            <w:r>
              <w:rPr>
                <w:rFonts w:hint="eastAsia"/>
                <w:color w:val="auto"/>
                <w:szCs w:val="21"/>
              </w:rPr>
              <w:t>390,602.92</w:t>
            </w:r>
          </w:p>
        </w:tc>
        <w:tc>
          <w:tcPr>
            <w:tcW w:w="1407" w:type="dxa"/>
            <w:vAlign w:val="center"/>
          </w:tcPr>
          <w:p>
            <w:pPr>
              <w:jc w:val="right"/>
              <w:rPr>
                <w:szCs w:val="21"/>
              </w:rPr>
            </w:pPr>
            <w:r>
              <w:rPr>
                <w:rFonts w:hint="eastAsia"/>
                <w:color w:val="auto"/>
                <w:szCs w:val="21"/>
              </w:rPr>
              <w:t>919,121.87</w:t>
            </w:r>
          </w:p>
        </w:tc>
        <w:tc>
          <w:tcPr>
            <w:tcW w:w="605" w:type="dxa"/>
            <w:vAlign w:val="center"/>
          </w:tcPr>
          <w:p>
            <w:pPr>
              <w:jc w:val="right"/>
              <w:rPr>
                <w:szCs w:val="21"/>
              </w:rPr>
            </w:pPr>
            <w:r>
              <w:rPr>
                <w:rFonts w:hint="eastAsia"/>
                <w:color w:val="auto"/>
                <w:szCs w:val="21"/>
              </w:rPr>
              <w:t>　</w:t>
            </w:r>
          </w:p>
        </w:tc>
        <w:tc>
          <w:tcPr>
            <w:tcW w:w="1485" w:type="dxa"/>
            <w:vAlign w:val="center"/>
          </w:tcPr>
          <w:p>
            <w:pPr>
              <w:jc w:val="right"/>
              <w:rPr>
                <w:szCs w:val="21"/>
              </w:rPr>
            </w:pPr>
            <w:r>
              <w:rPr>
                <w:rFonts w:hint="eastAsia"/>
                <w:color w:val="auto"/>
                <w:szCs w:val="21"/>
              </w:rPr>
              <w:t>580,556.26</w:t>
            </w:r>
          </w:p>
        </w:tc>
        <w:tc>
          <w:tcPr>
            <w:tcW w:w="1020" w:type="dxa"/>
            <w:vAlign w:val="center"/>
          </w:tcPr>
          <w:p>
            <w:pPr>
              <w:jc w:val="right"/>
              <w:rPr>
                <w:szCs w:val="21"/>
              </w:rPr>
            </w:pPr>
          </w:p>
        </w:tc>
        <w:tc>
          <w:tcPr>
            <w:tcW w:w="780" w:type="dxa"/>
            <w:vAlign w:val="center"/>
          </w:tcPr>
          <w:p>
            <w:pPr>
              <w:rPr>
                <w:szCs w:val="21"/>
              </w:rPr>
            </w:pPr>
          </w:p>
        </w:tc>
        <w:tc>
          <w:tcPr>
            <w:tcW w:w="810" w:type="dxa"/>
            <w:vAlign w:val="center"/>
          </w:tcPr>
          <w:p>
            <w:pPr>
              <w:jc w:val="right"/>
              <w:rPr>
                <w:szCs w:val="21"/>
              </w:rPr>
            </w:pPr>
          </w:p>
        </w:tc>
        <w:tc>
          <w:tcPr>
            <w:tcW w:w="795" w:type="dxa"/>
            <w:vAlign w:val="center"/>
          </w:tcPr>
          <w:p>
            <w:pPr>
              <w:jc w:val="right"/>
              <w:rPr>
                <w:szCs w:val="21"/>
              </w:rPr>
            </w:pPr>
          </w:p>
        </w:tc>
        <w:tc>
          <w:tcPr>
            <w:tcW w:w="876" w:type="dxa"/>
            <w:vAlign w:val="center"/>
          </w:tcPr>
          <w:p>
            <w:pPr>
              <w:jc w:val="right"/>
              <w:rPr>
                <w:szCs w:val="21"/>
              </w:rPr>
            </w:pPr>
          </w:p>
        </w:tc>
        <w:tc>
          <w:tcPr>
            <w:tcW w:w="1058" w:type="dxa"/>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14" w:type="dxa"/>
            <w:vAlign w:val="center"/>
          </w:tcPr>
          <w:p>
            <w:pPr>
              <w:rPr>
                <w:szCs w:val="21"/>
              </w:rPr>
            </w:pPr>
            <w:r>
              <w:rPr>
                <w:rFonts w:hint="eastAsia"/>
                <w:color w:val="auto"/>
                <w:szCs w:val="21"/>
              </w:rPr>
              <w:t>其他</w:t>
            </w:r>
          </w:p>
        </w:tc>
        <w:tc>
          <w:tcPr>
            <w:tcW w:w="1167" w:type="dxa"/>
            <w:vAlign w:val="center"/>
          </w:tcPr>
          <w:p>
            <w:pPr>
              <w:jc w:val="right"/>
              <w:rPr>
                <w:szCs w:val="21"/>
              </w:rPr>
            </w:pPr>
          </w:p>
        </w:tc>
        <w:tc>
          <w:tcPr>
            <w:tcW w:w="1386" w:type="dxa"/>
            <w:vAlign w:val="center"/>
          </w:tcPr>
          <w:p>
            <w:pPr>
              <w:jc w:val="right"/>
              <w:rPr>
                <w:szCs w:val="21"/>
              </w:rPr>
            </w:pPr>
            <w:r>
              <w:rPr>
                <w:rFonts w:hint="eastAsia"/>
                <w:color w:val="auto"/>
                <w:szCs w:val="21"/>
              </w:rPr>
              <w:t>671,967.52</w:t>
            </w:r>
          </w:p>
        </w:tc>
        <w:tc>
          <w:tcPr>
            <w:tcW w:w="1451" w:type="dxa"/>
            <w:vAlign w:val="center"/>
          </w:tcPr>
          <w:p>
            <w:pPr>
              <w:jc w:val="right"/>
              <w:rPr>
                <w:szCs w:val="21"/>
              </w:rPr>
            </w:pPr>
            <w:r>
              <w:rPr>
                <w:rFonts w:hint="eastAsia"/>
                <w:color w:val="auto"/>
                <w:szCs w:val="21"/>
              </w:rPr>
              <w:t>1,815,499.21</w:t>
            </w:r>
          </w:p>
        </w:tc>
        <w:tc>
          <w:tcPr>
            <w:tcW w:w="1407" w:type="dxa"/>
            <w:vAlign w:val="center"/>
          </w:tcPr>
          <w:p>
            <w:pPr>
              <w:jc w:val="right"/>
              <w:rPr>
                <w:szCs w:val="21"/>
              </w:rPr>
            </w:pPr>
            <w:r>
              <w:rPr>
                <w:rFonts w:hint="eastAsia"/>
                <w:color w:val="auto"/>
                <w:szCs w:val="21"/>
              </w:rPr>
              <w:t>1,706,032.45</w:t>
            </w:r>
          </w:p>
        </w:tc>
        <w:tc>
          <w:tcPr>
            <w:tcW w:w="605" w:type="dxa"/>
            <w:vAlign w:val="center"/>
          </w:tcPr>
          <w:p>
            <w:pPr>
              <w:jc w:val="right"/>
              <w:rPr>
                <w:szCs w:val="21"/>
              </w:rPr>
            </w:pPr>
            <w:r>
              <w:rPr>
                <w:rFonts w:hint="eastAsia"/>
                <w:color w:val="auto"/>
                <w:szCs w:val="21"/>
              </w:rPr>
              <w:t>　</w:t>
            </w:r>
          </w:p>
        </w:tc>
        <w:tc>
          <w:tcPr>
            <w:tcW w:w="1485" w:type="dxa"/>
            <w:vAlign w:val="center"/>
          </w:tcPr>
          <w:p>
            <w:pPr>
              <w:jc w:val="right"/>
              <w:rPr>
                <w:szCs w:val="21"/>
              </w:rPr>
            </w:pPr>
            <w:r>
              <w:rPr>
                <w:rFonts w:hint="eastAsia"/>
                <w:color w:val="auto"/>
                <w:szCs w:val="21"/>
              </w:rPr>
              <w:t>781,434.28</w:t>
            </w:r>
          </w:p>
        </w:tc>
        <w:tc>
          <w:tcPr>
            <w:tcW w:w="1020" w:type="dxa"/>
            <w:vAlign w:val="center"/>
          </w:tcPr>
          <w:p>
            <w:pPr>
              <w:jc w:val="right"/>
              <w:rPr>
                <w:szCs w:val="21"/>
              </w:rPr>
            </w:pPr>
          </w:p>
        </w:tc>
        <w:tc>
          <w:tcPr>
            <w:tcW w:w="780" w:type="dxa"/>
            <w:vAlign w:val="center"/>
          </w:tcPr>
          <w:p>
            <w:pPr>
              <w:rPr>
                <w:szCs w:val="21"/>
              </w:rPr>
            </w:pPr>
          </w:p>
        </w:tc>
        <w:tc>
          <w:tcPr>
            <w:tcW w:w="810" w:type="dxa"/>
            <w:vAlign w:val="center"/>
          </w:tcPr>
          <w:p>
            <w:pPr>
              <w:jc w:val="right"/>
              <w:rPr>
                <w:szCs w:val="21"/>
              </w:rPr>
            </w:pPr>
          </w:p>
        </w:tc>
        <w:tc>
          <w:tcPr>
            <w:tcW w:w="795" w:type="dxa"/>
            <w:vAlign w:val="center"/>
          </w:tcPr>
          <w:p>
            <w:pPr>
              <w:jc w:val="right"/>
              <w:rPr>
                <w:szCs w:val="21"/>
              </w:rPr>
            </w:pPr>
          </w:p>
        </w:tc>
        <w:tc>
          <w:tcPr>
            <w:tcW w:w="876" w:type="dxa"/>
            <w:vAlign w:val="center"/>
          </w:tcPr>
          <w:p>
            <w:pPr>
              <w:jc w:val="right"/>
              <w:rPr>
                <w:szCs w:val="21"/>
              </w:rPr>
            </w:pPr>
          </w:p>
        </w:tc>
        <w:tc>
          <w:tcPr>
            <w:tcW w:w="1058" w:type="dxa"/>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14" w:type="dxa"/>
            <w:vAlign w:val="center"/>
          </w:tcPr>
          <w:p>
            <w:pPr>
              <w:jc w:val="center"/>
              <w:rPr>
                <w:szCs w:val="21"/>
              </w:rPr>
            </w:pPr>
            <w:r>
              <w:rPr>
                <w:rFonts w:hint="eastAsia"/>
                <w:szCs w:val="21"/>
              </w:rPr>
              <w:t>合计</w:t>
            </w:r>
          </w:p>
        </w:tc>
        <w:tc>
          <w:tcPr>
            <w:tcW w:w="1167" w:type="dxa"/>
            <w:vAlign w:val="center"/>
          </w:tcPr>
          <w:p>
            <w:pPr>
              <w:jc w:val="right"/>
              <w:rPr>
                <w:szCs w:val="21"/>
              </w:rPr>
            </w:pPr>
          </w:p>
        </w:tc>
        <w:tc>
          <w:tcPr>
            <w:tcW w:w="1386" w:type="dxa"/>
            <w:vAlign w:val="center"/>
          </w:tcPr>
          <w:p>
            <w:pPr>
              <w:jc w:val="right"/>
              <w:rPr>
                <w:szCs w:val="21"/>
              </w:rPr>
            </w:pPr>
            <w:r>
              <w:rPr>
                <w:rFonts w:hint="eastAsia"/>
                <w:color w:val="auto"/>
                <w:szCs w:val="21"/>
              </w:rPr>
              <w:t>8,274,122.56</w:t>
            </w:r>
          </w:p>
        </w:tc>
        <w:tc>
          <w:tcPr>
            <w:tcW w:w="1451" w:type="dxa"/>
            <w:vAlign w:val="center"/>
          </w:tcPr>
          <w:p>
            <w:pPr>
              <w:jc w:val="right"/>
              <w:rPr>
                <w:szCs w:val="21"/>
              </w:rPr>
            </w:pPr>
            <w:r>
              <w:rPr>
                <w:rFonts w:hint="eastAsia"/>
                <w:color w:val="auto"/>
                <w:szCs w:val="21"/>
              </w:rPr>
              <w:t>24,403,457.90</w:t>
            </w:r>
          </w:p>
        </w:tc>
        <w:tc>
          <w:tcPr>
            <w:tcW w:w="1407" w:type="dxa"/>
            <w:vAlign w:val="center"/>
          </w:tcPr>
          <w:p>
            <w:pPr>
              <w:jc w:val="right"/>
              <w:rPr>
                <w:szCs w:val="21"/>
              </w:rPr>
            </w:pPr>
            <w:r>
              <w:rPr>
                <w:rFonts w:hint="eastAsia"/>
                <w:color w:val="auto"/>
                <w:szCs w:val="21"/>
              </w:rPr>
              <w:t>9,856,202.85</w:t>
            </w:r>
          </w:p>
        </w:tc>
        <w:tc>
          <w:tcPr>
            <w:tcW w:w="605" w:type="dxa"/>
            <w:vAlign w:val="center"/>
          </w:tcPr>
          <w:p>
            <w:pPr>
              <w:jc w:val="right"/>
              <w:rPr>
                <w:szCs w:val="21"/>
              </w:rPr>
            </w:pPr>
            <w:r>
              <w:rPr>
                <w:rFonts w:hint="eastAsia"/>
                <w:color w:val="auto"/>
                <w:szCs w:val="21"/>
              </w:rPr>
              <w:t>　</w:t>
            </w:r>
          </w:p>
        </w:tc>
        <w:tc>
          <w:tcPr>
            <w:tcW w:w="1485" w:type="dxa"/>
            <w:vAlign w:val="center"/>
          </w:tcPr>
          <w:p>
            <w:pPr>
              <w:jc w:val="right"/>
              <w:rPr>
                <w:szCs w:val="21"/>
              </w:rPr>
            </w:pPr>
            <w:r>
              <w:rPr>
                <w:rFonts w:hint="eastAsia"/>
                <w:color w:val="auto"/>
                <w:szCs w:val="21"/>
              </w:rPr>
              <w:t>22,821,377.61</w:t>
            </w:r>
          </w:p>
        </w:tc>
        <w:tc>
          <w:tcPr>
            <w:tcW w:w="1020" w:type="dxa"/>
            <w:vAlign w:val="center"/>
          </w:tcPr>
          <w:p>
            <w:pPr>
              <w:jc w:val="center"/>
              <w:rPr>
                <w:szCs w:val="21"/>
              </w:rPr>
            </w:pPr>
            <w:r>
              <w:rPr>
                <w:szCs w:val="21"/>
              </w:rPr>
              <w:t>/</w:t>
            </w:r>
          </w:p>
        </w:tc>
        <w:tc>
          <w:tcPr>
            <w:tcW w:w="780" w:type="dxa"/>
            <w:vAlign w:val="center"/>
          </w:tcPr>
          <w:p>
            <w:pPr>
              <w:jc w:val="center"/>
              <w:rPr>
                <w:szCs w:val="21"/>
              </w:rPr>
            </w:pPr>
            <w:r>
              <w:rPr>
                <w:szCs w:val="21"/>
              </w:rPr>
              <w:t>/</w:t>
            </w:r>
          </w:p>
        </w:tc>
        <w:tc>
          <w:tcPr>
            <w:tcW w:w="810" w:type="dxa"/>
            <w:vAlign w:val="center"/>
          </w:tcPr>
          <w:p>
            <w:pPr>
              <w:jc w:val="right"/>
              <w:rPr>
                <w:szCs w:val="21"/>
              </w:rPr>
            </w:pPr>
          </w:p>
        </w:tc>
        <w:tc>
          <w:tcPr>
            <w:tcW w:w="795" w:type="dxa"/>
            <w:vAlign w:val="center"/>
          </w:tcPr>
          <w:p>
            <w:pPr>
              <w:jc w:val="right"/>
              <w:rPr>
                <w:szCs w:val="21"/>
              </w:rPr>
            </w:pPr>
          </w:p>
        </w:tc>
        <w:tc>
          <w:tcPr>
            <w:tcW w:w="876" w:type="dxa"/>
            <w:vAlign w:val="center"/>
          </w:tcPr>
          <w:p>
            <w:pPr>
              <w:jc w:val="center"/>
              <w:rPr>
                <w:szCs w:val="21"/>
              </w:rPr>
            </w:pPr>
            <w:r>
              <w:rPr>
                <w:szCs w:val="21"/>
              </w:rPr>
              <w:t>/</w:t>
            </w:r>
          </w:p>
        </w:tc>
        <w:tc>
          <w:tcPr>
            <w:tcW w:w="1058" w:type="dxa"/>
            <w:vAlign w:val="center"/>
          </w:tcPr>
          <w:p>
            <w:pPr>
              <w:jc w:val="center"/>
              <w:rPr>
                <w:szCs w:val="21"/>
              </w:rPr>
            </w:pPr>
            <w:r>
              <w:rPr>
                <w:szCs w:val="21"/>
              </w:rPr>
              <w:t>/</w:t>
            </w:r>
          </w:p>
        </w:tc>
      </w:tr>
    </w:tbl>
    <w:p>
      <w:pPr>
        <w:snapToGrid w:val="0"/>
        <w:spacing w:line="240" w:lineRule="atLeast"/>
        <w:rPr>
          <w:szCs w:val="21"/>
        </w:rPr>
        <w:sectPr>
          <w:pgSz w:w="16838" w:h="11906" w:orient="landscape"/>
          <w:pgMar w:top="1276" w:right="1440" w:bottom="1797" w:left="1525" w:header="856" w:footer="992" w:gutter="0"/>
          <w:cols w:space="425" w:num="1"/>
          <w:docGrid w:linePitch="312" w:charSpace="0"/>
        </w:sectPr>
      </w:pPr>
    </w:p>
    <w:p>
      <w:pPr>
        <w:pStyle w:val="17"/>
      </w:pPr>
    </w:p>
    <w:p>
      <w:pPr>
        <w:pStyle w:val="6"/>
        <w:numPr>
          <w:ilvl w:val="0"/>
          <w:numId w:val="79"/>
        </w:numPr>
        <w:ind w:leftChars="0"/>
        <w:rPr>
          <w:rFonts w:hint="eastAsia" w:ascii="宋体" w:hAnsi="宋体" w:cs="宋体"/>
          <w:kern w:val="0"/>
          <w:szCs w:val="24"/>
        </w:rPr>
      </w:pPr>
      <w:r>
        <w:rPr>
          <w:rFonts w:hint="eastAsia" w:ascii="宋体" w:hAnsi="宋体" w:cs="宋体"/>
          <w:kern w:val="0"/>
          <w:szCs w:val="24"/>
        </w:rPr>
        <w:t>本期计提在建工程减值准备情况</w:t>
      </w:r>
    </w:p>
    <w:sdt>
      <w:sdtPr>
        <w:alias w:val="是否适用：本期计提在建工程减值准备情况[双击切换]"/>
        <w:tag w:val="_GBC_f0a78e682a314d34a7b55dd88c219307"/>
        <w:id w:val="7201"/>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rFonts w:asciiTheme="minorHAnsi" w:hAnsiTheme="minorHAnsi" w:cstheme="minorBidi"/>
          <w:kern w:val="2"/>
          <w:szCs w:val="22"/>
        </w:rPr>
      </w:pPr>
    </w:p>
    <w:p>
      <w:pPr>
        <w:pStyle w:val="6"/>
        <w:numPr>
          <w:ilvl w:val="0"/>
          <w:numId w:val="79"/>
        </w:numPr>
        <w:ind w:leftChars="0"/>
        <w:rPr>
          <w:rFonts w:hint="eastAsia" w:ascii="宋体" w:hAnsi="宋体" w:cs="宋体"/>
          <w:kern w:val="0"/>
          <w:szCs w:val="24"/>
        </w:rPr>
      </w:pPr>
      <w:bookmarkStart w:id="301" w:name="_Hlk153461314"/>
      <w:r>
        <w:rPr>
          <w:rFonts w:hint="eastAsia" w:ascii="宋体" w:hAnsi="宋体" w:cs="宋体"/>
          <w:kern w:val="0"/>
          <w:szCs w:val="24"/>
        </w:rPr>
        <w:t>在建工程的减值测试情况</w:t>
      </w:r>
    </w:p>
    <w:sdt>
      <w:sdtPr>
        <w:alias w:val="是否适用：减值测试情况[双击切换]"/>
        <w:tag w:val="_GBC_d3e3ceb3450d42e8a3d61da2c2d7d3cb"/>
        <w:id w:val="7202"/>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301"/>
    <w:p>
      <w:pPr>
        <w:rPr>
          <w:szCs w:val="21"/>
        </w:rPr>
      </w:pPr>
      <w:r>
        <w:rPr>
          <w:rFonts w:hint="eastAsia"/>
          <w:szCs w:val="21"/>
        </w:rPr>
        <w:t>其他说明：</w:t>
      </w:r>
    </w:p>
    <w:sdt>
      <w:sdtPr>
        <w:rPr>
          <w:szCs w:val="21"/>
        </w:rPr>
        <w:alias w:val="是否适用：在建工程的说明[双击切换]"/>
        <w:tag w:val="_GBC_e6220a45d928426882f5c3ad23ff2098"/>
        <w:id w:val="7203"/>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5"/>
        <w:ind w:left="360" w:hanging="360"/>
        <w:rPr>
          <w:rFonts w:hint="eastAsia"/>
        </w:rPr>
      </w:pPr>
      <w:bookmarkStart w:id="302" w:name="_Hlk532903321"/>
      <w:r>
        <w:rPr>
          <w:rFonts w:hint="eastAsia"/>
        </w:rPr>
        <w:t>工程物资</w:t>
      </w:r>
    </w:p>
    <w:p>
      <w:pPr>
        <w:pStyle w:val="6"/>
        <w:numPr>
          <w:ilvl w:val="0"/>
          <w:numId w:val="80"/>
        </w:numPr>
        <w:ind w:leftChars="0"/>
      </w:pPr>
      <w:r>
        <w:rPr>
          <w:rFonts w:hint="eastAsia"/>
        </w:rPr>
        <w:t>工程物资情况</w:t>
      </w:r>
    </w:p>
    <w:sdt>
      <w:sdtPr>
        <w:alias w:val="是否适用：工程物资[双击切换]"/>
        <w:tag w:val="_GBC_91916c11fa864423a1c0e6a4024fdda5"/>
        <w:id w:val="720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rFonts w:cstheme="minorBidi"/>
          <w:szCs w:val="21"/>
        </w:rPr>
      </w:pPr>
    </w:p>
    <w:bookmarkEnd w:id="302"/>
    <w:sdt>
      <w:sdtPr>
        <w:tag w:val="_PLD_07b935e4643a4db0ba92db09d1866405"/>
        <w:id w:val="7205"/>
      </w:sdtPr>
      <w:sdtContent>
        <w:p>
          <w:pPr>
            <w:pStyle w:val="4"/>
            <w:numPr>
              <w:ilvl w:val="0"/>
              <w:numId w:val="62"/>
            </w:numPr>
            <w:tabs>
              <w:tab w:val="left" w:pos="504"/>
            </w:tabs>
            <w:rPr>
              <w:rFonts w:hint="eastAsia" w:ascii="宋体" w:hAnsi="宋体"/>
              <w:szCs w:val="21"/>
            </w:rPr>
          </w:pPr>
          <w:r>
            <w:rPr>
              <w:rFonts w:hint="eastAsia" w:ascii="宋体" w:hAnsi="宋体"/>
              <w:szCs w:val="21"/>
            </w:rPr>
            <w:t>生产性生物资产</w:t>
          </w:r>
        </w:p>
      </w:sdtContent>
    </w:sdt>
    <w:p>
      <w:pPr>
        <w:pStyle w:val="5"/>
        <w:numPr>
          <w:ilvl w:val="3"/>
          <w:numId w:val="81"/>
        </w:numPr>
        <w:ind w:left="426" w:hanging="426"/>
        <w:rPr>
          <w:rFonts w:hint="eastAsia"/>
        </w:rPr>
      </w:pPr>
      <w:r>
        <w:rPr>
          <w:rFonts w:hint="eastAsia"/>
        </w:rPr>
        <w:t>采用成本计量模式的生产性生物资产</w:t>
      </w:r>
    </w:p>
    <w:sdt>
      <w:sdtPr>
        <w:rPr>
          <w:rFonts w:hint="eastAsia"/>
          <w:szCs w:val="21"/>
        </w:rPr>
        <w:alias w:val="是否适用：财务附注：以成本计量的生产性生物资产[双击切换]"/>
        <w:tag w:val="_GBC_925c2a7345d74ba1bae908f2c1695459"/>
        <w:id w:val="7206"/>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ind w:right="210" w:rightChars="100"/>
        <w:rPr>
          <w:rFonts w:cstheme="minorBidi"/>
          <w:szCs w:val="21"/>
        </w:rPr>
      </w:pPr>
    </w:p>
    <w:p>
      <w:pPr>
        <w:pStyle w:val="5"/>
        <w:numPr>
          <w:ilvl w:val="3"/>
          <w:numId w:val="81"/>
        </w:numPr>
        <w:ind w:left="426" w:hanging="426"/>
        <w:rPr>
          <w:rFonts w:hint="eastAsia" w:ascii="宋体" w:hAnsi="宋体" w:eastAsia="宋体" w:cstheme="minorBidi"/>
          <w:kern w:val="0"/>
          <w:szCs w:val="24"/>
        </w:rPr>
      </w:pPr>
      <w:bookmarkStart w:id="303" w:name="_Hlk153461442"/>
      <w:r>
        <w:rPr>
          <w:rFonts w:hint="eastAsia" w:ascii="宋体" w:hAnsi="宋体" w:eastAsia="宋体" w:cstheme="minorBidi"/>
          <w:kern w:val="0"/>
          <w:szCs w:val="24"/>
        </w:rPr>
        <w:t>采用成本计量模式的生产性生物资产的减值测试情况</w:t>
      </w:r>
    </w:p>
    <w:sdt>
      <w:sdtPr>
        <w:alias w:val="是否适用：减值测试情况[双击切换]"/>
        <w:tag w:val="_GBC_1463ca9b414a4cb28d5d13fd1d3b8486"/>
        <w:id w:val="7207"/>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303"/>
    <w:p>
      <w:pPr>
        <w:pStyle w:val="5"/>
        <w:numPr>
          <w:ilvl w:val="3"/>
          <w:numId w:val="81"/>
        </w:numPr>
        <w:ind w:left="426" w:hanging="426"/>
        <w:rPr>
          <w:rFonts w:hint="eastAsia"/>
        </w:rPr>
      </w:pPr>
      <w:r>
        <w:rPr>
          <w:rFonts w:hint="eastAsia"/>
        </w:rPr>
        <w:t>采用公允价值计量模式的生产性生物资产</w:t>
      </w:r>
    </w:p>
    <w:sdt>
      <w:sdtPr>
        <w:rPr>
          <w:szCs w:val="21"/>
        </w:rPr>
        <w:alias w:val="是否适用：财务附注：以公允价值计量的生产性生物资产[双击切换]"/>
        <w:tag w:val="_GBC_9b7a21a74fee4d22abc99ad9ee747e07"/>
        <w:id w:val="7208"/>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Pr>
        <w:autoSpaceDE w:val="0"/>
        <w:autoSpaceDN w:val="0"/>
        <w:adjustRightInd w:val="0"/>
        <w:rPr>
          <w:szCs w:val="21"/>
        </w:rPr>
      </w:pPr>
      <w:r>
        <w:rPr>
          <w:rFonts w:hint="eastAsia"/>
          <w:szCs w:val="21"/>
        </w:rPr>
        <w:t>其他说明：</w:t>
      </w:r>
    </w:p>
    <w:sdt>
      <w:sdtPr>
        <w:rPr>
          <w:szCs w:val="21"/>
        </w:rPr>
        <w:alias w:val="是否适用：生产性生物资产的说明[双击切换]"/>
        <w:tag w:val="_GBC_d3e0f749d04b4097a0886c38dadda8f4"/>
        <w:id w:val="7209"/>
        <w:placeholder>
          <w:docPart w:val="GBC22222222222222222222222222222"/>
        </w:placeholder>
      </w:sdtPr>
      <w:sdtEndPr>
        <w:rPr>
          <w:szCs w:val="21"/>
        </w:rPr>
      </w:sdtEndPr>
      <w:sdtContent>
        <w:p>
          <w:pPr>
            <w:autoSpaceDE w:val="0"/>
            <w:autoSpaceDN w:val="0"/>
            <w:adjustRightInd w:val="0"/>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sdt>
      <w:sdtPr>
        <w:tag w:val="_PLD_7c7dfe61c349463c8c3ee28a36b76bb7"/>
        <w:id w:val="7210"/>
      </w:sdtPr>
      <w:sdtEndPr>
        <w:rPr>
          <w:rFonts w:cs="Times New Roman"/>
          <w:b/>
          <w:bCs/>
          <w:kern w:val="2"/>
        </w:rPr>
      </w:sdtEndPr>
      <w:sdtContent>
        <w:p>
          <w:pPr>
            <w:pStyle w:val="4"/>
            <w:numPr>
              <w:ilvl w:val="0"/>
              <w:numId w:val="62"/>
            </w:numPr>
            <w:tabs>
              <w:tab w:val="left" w:pos="504"/>
            </w:tabs>
            <w:rPr>
              <w:rFonts w:hint="eastAsia" w:ascii="宋体" w:hAnsi="宋体"/>
              <w:szCs w:val="21"/>
            </w:rPr>
          </w:pPr>
          <w:r>
            <w:rPr>
              <w:rFonts w:hint="eastAsia" w:ascii="宋体" w:hAnsi="宋体"/>
              <w:szCs w:val="21"/>
            </w:rPr>
            <w:t>油气资产</w:t>
          </w:r>
        </w:p>
      </w:sdtContent>
    </w:sdt>
    <w:p>
      <w:pPr>
        <w:pStyle w:val="5"/>
        <w:numPr>
          <w:ilvl w:val="0"/>
          <w:numId w:val="82"/>
        </w:numPr>
        <w:ind w:left="450" w:hanging="450"/>
        <w:rPr>
          <w:rFonts w:hint="eastAsia"/>
        </w:rPr>
      </w:pPr>
      <w:r>
        <w:rPr>
          <w:rFonts w:hint="eastAsia"/>
        </w:rPr>
        <w:t>油气资产情况</w:t>
      </w:r>
    </w:p>
    <w:sdt>
      <w:sdtPr>
        <w:alias w:val="是否适用：油气资产[双击切换]"/>
        <w:tag w:val="_GBC_a587239cd6ac4d96b99f6fe496e97c34"/>
        <w:id w:val="7211"/>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autoSpaceDE w:val="0"/>
        <w:autoSpaceDN w:val="0"/>
        <w:adjustRightInd w:val="0"/>
        <w:rPr>
          <w:rFonts w:cstheme="minorBidi"/>
          <w:kern w:val="2"/>
          <w:szCs w:val="21"/>
        </w:rPr>
      </w:pPr>
    </w:p>
    <w:p>
      <w:pPr>
        <w:pStyle w:val="5"/>
        <w:numPr>
          <w:ilvl w:val="0"/>
          <w:numId w:val="82"/>
        </w:numPr>
        <w:ind w:left="450" w:hanging="450"/>
        <w:rPr>
          <w:rFonts w:hint="eastAsia"/>
        </w:rPr>
      </w:pPr>
      <w:bookmarkStart w:id="304" w:name="_Hlk153461604"/>
      <w:r>
        <w:rPr>
          <w:rFonts w:hint="eastAsia"/>
        </w:rPr>
        <w:t>油气资产的减值测试情况</w:t>
      </w:r>
    </w:p>
    <w:sdt>
      <w:sdtPr>
        <w:alias w:val="是否适用：减值测试情况[双击切换]"/>
        <w:tag w:val="_GBC_c658db7dbb96462dbe4ab745ca73e3ca"/>
        <w:id w:val="7212"/>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304"/>
    <w:p>
      <w:pPr>
        <w:autoSpaceDE w:val="0"/>
        <w:autoSpaceDN w:val="0"/>
        <w:adjustRightInd w:val="0"/>
        <w:rPr>
          <w:szCs w:val="21"/>
        </w:rPr>
      </w:pPr>
      <w:bookmarkStart w:id="305" w:name="_Hlk152863119"/>
      <w:r>
        <w:rPr>
          <w:rFonts w:hint="eastAsia"/>
          <w:szCs w:val="21"/>
        </w:rPr>
        <w:t>其他说明：</w:t>
      </w:r>
    </w:p>
    <w:sdt>
      <w:sdtPr>
        <w:rPr>
          <w:szCs w:val="21"/>
        </w:rPr>
        <w:alias w:val="油气资产的说明"/>
        <w:tag w:val="_GBC_4766b2b071af48e7aaf22a35a082671e"/>
        <w:id w:val="7213"/>
        <w:placeholder>
          <w:docPart w:val="GBC22222222222222222222222222222"/>
        </w:placeholder>
      </w:sdtPr>
      <w:sdtEndPr>
        <w:rPr>
          <w:szCs w:val="21"/>
        </w:rPr>
      </w:sdtEndPr>
      <w:sdtContent>
        <w:p>
          <w:pPr>
            <w:rPr>
              <w:szCs w:val="21"/>
            </w:rPr>
          </w:pPr>
          <w:r>
            <w:rPr>
              <w:rFonts w:hint="eastAsia"/>
              <w:szCs w:val="21"/>
            </w:rPr>
            <w:t>无</w:t>
          </w:r>
        </w:p>
      </w:sdtContent>
    </w:sdt>
    <w:bookmarkEnd w:id="305"/>
    <w:p>
      <w:pPr>
        <w:rPr>
          <w:szCs w:val="21"/>
        </w:rPr>
      </w:pPr>
    </w:p>
    <w:sdt>
      <w:sdtPr>
        <w:tag w:val="_PLD_711cc8de7e9f47e8bf0e59a53059ca2e"/>
        <w:id w:val="7214"/>
      </w:sdtPr>
      <w:sdtEndPr>
        <w:rPr>
          <w:rFonts w:ascii="Calibri" w:hAnsi="Calibri" w:cs="Times New Roman"/>
          <w:b/>
          <w:bCs/>
          <w:kern w:val="2"/>
        </w:rPr>
      </w:sdtEndPr>
      <w:sdtContent>
        <w:p>
          <w:pPr>
            <w:pStyle w:val="4"/>
            <w:numPr>
              <w:ilvl w:val="0"/>
              <w:numId w:val="62"/>
            </w:numPr>
            <w:tabs>
              <w:tab w:val="left" w:pos="504"/>
            </w:tabs>
            <w:rPr>
              <w:szCs w:val="21"/>
            </w:rPr>
          </w:pPr>
          <w:bookmarkStart w:id="306" w:name="_Hlk121390344"/>
          <w:bookmarkStart w:id="307" w:name="_Hlk24026112"/>
          <w:r>
            <w:rPr>
              <w:rFonts w:hint="eastAsia"/>
              <w:szCs w:val="21"/>
            </w:rPr>
            <w:t>使用权资产</w:t>
          </w:r>
        </w:p>
      </w:sdtContent>
    </w:sdt>
    <w:p>
      <w:pPr>
        <w:pStyle w:val="5"/>
        <w:numPr>
          <w:ilvl w:val="0"/>
          <w:numId w:val="83"/>
        </w:numPr>
        <w:rPr>
          <w:rFonts w:hint="eastAsia"/>
        </w:rPr>
      </w:pPr>
      <w:r>
        <w:rPr>
          <w:rFonts w:hint="eastAsia"/>
        </w:rPr>
        <w:t>使用权资产情况</w:t>
      </w:r>
    </w:p>
    <w:sdt>
      <w:sdtPr>
        <w:alias w:val="是否适用：使用权资产[双击切换]"/>
        <w:tag w:val="_GBC_0d86ed9789d84ef592fcb1556e3f676f"/>
        <w:id w:val="7215"/>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autoSpaceDE w:val="0"/>
        <w:autoSpaceDN w:val="0"/>
        <w:adjustRightInd w:val="0"/>
        <w:jc w:val="right"/>
        <w:rPr>
          <w:szCs w:val="21"/>
        </w:rPr>
      </w:pPr>
      <w:r>
        <w:rPr>
          <w:rFonts w:hint="eastAsia"/>
          <w:szCs w:val="21"/>
        </w:rPr>
        <w:t>单位：</w:t>
      </w:r>
      <w:sdt>
        <w:sdtPr>
          <w:rPr>
            <w:rFonts w:hint="eastAsia"/>
            <w:szCs w:val="21"/>
          </w:rPr>
          <w:alias w:val="单位：使用权资产"/>
          <w:tag w:val="_GBC_f958637710fb400c8900b59a67a7bfeb"/>
          <w:id w:val="7216"/>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使用权资产"/>
          <w:tag w:val="_GBC_52957ed8d1644c96801bc28a57ac0486"/>
          <w:id w:val="7217"/>
          <w:placeholder>
            <w:docPart w:val="GBC22222222222222222222222222222"/>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98"/>
        <w:gridCol w:w="2721"/>
        <w:gridCol w:w="2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398" w:type="dxa"/>
            <w:vAlign w:val="center"/>
          </w:tcPr>
          <w:sdt>
            <w:sdtPr>
              <w:tag w:val="_PLD_6e52ac1447e040bbbee6d5db3fc1c995"/>
              <w:id w:val="7218"/>
            </w:sdtPr>
            <w:sdtContent>
              <w:p>
                <w:pPr>
                  <w:spacing w:line="240" w:lineRule="atLeast"/>
                  <w:jc w:val="center"/>
                  <w:rPr>
                    <w:szCs w:val="21"/>
                  </w:rPr>
                </w:pPr>
                <w:r>
                  <w:rPr>
                    <w:rFonts w:hint="eastAsia"/>
                    <w:szCs w:val="21"/>
                  </w:rPr>
                  <w:t>项目</w:t>
                </w:r>
              </w:p>
            </w:sdtContent>
          </w:sdt>
        </w:tc>
        <w:tc>
          <w:tcPr>
            <w:tcW w:w="2721" w:type="dxa"/>
            <w:vAlign w:val="center"/>
          </w:tcPr>
          <w:sdt>
            <w:sdtPr>
              <w:rPr>
                <w:szCs w:val="21"/>
              </w:rPr>
              <w:alias w:val="使用权资产明细-项目"/>
              <w:tag w:val="_GBC_8854a3b92dce426b81aa78cb836a99cd"/>
              <w:id w:val="7219"/>
            </w:sdtPr>
            <w:sdtEndPr>
              <w:rPr>
                <w:szCs w:val="21"/>
              </w:rPr>
            </w:sdtEndPr>
            <w:sdtContent>
              <w:p>
                <w:pPr>
                  <w:spacing w:line="240" w:lineRule="atLeast"/>
                  <w:jc w:val="center"/>
                  <w:rPr>
                    <w:szCs w:val="21"/>
                  </w:rPr>
                </w:pPr>
                <w:r>
                  <w:rPr>
                    <w:rFonts w:hint="eastAsia"/>
                    <w:szCs w:val="21"/>
                  </w:rPr>
                  <w:t>房屋及建筑</w:t>
                </w:r>
              </w:p>
            </w:sdtContent>
          </w:sdt>
        </w:tc>
        <w:tc>
          <w:tcPr>
            <w:tcW w:w="2928" w:type="dxa"/>
            <w:vAlign w:val="center"/>
          </w:tcPr>
          <w:sdt>
            <w:sdtPr>
              <w:tag w:val="_PLD_9c5be9b6ed044311be8a2370c18f35f0"/>
              <w:id w:val="7220"/>
            </w:sdtPr>
            <w:sdtContent>
              <w:p>
                <w:pPr>
                  <w:spacing w:line="240" w:lineRule="atLeast"/>
                  <w:jc w:val="center"/>
                  <w:rPr>
                    <w:szCs w:val="21"/>
                  </w:rPr>
                </w:pPr>
                <w:r>
                  <w:rPr>
                    <w:szCs w:val="21"/>
                  </w:rPr>
                  <w:t>合计</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9047" w:type="dxa"/>
            <w:gridSpan w:val="3"/>
            <w:vAlign w:val="center"/>
          </w:tcPr>
          <w:sdt>
            <w:sdtPr>
              <w:tag w:val="_PLD_3548dba12ab44fffb8352baf0a2432b0"/>
              <w:id w:val="7221"/>
            </w:sdtPr>
            <w:sdtContent>
              <w:p>
                <w:pPr>
                  <w:spacing w:line="240" w:lineRule="atLeast"/>
                  <w:rPr>
                    <w:szCs w:val="21"/>
                  </w:rPr>
                </w:pPr>
                <w:r>
                  <w:rPr>
                    <w:szCs w:val="21"/>
                  </w:rPr>
                  <w:t>一、</w:t>
                </w:r>
                <w:r>
                  <w:rPr>
                    <w:rFonts w:hint="eastAsia"/>
                    <w:szCs w:val="21"/>
                  </w:rPr>
                  <w:t>账面</w:t>
                </w:r>
                <w:r>
                  <w:rPr>
                    <w:szCs w:val="21"/>
                  </w:rPr>
                  <w:t>原</w:t>
                </w:r>
                <w:r>
                  <w:rPr>
                    <w:rFonts w:hint="eastAsia"/>
                    <w:szCs w:val="21"/>
                  </w:rPr>
                  <w:t>值</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398" w:type="dxa"/>
            <w:vAlign w:val="center"/>
          </w:tcPr>
          <w:p>
            <w:pPr>
              <w:spacing w:line="240" w:lineRule="atLeast"/>
              <w:ind w:firstLine="420" w:firstLineChars="200"/>
              <w:rPr>
                <w:szCs w:val="21"/>
              </w:rPr>
            </w:pPr>
            <w:r>
              <w:rPr>
                <w:szCs w:val="21"/>
              </w:rPr>
              <w:t>1.</w:t>
            </w:r>
            <w:r>
              <w:rPr>
                <w:rFonts w:hint="eastAsia"/>
                <w:szCs w:val="21"/>
              </w:rPr>
              <w:t>期</w:t>
            </w:r>
            <w:r>
              <w:rPr>
                <w:szCs w:val="21"/>
              </w:rPr>
              <w:t>初余额</w:t>
            </w:r>
          </w:p>
        </w:tc>
        <w:tc>
          <w:tcPr>
            <w:tcW w:w="2721" w:type="dxa"/>
            <w:vAlign w:val="center"/>
          </w:tcPr>
          <w:p>
            <w:pPr>
              <w:spacing w:line="240" w:lineRule="atLeast"/>
              <w:ind w:firstLine="420" w:firstLineChars="200"/>
              <w:jc w:val="right"/>
              <w:rPr>
                <w:szCs w:val="21"/>
              </w:rPr>
            </w:pPr>
            <w:r>
              <w:rPr>
                <w:rFonts w:hint="eastAsia"/>
                <w:szCs w:val="21"/>
              </w:rPr>
              <w:t>10,923,482.77</w:t>
            </w:r>
          </w:p>
        </w:tc>
        <w:tc>
          <w:tcPr>
            <w:tcW w:w="2928" w:type="dxa"/>
            <w:vAlign w:val="center"/>
          </w:tcPr>
          <w:p>
            <w:pPr>
              <w:spacing w:line="240" w:lineRule="atLeast"/>
              <w:jc w:val="right"/>
              <w:rPr>
                <w:szCs w:val="21"/>
              </w:rPr>
            </w:pPr>
            <w:r>
              <w:rPr>
                <w:rFonts w:hint="eastAsia"/>
                <w:szCs w:val="21"/>
              </w:rPr>
              <w:t>10,923,482.77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398" w:type="dxa"/>
            <w:vAlign w:val="center"/>
          </w:tcPr>
          <w:p>
            <w:pPr>
              <w:spacing w:line="240" w:lineRule="atLeast"/>
              <w:ind w:firstLine="420" w:firstLineChars="200"/>
              <w:rPr>
                <w:szCs w:val="21"/>
              </w:rPr>
            </w:pPr>
            <w:r>
              <w:rPr>
                <w:szCs w:val="21"/>
              </w:rPr>
              <w:t>2.本期增加</w:t>
            </w:r>
            <w:r>
              <w:rPr>
                <w:rFonts w:hint="eastAsia"/>
                <w:szCs w:val="21"/>
              </w:rPr>
              <w:t>金额</w:t>
            </w:r>
          </w:p>
        </w:tc>
        <w:tc>
          <w:tcPr>
            <w:tcW w:w="2721" w:type="dxa"/>
            <w:vAlign w:val="center"/>
          </w:tcPr>
          <w:p>
            <w:pPr>
              <w:spacing w:line="240" w:lineRule="atLeast"/>
              <w:jc w:val="right"/>
              <w:rPr>
                <w:szCs w:val="21"/>
              </w:rPr>
            </w:pPr>
            <w:r>
              <w:rPr>
                <w:rFonts w:hint="eastAsia"/>
              </w:rPr>
              <w:t>　</w:t>
            </w:r>
          </w:p>
        </w:tc>
        <w:tc>
          <w:tcPr>
            <w:tcW w:w="2928" w:type="dxa"/>
            <w:vAlign w:val="center"/>
          </w:tcPr>
          <w:p>
            <w:pPr>
              <w:spacing w:line="240" w:lineRule="atLeast"/>
              <w:jc w:val="right"/>
              <w:rPr>
                <w:szCs w:val="21"/>
              </w:rPr>
            </w:pPr>
            <w:r>
              <w:rPr>
                <w:rFonts w:hint="eastAsi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398" w:type="dxa"/>
            <w:vAlign w:val="center"/>
          </w:tcPr>
          <w:p>
            <w:pPr>
              <w:spacing w:line="240" w:lineRule="atLeast"/>
              <w:ind w:firstLine="420" w:firstLineChars="200"/>
              <w:rPr>
                <w:szCs w:val="21"/>
              </w:rPr>
            </w:pPr>
            <w:r>
              <w:rPr>
                <w:szCs w:val="21"/>
              </w:rPr>
              <w:t>3.本期减少</w:t>
            </w:r>
            <w:r>
              <w:rPr>
                <w:rFonts w:hint="eastAsia"/>
                <w:szCs w:val="21"/>
              </w:rPr>
              <w:t>金额</w:t>
            </w:r>
          </w:p>
        </w:tc>
        <w:tc>
          <w:tcPr>
            <w:tcW w:w="2721" w:type="dxa"/>
            <w:vAlign w:val="center"/>
          </w:tcPr>
          <w:p>
            <w:pPr>
              <w:spacing w:line="240" w:lineRule="atLeast"/>
              <w:jc w:val="right"/>
              <w:rPr>
                <w:szCs w:val="21"/>
              </w:rPr>
            </w:pPr>
            <w:r>
              <w:rPr>
                <w:rFonts w:hint="eastAsia"/>
              </w:rPr>
              <w:t>　</w:t>
            </w:r>
          </w:p>
        </w:tc>
        <w:tc>
          <w:tcPr>
            <w:tcW w:w="2928" w:type="dxa"/>
            <w:vAlign w:val="center"/>
          </w:tcPr>
          <w:p>
            <w:pPr>
              <w:spacing w:line="240" w:lineRule="atLeast"/>
              <w:jc w:val="right"/>
              <w:rPr>
                <w:szCs w:val="21"/>
              </w:rPr>
            </w:pPr>
            <w:r>
              <w:rPr>
                <w:rFonts w:hint="eastAsi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398" w:type="dxa"/>
            <w:vAlign w:val="center"/>
          </w:tcPr>
          <w:p>
            <w:pPr>
              <w:spacing w:line="240" w:lineRule="atLeast"/>
              <w:ind w:firstLine="420" w:firstLineChars="200"/>
              <w:rPr>
                <w:szCs w:val="21"/>
              </w:rPr>
            </w:pPr>
            <w:r>
              <w:rPr>
                <w:szCs w:val="21"/>
              </w:rPr>
              <w:t>4.期末余额</w:t>
            </w:r>
          </w:p>
        </w:tc>
        <w:tc>
          <w:tcPr>
            <w:tcW w:w="2721" w:type="dxa"/>
            <w:vAlign w:val="center"/>
          </w:tcPr>
          <w:p>
            <w:pPr>
              <w:spacing w:line="240" w:lineRule="atLeast"/>
              <w:jc w:val="right"/>
              <w:rPr>
                <w:szCs w:val="21"/>
              </w:rPr>
            </w:pPr>
            <w:r>
              <w:rPr>
                <w:rFonts w:hint="eastAsia"/>
                <w:szCs w:val="21"/>
              </w:rPr>
              <w:t>10,923,482.77</w:t>
            </w:r>
          </w:p>
        </w:tc>
        <w:tc>
          <w:tcPr>
            <w:tcW w:w="2928" w:type="dxa"/>
            <w:vAlign w:val="center"/>
          </w:tcPr>
          <w:p>
            <w:pPr>
              <w:spacing w:line="240" w:lineRule="atLeast"/>
              <w:jc w:val="right"/>
              <w:rPr>
                <w:szCs w:val="21"/>
              </w:rPr>
            </w:pPr>
            <w:r>
              <w:rPr>
                <w:rFonts w:hint="eastAsia"/>
                <w:szCs w:val="21"/>
              </w:rPr>
              <w:t>10,923,482.77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9047" w:type="dxa"/>
            <w:gridSpan w:val="3"/>
            <w:vAlign w:val="center"/>
          </w:tcPr>
          <w:sdt>
            <w:sdtPr>
              <w:tag w:val="_PLD_39b1174f077e44e0af9583631dcb785f"/>
              <w:id w:val="7222"/>
            </w:sdtPr>
            <w:sdtContent>
              <w:p>
                <w:pPr>
                  <w:spacing w:line="240" w:lineRule="atLeast"/>
                  <w:rPr>
                    <w:szCs w:val="21"/>
                  </w:rPr>
                </w:pPr>
                <w:r>
                  <w:rPr>
                    <w:szCs w:val="21"/>
                  </w:rPr>
                  <w:t>二、累计折旧</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398" w:type="dxa"/>
            <w:vAlign w:val="center"/>
          </w:tcPr>
          <w:p>
            <w:pPr>
              <w:spacing w:line="240" w:lineRule="atLeast"/>
              <w:ind w:firstLine="420" w:firstLineChars="200"/>
              <w:rPr>
                <w:szCs w:val="21"/>
              </w:rPr>
            </w:pPr>
            <w:r>
              <w:rPr>
                <w:rFonts w:hint="eastAsia"/>
                <w:szCs w:val="21"/>
              </w:rPr>
              <w:t>1.期</w:t>
            </w:r>
            <w:r>
              <w:rPr>
                <w:szCs w:val="21"/>
              </w:rPr>
              <w:t>初余额</w:t>
            </w:r>
          </w:p>
        </w:tc>
        <w:tc>
          <w:tcPr>
            <w:tcW w:w="2721" w:type="dxa"/>
            <w:vAlign w:val="center"/>
          </w:tcPr>
          <w:p>
            <w:pPr>
              <w:spacing w:line="240" w:lineRule="atLeast"/>
              <w:jc w:val="right"/>
              <w:rPr>
                <w:szCs w:val="21"/>
              </w:rPr>
            </w:pPr>
            <w:r>
              <w:rPr>
                <w:rFonts w:hint="eastAsia"/>
                <w:szCs w:val="21"/>
              </w:rPr>
              <w:t>3,725,449.23</w:t>
            </w:r>
          </w:p>
        </w:tc>
        <w:tc>
          <w:tcPr>
            <w:tcW w:w="2928" w:type="dxa"/>
            <w:vAlign w:val="center"/>
          </w:tcPr>
          <w:p>
            <w:pPr>
              <w:spacing w:line="240" w:lineRule="atLeast"/>
              <w:jc w:val="right"/>
              <w:rPr>
                <w:szCs w:val="21"/>
              </w:rPr>
            </w:pPr>
            <w:r>
              <w:rPr>
                <w:rFonts w:hint="eastAsia"/>
                <w:szCs w:val="21"/>
              </w:rPr>
              <w:t>3,725,449.23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398" w:type="dxa"/>
            <w:vAlign w:val="center"/>
          </w:tcPr>
          <w:p>
            <w:pPr>
              <w:spacing w:line="240" w:lineRule="atLeast"/>
              <w:ind w:firstLine="420" w:firstLineChars="200"/>
              <w:rPr>
                <w:szCs w:val="21"/>
              </w:rPr>
            </w:pPr>
            <w:r>
              <w:rPr>
                <w:szCs w:val="21"/>
              </w:rPr>
              <w:t>2.本期增加</w:t>
            </w:r>
            <w:r>
              <w:rPr>
                <w:rFonts w:hint="eastAsia"/>
                <w:szCs w:val="21"/>
              </w:rPr>
              <w:t>金额</w:t>
            </w:r>
          </w:p>
        </w:tc>
        <w:tc>
          <w:tcPr>
            <w:tcW w:w="2721" w:type="dxa"/>
            <w:vAlign w:val="center"/>
          </w:tcPr>
          <w:p>
            <w:pPr>
              <w:spacing w:line="240" w:lineRule="atLeast"/>
              <w:jc w:val="right"/>
              <w:rPr>
                <w:szCs w:val="21"/>
              </w:rPr>
            </w:pPr>
            <w:r>
              <w:rPr>
                <w:rFonts w:hint="eastAsia"/>
                <w:szCs w:val="21"/>
              </w:rPr>
              <w:t>2,304,357.03</w:t>
            </w:r>
          </w:p>
        </w:tc>
        <w:tc>
          <w:tcPr>
            <w:tcW w:w="2928" w:type="dxa"/>
            <w:vAlign w:val="center"/>
          </w:tcPr>
          <w:p>
            <w:pPr>
              <w:spacing w:line="240" w:lineRule="atLeast"/>
              <w:jc w:val="right"/>
              <w:rPr>
                <w:szCs w:val="21"/>
              </w:rPr>
            </w:pPr>
            <w:r>
              <w:rPr>
                <w:rFonts w:hint="eastAsia"/>
                <w:szCs w:val="21"/>
              </w:rPr>
              <w:t>2,304,357.03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398" w:type="dxa"/>
            <w:vAlign w:val="center"/>
          </w:tcPr>
          <w:p>
            <w:pPr>
              <w:spacing w:line="240" w:lineRule="atLeast"/>
              <w:ind w:firstLine="420" w:firstLineChars="200"/>
              <w:rPr>
                <w:szCs w:val="21"/>
              </w:rPr>
            </w:pPr>
            <w:r>
              <w:rPr>
                <w:rFonts w:hint="eastAsia"/>
                <w:szCs w:val="21"/>
              </w:rPr>
              <w:t>（1）</w:t>
            </w:r>
            <w:r>
              <w:rPr>
                <w:szCs w:val="21"/>
              </w:rPr>
              <w:t>计提</w:t>
            </w:r>
          </w:p>
        </w:tc>
        <w:tc>
          <w:tcPr>
            <w:tcW w:w="2721" w:type="dxa"/>
            <w:shd w:val="clear" w:color="auto" w:fill="auto"/>
            <w:vAlign w:val="center"/>
          </w:tcPr>
          <w:p>
            <w:pPr>
              <w:spacing w:line="240" w:lineRule="atLeast"/>
              <w:jc w:val="right"/>
              <w:rPr>
                <w:rFonts w:ascii="Times New Roman" w:hAnsi="Times New Roman" w:eastAsia="宋体" w:cs="Times New Roman"/>
                <w:sz w:val="21"/>
                <w:szCs w:val="21"/>
                <w:lang w:val="en-US" w:eastAsia="zh-CN" w:bidi="ar-SA"/>
              </w:rPr>
            </w:pPr>
            <w:r>
              <w:rPr>
                <w:rFonts w:hint="eastAsia"/>
                <w:szCs w:val="21"/>
              </w:rPr>
              <w:t>2,304,357.03</w:t>
            </w:r>
          </w:p>
        </w:tc>
        <w:tc>
          <w:tcPr>
            <w:tcW w:w="2928" w:type="dxa"/>
            <w:shd w:val="clear" w:color="auto" w:fill="auto"/>
            <w:vAlign w:val="center"/>
          </w:tcPr>
          <w:p>
            <w:pPr>
              <w:spacing w:line="240" w:lineRule="atLeast"/>
              <w:jc w:val="right"/>
              <w:rPr>
                <w:rFonts w:ascii="Times New Roman" w:hAnsi="Times New Roman" w:eastAsia="宋体" w:cs="Times New Roman"/>
                <w:sz w:val="21"/>
                <w:szCs w:val="21"/>
                <w:lang w:val="en-US" w:eastAsia="zh-CN" w:bidi="ar-SA"/>
              </w:rPr>
            </w:pPr>
            <w:r>
              <w:rPr>
                <w:rFonts w:hint="eastAsia"/>
                <w:szCs w:val="21"/>
              </w:rPr>
              <w:t>2,304,357.03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398" w:type="dxa"/>
            <w:vAlign w:val="center"/>
          </w:tcPr>
          <w:p>
            <w:pPr>
              <w:spacing w:line="240" w:lineRule="atLeast"/>
              <w:ind w:firstLine="420" w:firstLineChars="200"/>
              <w:rPr>
                <w:szCs w:val="21"/>
              </w:rPr>
            </w:pPr>
            <w:r>
              <w:rPr>
                <w:rFonts w:hint="eastAsia"/>
                <w:szCs w:val="21"/>
              </w:rPr>
              <w:t>3.</w:t>
            </w:r>
            <w:r>
              <w:rPr>
                <w:szCs w:val="21"/>
              </w:rPr>
              <w:t>本期减少</w:t>
            </w:r>
            <w:r>
              <w:rPr>
                <w:rFonts w:hint="eastAsia"/>
                <w:szCs w:val="21"/>
              </w:rPr>
              <w:t>金额</w:t>
            </w:r>
          </w:p>
        </w:tc>
        <w:tc>
          <w:tcPr>
            <w:tcW w:w="2721" w:type="dxa"/>
            <w:vAlign w:val="center"/>
          </w:tcPr>
          <w:p>
            <w:pPr>
              <w:spacing w:line="240" w:lineRule="atLeast"/>
              <w:jc w:val="right"/>
              <w:rPr>
                <w:szCs w:val="21"/>
              </w:rPr>
            </w:pPr>
            <w:r>
              <w:rPr>
                <w:rFonts w:hint="eastAsia"/>
              </w:rPr>
              <w:t>　</w:t>
            </w:r>
          </w:p>
        </w:tc>
        <w:tc>
          <w:tcPr>
            <w:tcW w:w="2928" w:type="dxa"/>
            <w:vAlign w:val="center"/>
          </w:tcPr>
          <w:p>
            <w:pPr>
              <w:spacing w:line="240" w:lineRule="atLeast"/>
              <w:jc w:val="right"/>
              <w:rPr>
                <w:szCs w:val="21"/>
              </w:rPr>
            </w:pPr>
            <w:r>
              <w:rPr>
                <w:rFonts w:hint="eastAsi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398" w:type="dxa"/>
            <w:vAlign w:val="center"/>
          </w:tcPr>
          <w:p>
            <w:pPr>
              <w:spacing w:line="240" w:lineRule="atLeast"/>
              <w:ind w:firstLine="420" w:firstLineChars="200"/>
              <w:rPr>
                <w:szCs w:val="21"/>
              </w:rPr>
            </w:pPr>
            <w:r>
              <w:rPr>
                <w:rFonts w:hint="eastAsia"/>
                <w:szCs w:val="21"/>
              </w:rPr>
              <w:t>（1）处置</w:t>
            </w:r>
          </w:p>
        </w:tc>
        <w:tc>
          <w:tcPr>
            <w:tcW w:w="2721" w:type="dxa"/>
            <w:vAlign w:val="center"/>
          </w:tcPr>
          <w:p>
            <w:pPr>
              <w:spacing w:line="240" w:lineRule="atLeast"/>
              <w:jc w:val="right"/>
              <w:rPr>
                <w:szCs w:val="21"/>
              </w:rPr>
            </w:pPr>
            <w:r>
              <w:rPr>
                <w:rFonts w:hint="eastAsia"/>
              </w:rPr>
              <w:t>　</w:t>
            </w:r>
          </w:p>
        </w:tc>
        <w:tc>
          <w:tcPr>
            <w:tcW w:w="2928" w:type="dxa"/>
            <w:vAlign w:val="center"/>
          </w:tcPr>
          <w:p>
            <w:pPr>
              <w:spacing w:line="240" w:lineRule="atLeast"/>
              <w:jc w:val="right"/>
              <w:rPr>
                <w:szCs w:val="21"/>
              </w:rPr>
            </w:pPr>
            <w:r>
              <w:rPr>
                <w:rFonts w:hint="eastAsi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398" w:type="dxa"/>
            <w:vAlign w:val="center"/>
          </w:tcPr>
          <w:p>
            <w:pPr>
              <w:spacing w:line="240" w:lineRule="atLeast"/>
              <w:ind w:firstLine="420" w:firstLineChars="200"/>
              <w:rPr>
                <w:szCs w:val="21"/>
              </w:rPr>
            </w:pPr>
            <w:r>
              <w:rPr>
                <w:rFonts w:hint="eastAsia"/>
                <w:szCs w:val="21"/>
              </w:rPr>
              <w:t>4.</w:t>
            </w:r>
            <w:r>
              <w:rPr>
                <w:szCs w:val="21"/>
              </w:rPr>
              <w:t>期末余额</w:t>
            </w:r>
          </w:p>
        </w:tc>
        <w:tc>
          <w:tcPr>
            <w:tcW w:w="2721" w:type="dxa"/>
            <w:vAlign w:val="center"/>
          </w:tcPr>
          <w:p>
            <w:pPr>
              <w:spacing w:line="240" w:lineRule="atLeast"/>
              <w:jc w:val="right"/>
              <w:rPr>
                <w:szCs w:val="21"/>
              </w:rPr>
            </w:pPr>
            <w:r>
              <w:rPr>
                <w:rFonts w:hint="eastAsia"/>
                <w:szCs w:val="21"/>
              </w:rPr>
              <w:t>6,029,806.26</w:t>
            </w:r>
          </w:p>
        </w:tc>
        <w:tc>
          <w:tcPr>
            <w:tcW w:w="2928" w:type="dxa"/>
            <w:vAlign w:val="center"/>
          </w:tcPr>
          <w:p>
            <w:pPr>
              <w:spacing w:line="240" w:lineRule="atLeast"/>
              <w:jc w:val="right"/>
              <w:rPr>
                <w:szCs w:val="21"/>
              </w:rPr>
            </w:pPr>
            <w:r>
              <w:rPr>
                <w:rFonts w:hint="eastAsia"/>
                <w:szCs w:val="21"/>
              </w:rPr>
              <w:t>6,029,806.26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9047" w:type="dxa"/>
            <w:gridSpan w:val="3"/>
            <w:vAlign w:val="center"/>
          </w:tcPr>
          <w:sdt>
            <w:sdtPr>
              <w:tag w:val="_PLD_a32c53282c7a49e1a1747c76e44e7471"/>
              <w:id w:val="7223"/>
            </w:sdtPr>
            <w:sdtContent>
              <w:p>
                <w:pPr>
                  <w:spacing w:line="240" w:lineRule="atLeast"/>
                  <w:rPr>
                    <w:szCs w:val="21"/>
                  </w:rPr>
                </w:pPr>
                <w:r>
                  <w:rPr>
                    <w:szCs w:val="21"/>
                  </w:rPr>
                  <w:t>三、减值准备</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398" w:type="dxa"/>
            <w:vAlign w:val="center"/>
          </w:tcPr>
          <w:p>
            <w:pPr>
              <w:spacing w:line="240" w:lineRule="atLeast"/>
              <w:ind w:firstLine="420" w:firstLineChars="200"/>
              <w:rPr>
                <w:szCs w:val="21"/>
              </w:rPr>
            </w:pPr>
            <w:r>
              <w:rPr>
                <w:rFonts w:hint="eastAsia"/>
                <w:szCs w:val="21"/>
              </w:rPr>
              <w:t>1.期</w:t>
            </w:r>
            <w:r>
              <w:rPr>
                <w:szCs w:val="21"/>
              </w:rPr>
              <w:t>初余额</w:t>
            </w:r>
          </w:p>
        </w:tc>
        <w:tc>
          <w:tcPr>
            <w:tcW w:w="2721" w:type="dxa"/>
            <w:vAlign w:val="center"/>
          </w:tcPr>
          <w:p>
            <w:pPr>
              <w:spacing w:line="240" w:lineRule="atLeast"/>
              <w:jc w:val="right"/>
              <w:rPr>
                <w:szCs w:val="21"/>
              </w:rPr>
            </w:pPr>
            <w:r>
              <w:rPr>
                <w:rFonts w:hint="eastAsia"/>
              </w:rPr>
              <w:t>　</w:t>
            </w:r>
          </w:p>
        </w:tc>
        <w:tc>
          <w:tcPr>
            <w:tcW w:w="2928" w:type="dxa"/>
            <w:vAlign w:val="center"/>
          </w:tcPr>
          <w:p>
            <w:pPr>
              <w:spacing w:line="240" w:lineRule="atLeast"/>
              <w:jc w:val="right"/>
              <w:rPr>
                <w:szCs w:val="21"/>
              </w:rPr>
            </w:pPr>
            <w:r>
              <w:rPr>
                <w:rFonts w:hint="eastAsi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398" w:type="dxa"/>
            <w:vAlign w:val="center"/>
          </w:tcPr>
          <w:p>
            <w:pPr>
              <w:spacing w:line="240" w:lineRule="atLeast"/>
              <w:ind w:firstLine="420" w:firstLineChars="200"/>
              <w:rPr>
                <w:szCs w:val="21"/>
              </w:rPr>
            </w:pPr>
            <w:r>
              <w:rPr>
                <w:szCs w:val="21"/>
              </w:rPr>
              <w:t>2.本期增加</w:t>
            </w:r>
            <w:r>
              <w:rPr>
                <w:rFonts w:hint="eastAsia"/>
                <w:szCs w:val="21"/>
              </w:rPr>
              <w:t>金额</w:t>
            </w:r>
          </w:p>
        </w:tc>
        <w:tc>
          <w:tcPr>
            <w:tcW w:w="2721" w:type="dxa"/>
            <w:vAlign w:val="center"/>
          </w:tcPr>
          <w:p>
            <w:pPr>
              <w:spacing w:line="240" w:lineRule="atLeast"/>
              <w:jc w:val="right"/>
              <w:rPr>
                <w:szCs w:val="21"/>
              </w:rPr>
            </w:pPr>
            <w:r>
              <w:rPr>
                <w:rFonts w:hint="eastAsia"/>
              </w:rPr>
              <w:t>　</w:t>
            </w:r>
          </w:p>
        </w:tc>
        <w:tc>
          <w:tcPr>
            <w:tcW w:w="2928" w:type="dxa"/>
            <w:vAlign w:val="center"/>
          </w:tcPr>
          <w:p>
            <w:pPr>
              <w:spacing w:line="240" w:lineRule="atLeast"/>
              <w:jc w:val="right"/>
              <w:rPr>
                <w:szCs w:val="21"/>
              </w:rPr>
            </w:pPr>
            <w:r>
              <w:rPr>
                <w:rFonts w:hint="eastAsi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398" w:type="dxa"/>
            <w:vAlign w:val="center"/>
          </w:tcPr>
          <w:p>
            <w:pPr>
              <w:spacing w:line="240" w:lineRule="atLeast"/>
              <w:ind w:firstLine="420" w:firstLineChars="200"/>
              <w:rPr>
                <w:szCs w:val="21"/>
              </w:rPr>
            </w:pPr>
            <w:r>
              <w:rPr>
                <w:rFonts w:hint="eastAsia"/>
                <w:szCs w:val="21"/>
              </w:rPr>
              <w:t>（1）</w:t>
            </w:r>
            <w:r>
              <w:rPr>
                <w:szCs w:val="21"/>
              </w:rPr>
              <w:t>计提</w:t>
            </w:r>
          </w:p>
        </w:tc>
        <w:tc>
          <w:tcPr>
            <w:tcW w:w="2721" w:type="dxa"/>
            <w:vAlign w:val="center"/>
          </w:tcPr>
          <w:p>
            <w:pPr>
              <w:spacing w:line="240" w:lineRule="atLeast"/>
              <w:jc w:val="right"/>
              <w:rPr>
                <w:szCs w:val="21"/>
              </w:rPr>
            </w:pPr>
            <w:r>
              <w:rPr>
                <w:rFonts w:hint="eastAsia"/>
              </w:rPr>
              <w:t>　</w:t>
            </w:r>
          </w:p>
        </w:tc>
        <w:tc>
          <w:tcPr>
            <w:tcW w:w="2928" w:type="dxa"/>
            <w:vAlign w:val="center"/>
          </w:tcPr>
          <w:p>
            <w:pPr>
              <w:spacing w:line="240" w:lineRule="atLeast"/>
              <w:jc w:val="right"/>
              <w:rPr>
                <w:szCs w:val="21"/>
              </w:rPr>
            </w:pPr>
            <w:r>
              <w:rPr>
                <w:rFonts w:hint="eastAsi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398" w:type="dxa"/>
            <w:vAlign w:val="center"/>
          </w:tcPr>
          <w:p>
            <w:pPr>
              <w:spacing w:line="240" w:lineRule="atLeast"/>
              <w:ind w:firstLine="420" w:firstLineChars="200"/>
              <w:rPr>
                <w:szCs w:val="21"/>
              </w:rPr>
            </w:pPr>
            <w:r>
              <w:rPr>
                <w:rFonts w:hint="eastAsia"/>
                <w:szCs w:val="21"/>
              </w:rPr>
              <w:t>3.</w:t>
            </w:r>
            <w:r>
              <w:rPr>
                <w:szCs w:val="21"/>
              </w:rPr>
              <w:t>本期减少</w:t>
            </w:r>
            <w:r>
              <w:rPr>
                <w:rFonts w:hint="eastAsia"/>
                <w:szCs w:val="21"/>
              </w:rPr>
              <w:t>金额</w:t>
            </w:r>
          </w:p>
        </w:tc>
        <w:tc>
          <w:tcPr>
            <w:tcW w:w="2721" w:type="dxa"/>
            <w:vAlign w:val="center"/>
          </w:tcPr>
          <w:p>
            <w:pPr>
              <w:spacing w:line="240" w:lineRule="atLeast"/>
              <w:jc w:val="right"/>
              <w:rPr>
                <w:szCs w:val="21"/>
              </w:rPr>
            </w:pPr>
            <w:r>
              <w:rPr>
                <w:rFonts w:hint="eastAsia"/>
              </w:rPr>
              <w:t>　</w:t>
            </w:r>
          </w:p>
        </w:tc>
        <w:tc>
          <w:tcPr>
            <w:tcW w:w="2928" w:type="dxa"/>
            <w:vAlign w:val="center"/>
          </w:tcPr>
          <w:p>
            <w:pPr>
              <w:spacing w:line="240" w:lineRule="atLeast"/>
              <w:jc w:val="right"/>
              <w:rPr>
                <w:szCs w:val="21"/>
              </w:rPr>
            </w:pPr>
            <w:r>
              <w:rPr>
                <w:rFonts w:hint="eastAsi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398" w:type="dxa"/>
            <w:vAlign w:val="center"/>
          </w:tcPr>
          <w:p>
            <w:pPr>
              <w:spacing w:line="240" w:lineRule="atLeast"/>
              <w:ind w:firstLine="420" w:firstLineChars="200"/>
              <w:rPr>
                <w:szCs w:val="21"/>
              </w:rPr>
            </w:pPr>
            <w:r>
              <w:rPr>
                <w:rFonts w:hint="eastAsia"/>
                <w:szCs w:val="21"/>
              </w:rPr>
              <w:t>（1）处置</w:t>
            </w:r>
          </w:p>
        </w:tc>
        <w:tc>
          <w:tcPr>
            <w:tcW w:w="2721" w:type="dxa"/>
            <w:vAlign w:val="center"/>
          </w:tcPr>
          <w:p>
            <w:pPr>
              <w:spacing w:line="240" w:lineRule="atLeast"/>
              <w:jc w:val="right"/>
              <w:rPr>
                <w:szCs w:val="21"/>
              </w:rPr>
            </w:pPr>
            <w:r>
              <w:rPr>
                <w:rFonts w:hint="eastAsia"/>
              </w:rPr>
              <w:t>　</w:t>
            </w:r>
          </w:p>
        </w:tc>
        <w:tc>
          <w:tcPr>
            <w:tcW w:w="2928" w:type="dxa"/>
            <w:vAlign w:val="center"/>
          </w:tcPr>
          <w:p>
            <w:pPr>
              <w:spacing w:line="240" w:lineRule="atLeast"/>
              <w:jc w:val="right"/>
              <w:rPr>
                <w:szCs w:val="21"/>
              </w:rPr>
            </w:pPr>
            <w:r>
              <w:rPr>
                <w:rFonts w:hint="eastAsi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398" w:type="dxa"/>
            <w:vAlign w:val="center"/>
          </w:tcPr>
          <w:p>
            <w:pPr>
              <w:spacing w:line="240" w:lineRule="atLeast"/>
              <w:ind w:firstLine="420" w:firstLineChars="200"/>
              <w:rPr>
                <w:szCs w:val="21"/>
              </w:rPr>
            </w:pPr>
            <w:r>
              <w:rPr>
                <w:rFonts w:hint="eastAsia"/>
                <w:szCs w:val="21"/>
              </w:rPr>
              <w:t>4.</w:t>
            </w:r>
            <w:r>
              <w:rPr>
                <w:szCs w:val="21"/>
              </w:rPr>
              <w:t>期末余额</w:t>
            </w:r>
          </w:p>
        </w:tc>
        <w:tc>
          <w:tcPr>
            <w:tcW w:w="2721" w:type="dxa"/>
            <w:vAlign w:val="center"/>
          </w:tcPr>
          <w:p>
            <w:pPr>
              <w:spacing w:line="240" w:lineRule="atLeast"/>
              <w:jc w:val="right"/>
              <w:rPr>
                <w:szCs w:val="21"/>
              </w:rPr>
            </w:pPr>
            <w:r>
              <w:rPr>
                <w:rFonts w:hint="eastAsia"/>
              </w:rPr>
              <w:t>　</w:t>
            </w:r>
          </w:p>
        </w:tc>
        <w:tc>
          <w:tcPr>
            <w:tcW w:w="2928" w:type="dxa"/>
            <w:vAlign w:val="center"/>
          </w:tcPr>
          <w:p>
            <w:pPr>
              <w:spacing w:line="240" w:lineRule="atLeast"/>
              <w:jc w:val="right"/>
              <w:rPr>
                <w:szCs w:val="21"/>
              </w:rPr>
            </w:pPr>
            <w:r>
              <w:rPr>
                <w:rFonts w:hint="eastAsi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9047" w:type="dxa"/>
            <w:gridSpan w:val="3"/>
            <w:vAlign w:val="center"/>
          </w:tcPr>
          <w:sdt>
            <w:sdtPr>
              <w:tag w:val="_PLD_11c4f53648e149a88b6ff0ef5ef90dc8"/>
              <w:id w:val="7224"/>
            </w:sdtPr>
            <w:sdtContent>
              <w:p>
                <w:pPr>
                  <w:spacing w:line="240" w:lineRule="atLeast"/>
                  <w:rPr>
                    <w:szCs w:val="21"/>
                  </w:rPr>
                </w:pPr>
                <w:r>
                  <w:rPr>
                    <w:szCs w:val="21"/>
                  </w:rPr>
                  <w:t>四、账面价值</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398" w:type="dxa"/>
            <w:vAlign w:val="center"/>
          </w:tcPr>
          <w:p>
            <w:pPr>
              <w:spacing w:line="240" w:lineRule="atLeast"/>
              <w:rPr>
                <w:szCs w:val="21"/>
              </w:rPr>
            </w:pPr>
            <w:r>
              <w:rPr>
                <w:szCs w:val="21"/>
              </w:rPr>
              <w:t>1.期末账面价值</w:t>
            </w:r>
          </w:p>
        </w:tc>
        <w:tc>
          <w:tcPr>
            <w:tcW w:w="2721" w:type="dxa"/>
            <w:vAlign w:val="center"/>
          </w:tcPr>
          <w:p>
            <w:pPr>
              <w:spacing w:line="240" w:lineRule="atLeast"/>
              <w:jc w:val="right"/>
              <w:rPr>
                <w:szCs w:val="21"/>
              </w:rPr>
            </w:pPr>
            <w:r>
              <w:rPr>
                <w:rFonts w:hint="eastAsia"/>
                <w:szCs w:val="21"/>
              </w:rPr>
              <w:t>4,893,676.51</w:t>
            </w:r>
          </w:p>
        </w:tc>
        <w:tc>
          <w:tcPr>
            <w:tcW w:w="2928" w:type="dxa"/>
            <w:vAlign w:val="center"/>
          </w:tcPr>
          <w:p>
            <w:pPr>
              <w:spacing w:line="240" w:lineRule="atLeast"/>
              <w:jc w:val="right"/>
              <w:rPr>
                <w:szCs w:val="21"/>
              </w:rPr>
            </w:pPr>
            <w:r>
              <w:rPr>
                <w:rFonts w:hint="eastAsia"/>
                <w:szCs w:val="21"/>
              </w:rPr>
              <w:t>4,893,676.51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398" w:type="dxa"/>
            <w:vAlign w:val="center"/>
          </w:tcPr>
          <w:p>
            <w:pPr>
              <w:spacing w:line="240" w:lineRule="atLeast"/>
              <w:rPr>
                <w:szCs w:val="21"/>
              </w:rPr>
            </w:pPr>
            <w:r>
              <w:rPr>
                <w:szCs w:val="21"/>
              </w:rPr>
              <w:t>2.期初账面价值</w:t>
            </w:r>
          </w:p>
        </w:tc>
        <w:tc>
          <w:tcPr>
            <w:tcW w:w="2721" w:type="dxa"/>
            <w:vAlign w:val="center"/>
          </w:tcPr>
          <w:p>
            <w:pPr>
              <w:spacing w:line="240" w:lineRule="atLeast"/>
              <w:jc w:val="right"/>
              <w:rPr>
                <w:szCs w:val="21"/>
              </w:rPr>
            </w:pPr>
            <w:r>
              <w:rPr>
                <w:rFonts w:hint="eastAsia"/>
                <w:szCs w:val="21"/>
              </w:rPr>
              <w:t>7,198,033.54</w:t>
            </w:r>
          </w:p>
        </w:tc>
        <w:tc>
          <w:tcPr>
            <w:tcW w:w="2928" w:type="dxa"/>
            <w:vAlign w:val="center"/>
          </w:tcPr>
          <w:p>
            <w:pPr>
              <w:spacing w:line="240" w:lineRule="atLeast"/>
              <w:jc w:val="right"/>
              <w:rPr>
                <w:szCs w:val="21"/>
              </w:rPr>
            </w:pPr>
            <w:r>
              <w:rPr>
                <w:rFonts w:hint="eastAsia"/>
                <w:szCs w:val="21"/>
              </w:rPr>
              <w:t>7,198,033.54</w:t>
            </w:r>
          </w:p>
        </w:tc>
      </w:tr>
    </w:tbl>
    <w:p/>
    <w:bookmarkEnd w:id="306"/>
    <w:p>
      <w:pPr>
        <w:pStyle w:val="5"/>
        <w:numPr>
          <w:ilvl w:val="0"/>
          <w:numId w:val="83"/>
        </w:numPr>
        <w:rPr>
          <w:rFonts w:hint="eastAsia"/>
        </w:rPr>
      </w:pPr>
      <w:bookmarkStart w:id="308" w:name="_Hlk153461708"/>
      <w:r>
        <w:rPr>
          <w:rFonts w:hint="eastAsia"/>
        </w:rPr>
        <w:t>使用权资产的减值测试情况</w:t>
      </w:r>
    </w:p>
    <w:sdt>
      <w:sdtPr>
        <w:alias w:val="是否适用：减值测试情况[双击切换]"/>
        <w:tag w:val="_GBC_3b3aabc5b9ad4e9896fb84bfd63b8c60"/>
        <w:id w:val="7225"/>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307"/>
    <w:bookmarkEnd w:id="308"/>
    <w:p>
      <w:pPr>
        <w:autoSpaceDE w:val="0"/>
        <w:autoSpaceDN w:val="0"/>
        <w:adjustRightInd w:val="0"/>
        <w:rPr>
          <w:szCs w:val="21"/>
        </w:rPr>
      </w:pPr>
      <w:bookmarkStart w:id="309" w:name="_Hlk152863567"/>
      <w:r>
        <w:rPr>
          <w:rFonts w:hint="eastAsia"/>
          <w:szCs w:val="21"/>
        </w:rPr>
        <w:t>其他说明：</w:t>
      </w:r>
    </w:p>
    <w:sdt>
      <w:sdtPr>
        <w:alias w:val="使用权资产其他说明"/>
        <w:tag w:val="_GBC_41c40d661bff4f1b859d4bd00049983c"/>
        <w:id w:val="7226"/>
        <w:placeholder>
          <w:docPart w:val="GBC22222222222222222222222222222"/>
        </w:placeholder>
      </w:sdtPr>
      <w:sdtContent>
        <w:p>
          <w:pPr>
            <w:rPr>
              <w:szCs w:val="21"/>
            </w:rPr>
          </w:pPr>
          <w:r>
            <w:t>无</w:t>
          </w:r>
        </w:p>
      </w:sdtContent>
    </w:sdt>
    <w:bookmarkEnd w:id="309"/>
    <w:sdt>
      <w:sdtPr>
        <w:tag w:val="_PLD_d1e3531ce53f4c339d5241684d98c5ea"/>
        <w:id w:val="7227"/>
      </w:sdtPr>
      <w:sdtContent>
        <w:p>
          <w:pPr>
            <w:pStyle w:val="4"/>
            <w:numPr>
              <w:ilvl w:val="0"/>
              <w:numId w:val="62"/>
            </w:numPr>
            <w:tabs>
              <w:tab w:val="left" w:pos="504"/>
            </w:tabs>
            <w:rPr>
              <w:rFonts w:hint="eastAsia" w:ascii="宋体" w:hAnsi="宋体"/>
              <w:szCs w:val="21"/>
            </w:rPr>
          </w:pPr>
          <w:r>
            <w:rPr>
              <w:rFonts w:hint="eastAsia" w:ascii="宋体" w:hAnsi="宋体"/>
              <w:szCs w:val="21"/>
            </w:rPr>
            <w:t>无形资产</w:t>
          </w:r>
        </w:p>
      </w:sdtContent>
    </w:sdt>
    <w:p>
      <w:pPr>
        <w:pStyle w:val="5"/>
        <w:numPr>
          <w:ilvl w:val="3"/>
          <w:numId w:val="84"/>
        </w:numPr>
        <w:ind w:left="426" w:hanging="426"/>
        <w:rPr>
          <w:rFonts w:hint="eastAsia"/>
        </w:rPr>
      </w:pPr>
      <w:bookmarkStart w:id="310" w:name="_Hlk90557281"/>
      <w:r>
        <w:rPr>
          <w:rFonts w:hint="eastAsia"/>
        </w:rPr>
        <w:t>无形资产情况</w:t>
      </w:r>
    </w:p>
    <w:sdt>
      <w:sdtPr>
        <w:rPr>
          <w:rFonts w:hint="eastAsia"/>
          <w:szCs w:val="21"/>
        </w:rPr>
        <w:alias w:val="是否适用：无形资产情况[双击切换]"/>
        <w:tag w:val="_GBC_42237c7a99c64602a661c1668bc893bd"/>
        <w:id w:val="7228"/>
        <w:placeholder>
          <w:docPart w:val="GBC22222222222222222222222222222"/>
        </w:placeholder>
      </w:sdtPr>
      <w:sdtEndPr>
        <w:rPr>
          <w:rFonts w:hint="eastAsia"/>
          <w:szCs w:val="21"/>
        </w:rPr>
      </w:sdtEndPr>
      <w:sdtContent>
        <w:p>
          <w:pPr>
            <w:snapToGrid w:val="0"/>
            <w:spacing w:line="240" w:lineRule="atLeast"/>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37e64bddc8e645b48a19b4e7bafb7839"/>
          <w:id w:val="722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无形资产情况"/>
          <w:tag w:val="_GBC_2c85ccef3cf1470c8cf657b14b474192"/>
          <w:id w:val="723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3"/>
        <w:gridCol w:w="1515"/>
        <w:gridCol w:w="1470"/>
        <w:gridCol w:w="1320"/>
        <w:gridCol w:w="1502"/>
        <w:gridCol w:w="1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sdt>
            <w:sdtPr>
              <w:tag w:val="_PLD_0d0c5c4c9acf46eaa7c41a19eb731a5c"/>
              <w:id w:val="7231"/>
            </w:sdtPr>
            <w:sdtContent>
              <w:p>
                <w:pPr>
                  <w:jc w:val="center"/>
                  <w:rPr>
                    <w:szCs w:val="21"/>
                  </w:rPr>
                </w:pPr>
                <w:r>
                  <w:rPr>
                    <w:rFonts w:hint="eastAsia"/>
                    <w:szCs w:val="21"/>
                  </w:rPr>
                  <w:t>项目</w:t>
                </w:r>
              </w:p>
            </w:sdtContent>
          </w:sdt>
        </w:tc>
        <w:tc>
          <w:tcPr>
            <w:tcW w:w="1515" w:type="dxa"/>
            <w:vAlign w:val="center"/>
          </w:tcPr>
          <w:sdt>
            <w:sdtPr>
              <w:tag w:val="_PLD_0dfc6d612ce04e4ab91d7f5c675c7954"/>
              <w:id w:val="7232"/>
            </w:sdtPr>
            <w:sdtContent>
              <w:p>
                <w:pPr>
                  <w:jc w:val="center"/>
                  <w:rPr>
                    <w:szCs w:val="21"/>
                  </w:rPr>
                </w:pPr>
                <w:r>
                  <w:rPr>
                    <w:rFonts w:hint="eastAsia"/>
                    <w:szCs w:val="21"/>
                  </w:rPr>
                  <w:t>土地使用权</w:t>
                </w:r>
              </w:p>
            </w:sdtContent>
          </w:sdt>
        </w:tc>
        <w:tc>
          <w:tcPr>
            <w:tcW w:w="1470" w:type="dxa"/>
            <w:vAlign w:val="center"/>
          </w:tcPr>
          <w:sdt>
            <w:sdtPr>
              <w:tag w:val="_PLD_0d5a6bdde1fe4f6d9dcc5cb928d96ee9"/>
              <w:id w:val="7233"/>
            </w:sdtPr>
            <w:sdtContent>
              <w:p>
                <w:pPr>
                  <w:jc w:val="center"/>
                  <w:rPr>
                    <w:szCs w:val="21"/>
                  </w:rPr>
                </w:pPr>
                <w:r>
                  <w:rPr>
                    <w:rFonts w:hint="eastAsia"/>
                    <w:szCs w:val="21"/>
                  </w:rPr>
                  <w:t>专利权</w:t>
                </w:r>
              </w:p>
            </w:sdtContent>
          </w:sdt>
        </w:tc>
        <w:tc>
          <w:tcPr>
            <w:tcW w:w="1320" w:type="dxa"/>
            <w:vAlign w:val="center"/>
          </w:tcPr>
          <w:sdt>
            <w:sdtPr>
              <w:tag w:val="_PLD_c4e41ad8ec594f0dafd60ebc1a7da7ce"/>
              <w:id w:val="7234"/>
            </w:sdtPr>
            <w:sdtContent>
              <w:p>
                <w:pPr>
                  <w:jc w:val="center"/>
                  <w:rPr>
                    <w:szCs w:val="21"/>
                  </w:rPr>
                </w:pPr>
                <w:r>
                  <w:rPr>
                    <w:rFonts w:hint="eastAsia"/>
                    <w:szCs w:val="21"/>
                  </w:rPr>
                  <w:t>非专利技术</w:t>
                </w:r>
              </w:p>
            </w:sdtContent>
          </w:sdt>
        </w:tc>
        <w:tc>
          <w:tcPr>
            <w:tcW w:w="1502" w:type="dxa"/>
            <w:vAlign w:val="center"/>
          </w:tcPr>
          <w:sdt>
            <w:sdtPr>
              <w:rPr>
                <w:szCs w:val="21"/>
              </w:rPr>
              <w:alias w:val="无形资产明细－项目"/>
              <w:tag w:val="_GBC_1a0001be34594900ba0c5e610a635d50"/>
              <w:id w:val="7235"/>
            </w:sdtPr>
            <w:sdtEndPr>
              <w:rPr>
                <w:rFonts w:hint="eastAsia"/>
                <w:szCs w:val="21"/>
              </w:rPr>
            </w:sdtEndPr>
            <w:sdtContent>
              <w:p>
                <w:pPr>
                  <w:jc w:val="center"/>
                  <w:rPr>
                    <w:szCs w:val="21"/>
                  </w:rPr>
                </w:pPr>
                <w:r>
                  <w:rPr>
                    <w:rFonts w:hint="eastAsia"/>
                    <w:szCs w:val="21"/>
                  </w:rPr>
                  <w:t>办公软件</w:t>
                </w:r>
              </w:p>
            </w:sdtContent>
          </w:sdt>
        </w:tc>
        <w:tc>
          <w:tcPr>
            <w:tcW w:w="1596" w:type="dxa"/>
            <w:vAlign w:val="center"/>
          </w:tcPr>
          <w:sdt>
            <w:sdtPr>
              <w:tag w:val="_PLD_010a173744294c79817b77db863e3438"/>
              <w:id w:val="7236"/>
            </w:sdtPr>
            <w:sdtContent>
              <w:p>
                <w:pPr>
                  <w:jc w:val="center"/>
                  <w:rPr>
                    <w:szCs w:val="21"/>
                  </w:rPr>
                </w:pPr>
                <w:r>
                  <w:rPr>
                    <w:szCs w:val="21"/>
                  </w:rPr>
                  <w:t>合计</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046" w:type="dxa"/>
            <w:gridSpan w:val="6"/>
            <w:vAlign w:val="center"/>
          </w:tcPr>
          <w:sdt>
            <w:sdtPr>
              <w:tag w:val="_PLD_d38b2136312a4180852ade61efe6b93c"/>
              <w:id w:val="7237"/>
            </w:sdtPr>
            <w:sdtContent>
              <w:p>
                <w:pPr>
                  <w:rPr>
                    <w:szCs w:val="21"/>
                  </w:rPr>
                </w:pPr>
                <w:r>
                  <w:rPr>
                    <w:szCs w:val="21"/>
                  </w:rPr>
                  <w:t>一、</w:t>
                </w:r>
                <w:r>
                  <w:rPr>
                    <w:rFonts w:hint="eastAsia"/>
                    <w:szCs w:val="21"/>
                  </w:rPr>
                  <w:t>账面原值</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szCs w:val="21"/>
              </w:rPr>
              <w:t>1.</w:t>
            </w:r>
            <w:r>
              <w:rPr>
                <w:rFonts w:hint="eastAsia"/>
                <w:szCs w:val="21"/>
              </w:rPr>
              <w:t>期</w:t>
            </w:r>
            <w:r>
              <w:rPr>
                <w:szCs w:val="21"/>
              </w:rPr>
              <w:t>初余额</w:t>
            </w:r>
          </w:p>
        </w:tc>
        <w:tc>
          <w:tcPr>
            <w:tcW w:w="1515" w:type="dxa"/>
            <w:vAlign w:val="center"/>
          </w:tcPr>
          <w:p>
            <w:pPr>
              <w:jc w:val="right"/>
              <w:rPr>
                <w:rFonts w:hint="eastAsia"/>
                <w:szCs w:val="21"/>
              </w:rPr>
            </w:pPr>
            <w:r>
              <w:rPr>
                <w:rFonts w:hint="eastAsia"/>
                <w:color w:val="auto"/>
                <w:szCs w:val="21"/>
              </w:rPr>
              <w:t>99,871,635.04</w:t>
            </w:r>
          </w:p>
        </w:tc>
        <w:tc>
          <w:tcPr>
            <w:tcW w:w="1470" w:type="dxa"/>
            <w:vAlign w:val="center"/>
          </w:tcPr>
          <w:p>
            <w:pPr>
              <w:jc w:val="right"/>
              <w:rPr>
                <w:rFonts w:hint="eastAsia"/>
                <w:szCs w:val="21"/>
              </w:rPr>
            </w:pPr>
            <w:r>
              <w:rPr>
                <w:rFonts w:hint="eastAsia"/>
                <w:color w:val="auto"/>
                <w:szCs w:val="21"/>
              </w:rPr>
              <w:t>10,129,305.52</w:t>
            </w:r>
          </w:p>
        </w:tc>
        <w:tc>
          <w:tcPr>
            <w:tcW w:w="1320" w:type="dxa"/>
            <w:vAlign w:val="center"/>
          </w:tcPr>
          <w:p>
            <w:pPr>
              <w:jc w:val="right"/>
              <w:rPr>
                <w:rFonts w:hint="eastAsia"/>
                <w:szCs w:val="21"/>
              </w:rPr>
            </w:pPr>
            <w:r>
              <w:rPr>
                <w:rFonts w:hint="eastAsia"/>
                <w:color w:val="auto"/>
                <w:szCs w:val="21"/>
              </w:rPr>
              <w:t>1,507,624.54</w:t>
            </w:r>
          </w:p>
        </w:tc>
        <w:tc>
          <w:tcPr>
            <w:tcW w:w="1502" w:type="dxa"/>
            <w:vAlign w:val="center"/>
          </w:tcPr>
          <w:p>
            <w:pPr>
              <w:jc w:val="right"/>
              <w:rPr>
                <w:rFonts w:hint="eastAsia"/>
                <w:szCs w:val="21"/>
              </w:rPr>
            </w:pPr>
            <w:r>
              <w:rPr>
                <w:rFonts w:hint="eastAsia"/>
                <w:color w:val="auto"/>
                <w:szCs w:val="21"/>
              </w:rPr>
              <w:t>14,075,301.29</w:t>
            </w:r>
          </w:p>
        </w:tc>
        <w:tc>
          <w:tcPr>
            <w:tcW w:w="1596" w:type="dxa"/>
            <w:vAlign w:val="center"/>
          </w:tcPr>
          <w:p>
            <w:pPr>
              <w:jc w:val="right"/>
              <w:rPr>
                <w:szCs w:val="21"/>
              </w:rPr>
            </w:pPr>
            <w:r>
              <w:rPr>
                <w:rFonts w:hint="eastAsia"/>
                <w:color w:val="auto"/>
                <w:szCs w:val="21"/>
              </w:rPr>
              <w:t>125,583,866.39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szCs w:val="21"/>
              </w:rPr>
              <w:t>2.本期增加</w:t>
            </w:r>
            <w:r>
              <w:rPr>
                <w:rFonts w:hint="eastAsia"/>
                <w:szCs w:val="21"/>
              </w:rPr>
              <w:t>金额</w:t>
            </w:r>
          </w:p>
        </w:tc>
        <w:tc>
          <w:tcPr>
            <w:tcW w:w="1515" w:type="dxa"/>
            <w:vAlign w:val="center"/>
          </w:tcPr>
          <w:p>
            <w:pPr>
              <w:jc w:val="right"/>
              <w:rPr>
                <w:rFonts w:hint="eastAsia"/>
                <w:szCs w:val="21"/>
              </w:rPr>
            </w:pPr>
          </w:p>
        </w:tc>
        <w:tc>
          <w:tcPr>
            <w:tcW w:w="1470" w:type="dxa"/>
            <w:vAlign w:val="center"/>
          </w:tcPr>
          <w:p>
            <w:pPr>
              <w:jc w:val="right"/>
              <w:rPr>
                <w:rFonts w:hint="eastAsia"/>
                <w:szCs w:val="21"/>
              </w:rPr>
            </w:pPr>
          </w:p>
        </w:tc>
        <w:tc>
          <w:tcPr>
            <w:tcW w:w="1320" w:type="dxa"/>
            <w:vAlign w:val="center"/>
          </w:tcPr>
          <w:p>
            <w:pPr>
              <w:jc w:val="right"/>
              <w:rPr>
                <w:rFonts w:hint="eastAsia"/>
                <w:szCs w:val="21"/>
              </w:rPr>
            </w:pPr>
          </w:p>
        </w:tc>
        <w:tc>
          <w:tcPr>
            <w:tcW w:w="1502" w:type="dxa"/>
            <w:vAlign w:val="center"/>
          </w:tcPr>
          <w:p>
            <w:pPr>
              <w:jc w:val="right"/>
              <w:rPr>
                <w:rFonts w:hint="eastAsia"/>
                <w:szCs w:val="21"/>
              </w:rPr>
            </w:pPr>
            <w:r>
              <w:rPr>
                <w:rFonts w:hint="eastAsia"/>
                <w:color w:val="auto"/>
                <w:szCs w:val="21"/>
              </w:rPr>
              <w:t>660,446.92</w:t>
            </w:r>
          </w:p>
        </w:tc>
        <w:tc>
          <w:tcPr>
            <w:tcW w:w="1596" w:type="dxa"/>
            <w:vAlign w:val="center"/>
          </w:tcPr>
          <w:p>
            <w:pPr>
              <w:jc w:val="right"/>
              <w:rPr>
                <w:szCs w:val="21"/>
              </w:rPr>
            </w:pPr>
            <w:r>
              <w:rPr>
                <w:rFonts w:hint="eastAsia"/>
                <w:color w:val="auto"/>
                <w:szCs w:val="21"/>
              </w:rPr>
              <w:t>660,446.92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rFonts w:hint="eastAsia"/>
                <w:szCs w:val="21"/>
              </w:rPr>
              <w:t>（1）购置</w:t>
            </w:r>
          </w:p>
        </w:tc>
        <w:tc>
          <w:tcPr>
            <w:tcW w:w="1515" w:type="dxa"/>
            <w:vAlign w:val="center"/>
          </w:tcPr>
          <w:p>
            <w:pPr>
              <w:jc w:val="right"/>
              <w:rPr>
                <w:rFonts w:hint="eastAsia"/>
                <w:szCs w:val="21"/>
              </w:rPr>
            </w:pPr>
          </w:p>
        </w:tc>
        <w:tc>
          <w:tcPr>
            <w:tcW w:w="1470" w:type="dxa"/>
            <w:vAlign w:val="center"/>
          </w:tcPr>
          <w:p>
            <w:pPr>
              <w:jc w:val="right"/>
              <w:rPr>
                <w:rFonts w:hint="eastAsia"/>
                <w:szCs w:val="21"/>
              </w:rPr>
            </w:pPr>
          </w:p>
        </w:tc>
        <w:tc>
          <w:tcPr>
            <w:tcW w:w="1320" w:type="dxa"/>
            <w:vAlign w:val="center"/>
          </w:tcPr>
          <w:p>
            <w:pPr>
              <w:jc w:val="right"/>
              <w:rPr>
                <w:rFonts w:hint="eastAsia"/>
                <w:szCs w:val="21"/>
              </w:rPr>
            </w:pPr>
          </w:p>
        </w:tc>
        <w:tc>
          <w:tcPr>
            <w:tcW w:w="1502" w:type="dxa"/>
            <w:shd w:val="clear" w:color="auto" w:fill="auto"/>
            <w:vAlign w:val="center"/>
          </w:tcPr>
          <w:p>
            <w:pPr>
              <w:jc w:val="right"/>
              <w:rPr>
                <w:rFonts w:hint="eastAsia" w:ascii="Times New Roman" w:hAnsi="Times New Roman" w:eastAsia="宋体" w:cs="Times New Roman"/>
                <w:sz w:val="21"/>
                <w:szCs w:val="21"/>
                <w:lang w:val="en-US" w:eastAsia="zh-CN" w:bidi="ar-SA"/>
              </w:rPr>
            </w:pPr>
            <w:r>
              <w:rPr>
                <w:rFonts w:hint="eastAsia"/>
                <w:color w:val="auto"/>
                <w:szCs w:val="21"/>
              </w:rPr>
              <w:t>660,446.92</w:t>
            </w:r>
          </w:p>
        </w:tc>
        <w:tc>
          <w:tcPr>
            <w:tcW w:w="1596" w:type="dxa"/>
            <w:shd w:val="clear" w:color="auto" w:fill="auto"/>
            <w:vAlign w:val="center"/>
          </w:tcPr>
          <w:p>
            <w:pPr>
              <w:jc w:val="right"/>
              <w:rPr>
                <w:rFonts w:ascii="Times New Roman" w:hAnsi="Times New Roman" w:eastAsia="宋体" w:cs="Times New Roman"/>
                <w:sz w:val="21"/>
                <w:szCs w:val="21"/>
                <w:lang w:val="en-US" w:eastAsia="zh-CN" w:bidi="ar-SA"/>
              </w:rPr>
            </w:pPr>
            <w:r>
              <w:rPr>
                <w:rFonts w:hint="eastAsia"/>
                <w:color w:val="auto"/>
                <w:szCs w:val="21"/>
              </w:rPr>
              <w:t>660,446.92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rFonts w:hint="eastAsia"/>
                <w:szCs w:val="21"/>
              </w:rPr>
              <w:t>（2）内部研发</w:t>
            </w:r>
          </w:p>
        </w:tc>
        <w:tc>
          <w:tcPr>
            <w:tcW w:w="1515" w:type="dxa"/>
            <w:vAlign w:val="center"/>
          </w:tcPr>
          <w:p>
            <w:pPr>
              <w:jc w:val="right"/>
              <w:rPr>
                <w:rFonts w:hint="eastAsia"/>
                <w:szCs w:val="21"/>
              </w:rPr>
            </w:pPr>
          </w:p>
        </w:tc>
        <w:tc>
          <w:tcPr>
            <w:tcW w:w="1470" w:type="dxa"/>
            <w:vAlign w:val="center"/>
          </w:tcPr>
          <w:p>
            <w:pPr>
              <w:jc w:val="right"/>
              <w:rPr>
                <w:rFonts w:hint="eastAsia"/>
                <w:szCs w:val="21"/>
              </w:rPr>
            </w:pPr>
          </w:p>
        </w:tc>
        <w:tc>
          <w:tcPr>
            <w:tcW w:w="1320" w:type="dxa"/>
            <w:vAlign w:val="center"/>
          </w:tcPr>
          <w:p>
            <w:pPr>
              <w:jc w:val="right"/>
              <w:rPr>
                <w:rFonts w:hint="eastAsia"/>
                <w:szCs w:val="21"/>
              </w:rPr>
            </w:pPr>
          </w:p>
        </w:tc>
        <w:tc>
          <w:tcPr>
            <w:tcW w:w="1502" w:type="dxa"/>
            <w:vAlign w:val="center"/>
          </w:tcPr>
          <w:p>
            <w:pPr>
              <w:jc w:val="right"/>
              <w:rPr>
                <w:rFonts w:hint="eastAsia"/>
                <w:szCs w:val="21"/>
              </w:rPr>
            </w:pPr>
          </w:p>
        </w:tc>
        <w:tc>
          <w:tcPr>
            <w:tcW w:w="1596" w:type="dxa"/>
            <w:vAlign w:val="center"/>
          </w:tcPr>
          <w:p>
            <w:pPr>
              <w:jc w:val="right"/>
              <w:rPr>
                <w:rFonts w:hint="eastAsia"/>
                <w:szCs w:val="21"/>
              </w:rPr>
            </w:pPr>
          </w:p>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rFonts w:hint="eastAsia"/>
                <w:szCs w:val="21"/>
              </w:rPr>
              <w:t>（3）企</w:t>
            </w:r>
            <w:r>
              <w:rPr>
                <w:szCs w:val="21"/>
              </w:rPr>
              <w:t>业合并增加</w:t>
            </w:r>
          </w:p>
        </w:tc>
        <w:tc>
          <w:tcPr>
            <w:tcW w:w="1515" w:type="dxa"/>
            <w:vAlign w:val="center"/>
          </w:tcPr>
          <w:p>
            <w:pPr>
              <w:jc w:val="right"/>
              <w:rPr>
                <w:szCs w:val="21"/>
              </w:rPr>
            </w:pPr>
          </w:p>
        </w:tc>
        <w:tc>
          <w:tcPr>
            <w:tcW w:w="1470" w:type="dxa"/>
            <w:vAlign w:val="center"/>
          </w:tcPr>
          <w:p>
            <w:pPr>
              <w:jc w:val="right"/>
              <w:rPr>
                <w:szCs w:val="21"/>
              </w:rPr>
            </w:pPr>
          </w:p>
        </w:tc>
        <w:tc>
          <w:tcPr>
            <w:tcW w:w="1320" w:type="dxa"/>
            <w:vAlign w:val="center"/>
          </w:tcPr>
          <w:p>
            <w:pPr>
              <w:jc w:val="right"/>
              <w:rPr>
                <w:szCs w:val="21"/>
              </w:rPr>
            </w:pPr>
          </w:p>
        </w:tc>
        <w:tc>
          <w:tcPr>
            <w:tcW w:w="1502" w:type="dxa"/>
            <w:vAlign w:val="center"/>
          </w:tcPr>
          <w:p>
            <w:pPr>
              <w:jc w:val="right"/>
              <w:rPr>
                <w:szCs w:val="21"/>
              </w:rPr>
            </w:pPr>
          </w:p>
        </w:tc>
        <w:tc>
          <w:tcPr>
            <w:tcW w:w="1596" w:type="dxa"/>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szCs w:val="21"/>
              </w:rPr>
              <w:t>3.本期减少</w:t>
            </w:r>
            <w:r>
              <w:rPr>
                <w:rFonts w:hint="eastAsia"/>
                <w:szCs w:val="21"/>
              </w:rPr>
              <w:t>金额</w:t>
            </w:r>
          </w:p>
        </w:tc>
        <w:tc>
          <w:tcPr>
            <w:tcW w:w="1515" w:type="dxa"/>
            <w:vAlign w:val="center"/>
          </w:tcPr>
          <w:p>
            <w:pPr>
              <w:jc w:val="right"/>
              <w:rPr>
                <w:rFonts w:hint="eastAsia"/>
                <w:szCs w:val="21"/>
              </w:rPr>
            </w:pPr>
          </w:p>
        </w:tc>
        <w:tc>
          <w:tcPr>
            <w:tcW w:w="1470" w:type="dxa"/>
            <w:vAlign w:val="center"/>
          </w:tcPr>
          <w:p>
            <w:pPr>
              <w:jc w:val="right"/>
              <w:rPr>
                <w:rFonts w:hint="eastAsia"/>
                <w:szCs w:val="21"/>
              </w:rPr>
            </w:pPr>
          </w:p>
        </w:tc>
        <w:tc>
          <w:tcPr>
            <w:tcW w:w="1320" w:type="dxa"/>
            <w:vAlign w:val="center"/>
          </w:tcPr>
          <w:p>
            <w:pPr>
              <w:jc w:val="right"/>
              <w:rPr>
                <w:rFonts w:hint="eastAsia"/>
                <w:szCs w:val="21"/>
              </w:rPr>
            </w:pPr>
          </w:p>
        </w:tc>
        <w:tc>
          <w:tcPr>
            <w:tcW w:w="1502" w:type="dxa"/>
            <w:vAlign w:val="center"/>
          </w:tcPr>
          <w:p>
            <w:pPr>
              <w:jc w:val="right"/>
              <w:rPr>
                <w:rFonts w:hint="eastAsia"/>
                <w:szCs w:val="21"/>
              </w:rPr>
            </w:pPr>
          </w:p>
        </w:tc>
        <w:tc>
          <w:tcPr>
            <w:tcW w:w="1596" w:type="dxa"/>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rFonts w:hint="eastAsia"/>
                <w:szCs w:val="21"/>
              </w:rPr>
              <w:t>（1）处置</w:t>
            </w:r>
          </w:p>
        </w:tc>
        <w:tc>
          <w:tcPr>
            <w:tcW w:w="1515" w:type="dxa"/>
            <w:vAlign w:val="center"/>
          </w:tcPr>
          <w:p>
            <w:pPr>
              <w:jc w:val="right"/>
              <w:rPr>
                <w:rFonts w:hint="eastAsia"/>
                <w:szCs w:val="21"/>
              </w:rPr>
            </w:pPr>
          </w:p>
        </w:tc>
        <w:tc>
          <w:tcPr>
            <w:tcW w:w="1470" w:type="dxa"/>
            <w:vAlign w:val="center"/>
          </w:tcPr>
          <w:p>
            <w:pPr>
              <w:jc w:val="right"/>
              <w:rPr>
                <w:rFonts w:hint="eastAsia"/>
                <w:szCs w:val="21"/>
              </w:rPr>
            </w:pPr>
          </w:p>
        </w:tc>
        <w:tc>
          <w:tcPr>
            <w:tcW w:w="1320" w:type="dxa"/>
            <w:vAlign w:val="center"/>
          </w:tcPr>
          <w:p>
            <w:pPr>
              <w:jc w:val="right"/>
              <w:rPr>
                <w:rFonts w:hint="eastAsia"/>
                <w:szCs w:val="21"/>
              </w:rPr>
            </w:pPr>
          </w:p>
        </w:tc>
        <w:tc>
          <w:tcPr>
            <w:tcW w:w="1502" w:type="dxa"/>
            <w:vAlign w:val="center"/>
          </w:tcPr>
          <w:p>
            <w:pPr>
              <w:jc w:val="right"/>
              <w:rPr>
                <w:rFonts w:hint="eastAsia"/>
                <w:szCs w:val="21"/>
              </w:rPr>
            </w:pPr>
          </w:p>
        </w:tc>
        <w:tc>
          <w:tcPr>
            <w:tcW w:w="1596" w:type="dxa"/>
            <w:vAlign w:val="center"/>
          </w:tcPr>
          <w:p>
            <w:pPr>
              <w:jc w:val="right"/>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szCs w:val="21"/>
              </w:rPr>
              <w:t>4.期末余额</w:t>
            </w:r>
          </w:p>
        </w:tc>
        <w:tc>
          <w:tcPr>
            <w:tcW w:w="1515" w:type="dxa"/>
            <w:vAlign w:val="center"/>
          </w:tcPr>
          <w:p>
            <w:pPr>
              <w:jc w:val="right"/>
              <w:rPr>
                <w:rFonts w:hint="eastAsia"/>
                <w:szCs w:val="21"/>
              </w:rPr>
            </w:pPr>
            <w:r>
              <w:rPr>
                <w:rFonts w:hint="eastAsia"/>
                <w:color w:val="auto"/>
                <w:szCs w:val="21"/>
              </w:rPr>
              <w:t>99,871,635.04</w:t>
            </w:r>
          </w:p>
        </w:tc>
        <w:tc>
          <w:tcPr>
            <w:tcW w:w="1470" w:type="dxa"/>
            <w:vAlign w:val="center"/>
          </w:tcPr>
          <w:p>
            <w:pPr>
              <w:jc w:val="right"/>
              <w:rPr>
                <w:rFonts w:hint="eastAsia"/>
                <w:szCs w:val="21"/>
              </w:rPr>
            </w:pPr>
            <w:r>
              <w:rPr>
                <w:rFonts w:hint="eastAsia"/>
                <w:color w:val="auto"/>
                <w:szCs w:val="21"/>
              </w:rPr>
              <w:t>10,129,305.52</w:t>
            </w:r>
          </w:p>
        </w:tc>
        <w:tc>
          <w:tcPr>
            <w:tcW w:w="1320" w:type="dxa"/>
            <w:vAlign w:val="center"/>
          </w:tcPr>
          <w:p>
            <w:pPr>
              <w:jc w:val="right"/>
              <w:rPr>
                <w:rFonts w:hint="eastAsia"/>
                <w:szCs w:val="21"/>
              </w:rPr>
            </w:pPr>
            <w:r>
              <w:rPr>
                <w:rFonts w:hint="eastAsia"/>
                <w:color w:val="auto"/>
                <w:szCs w:val="21"/>
              </w:rPr>
              <w:t>1,507,624.54</w:t>
            </w:r>
          </w:p>
        </w:tc>
        <w:tc>
          <w:tcPr>
            <w:tcW w:w="1502" w:type="dxa"/>
            <w:vAlign w:val="center"/>
          </w:tcPr>
          <w:p>
            <w:pPr>
              <w:jc w:val="right"/>
              <w:rPr>
                <w:rFonts w:hint="eastAsia"/>
                <w:szCs w:val="21"/>
              </w:rPr>
            </w:pPr>
            <w:r>
              <w:rPr>
                <w:rFonts w:hint="eastAsia"/>
                <w:color w:val="auto"/>
                <w:szCs w:val="21"/>
              </w:rPr>
              <w:t>14,735,748.21</w:t>
            </w:r>
          </w:p>
        </w:tc>
        <w:tc>
          <w:tcPr>
            <w:tcW w:w="1596" w:type="dxa"/>
            <w:vAlign w:val="center"/>
          </w:tcPr>
          <w:p>
            <w:pPr>
              <w:jc w:val="right"/>
              <w:rPr>
                <w:szCs w:val="21"/>
              </w:rPr>
            </w:pPr>
            <w:r>
              <w:rPr>
                <w:rFonts w:hint="eastAsia"/>
                <w:color w:val="auto"/>
                <w:szCs w:val="21"/>
              </w:rPr>
              <w:t>126,244,313.31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046" w:type="dxa"/>
            <w:gridSpan w:val="6"/>
            <w:vAlign w:val="center"/>
          </w:tcPr>
          <w:sdt>
            <w:sdtPr>
              <w:tag w:val="_PLD_31b6b6971eff48bf893163f2b1779469"/>
              <w:id w:val="7238"/>
            </w:sdtPr>
            <w:sdtContent>
              <w:p>
                <w:pPr>
                  <w:rPr>
                    <w:szCs w:val="21"/>
                  </w:rPr>
                </w:pPr>
                <w:r>
                  <w:rPr>
                    <w:szCs w:val="21"/>
                  </w:rPr>
                  <w:t>二、累计</w:t>
                </w:r>
                <w:r>
                  <w:rPr>
                    <w:rFonts w:hint="eastAsia"/>
                    <w:szCs w:val="21"/>
                  </w:rPr>
                  <w:t>摊销</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rFonts w:hint="eastAsia"/>
                <w:szCs w:val="21"/>
              </w:rPr>
              <w:t>1.期</w:t>
            </w:r>
            <w:r>
              <w:rPr>
                <w:szCs w:val="21"/>
              </w:rPr>
              <w:t>初余额</w:t>
            </w:r>
          </w:p>
        </w:tc>
        <w:tc>
          <w:tcPr>
            <w:tcW w:w="1515" w:type="dxa"/>
            <w:vAlign w:val="center"/>
          </w:tcPr>
          <w:p>
            <w:pPr>
              <w:jc w:val="right"/>
              <w:rPr>
                <w:rFonts w:hint="eastAsia"/>
                <w:szCs w:val="21"/>
              </w:rPr>
            </w:pPr>
            <w:r>
              <w:rPr>
                <w:rFonts w:hint="eastAsia"/>
                <w:color w:val="auto"/>
                <w:szCs w:val="21"/>
              </w:rPr>
              <w:t>32,661,674.53</w:t>
            </w:r>
          </w:p>
        </w:tc>
        <w:tc>
          <w:tcPr>
            <w:tcW w:w="1470" w:type="dxa"/>
            <w:vAlign w:val="center"/>
          </w:tcPr>
          <w:p>
            <w:pPr>
              <w:jc w:val="right"/>
              <w:rPr>
                <w:rFonts w:hint="eastAsia"/>
                <w:szCs w:val="21"/>
              </w:rPr>
            </w:pPr>
            <w:r>
              <w:rPr>
                <w:rFonts w:hint="eastAsia"/>
                <w:color w:val="auto"/>
                <w:szCs w:val="21"/>
              </w:rPr>
              <w:t>9,453,978.49</w:t>
            </w:r>
          </w:p>
        </w:tc>
        <w:tc>
          <w:tcPr>
            <w:tcW w:w="1320" w:type="dxa"/>
            <w:vAlign w:val="center"/>
          </w:tcPr>
          <w:p>
            <w:pPr>
              <w:jc w:val="right"/>
              <w:rPr>
                <w:rFonts w:hint="eastAsia"/>
                <w:szCs w:val="21"/>
              </w:rPr>
            </w:pPr>
            <w:r>
              <w:rPr>
                <w:rFonts w:hint="eastAsia"/>
                <w:color w:val="auto"/>
                <w:szCs w:val="21"/>
              </w:rPr>
              <w:t>643,005.27</w:t>
            </w:r>
          </w:p>
        </w:tc>
        <w:tc>
          <w:tcPr>
            <w:tcW w:w="1502" w:type="dxa"/>
            <w:vAlign w:val="center"/>
          </w:tcPr>
          <w:p>
            <w:pPr>
              <w:jc w:val="right"/>
              <w:rPr>
                <w:rFonts w:hint="eastAsia"/>
                <w:szCs w:val="21"/>
              </w:rPr>
            </w:pPr>
            <w:r>
              <w:rPr>
                <w:rFonts w:hint="eastAsia"/>
                <w:color w:val="auto"/>
                <w:szCs w:val="21"/>
              </w:rPr>
              <w:t>4,050,178.56</w:t>
            </w:r>
          </w:p>
        </w:tc>
        <w:tc>
          <w:tcPr>
            <w:tcW w:w="1596" w:type="dxa"/>
            <w:vAlign w:val="center"/>
          </w:tcPr>
          <w:p>
            <w:pPr>
              <w:jc w:val="right"/>
              <w:rPr>
                <w:szCs w:val="21"/>
              </w:rPr>
            </w:pPr>
            <w:r>
              <w:rPr>
                <w:rFonts w:hint="eastAsia"/>
                <w:color w:val="auto"/>
                <w:szCs w:val="21"/>
              </w:rPr>
              <w:t>46,808,836.85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szCs w:val="21"/>
              </w:rPr>
              <w:t>2.本期增加</w:t>
            </w:r>
            <w:r>
              <w:rPr>
                <w:rFonts w:hint="eastAsia"/>
                <w:szCs w:val="21"/>
              </w:rPr>
              <w:t>金额</w:t>
            </w:r>
          </w:p>
        </w:tc>
        <w:tc>
          <w:tcPr>
            <w:tcW w:w="1515" w:type="dxa"/>
            <w:vAlign w:val="center"/>
          </w:tcPr>
          <w:p>
            <w:pPr>
              <w:jc w:val="right"/>
              <w:rPr>
                <w:rFonts w:hint="eastAsia"/>
                <w:szCs w:val="21"/>
              </w:rPr>
            </w:pPr>
            <w:r>
              <w:rPr>
                <w:rFonts w:hint="eastAsia"/>
                <w:color w:val="auto"/>
                <w:szCs w:val="21"/>
              </w:rPr>
              <w:t>2,016,219.72</w:t>
            </w:r>
          </w:p>
        </w:tc>
        <w:tc>
          <w:tcPr>
            <w:tcW w:w="1470" w:type="dxa"/>
            <w:vAlign w:val="center"/>
          </w:tcPr>
          <w:p>
            <w:pPr>
              <w:jc w:val="right"/>
              <w:rPr>
                <w:rFonts w:hint="eastAsia"/>
                <w:szCs w:val="21"/>
              </w:rPr>
            </w:pPr>
            <w:r>
              <w:rPr>
                <w:rFonts w:hint="eastAsia"/>
                <w:color w:val="auto"/>
                <w:szCs w:val="21"/>
              </w:rPr>
              <w:t>　</w:t>
            </w:r>
          </w:p>
        </w:tc>
        <w:tc>
          <w:tcPr>
            <w:tcW w:w="1320" w:type="dxa"/>
            <w:vAlign w:val="center"/>
          </w:tcPr>
          <w:p>
            <w:pPr>
              <w:jc w:val="right"/>
              <w:rPr>
                <w:rFonts w:hint="eastAsia"/>
                <w:szCs w:val="21"/>
              </w:rPr>
            </w:pPr>
            <w:r>
              <w:rPr>
                <w:rFonts w:hint="eastAsia"/>
                <w:color w:val="auto"/>
                <w:szCs w:val="21"/>
              </w:rPr>
              <w:t>9,433.92</w:t>
            </w:r>
          </w:p>
        </w:tc>
        <w:tc>
          <w:tcPr>
            <w:tcW w:w="1502" w:type="dxa"/>
            <w:vAlign w:val="center"/>
          </w:tcPr>
          <w:p>
            <w:pPr>
              <w:jc w:val="right"/>
              <w:rPr>
                <w:rFonts w:hint="eastAsia"/>
                <w:szCs w:val="21"/>
              </w:rPr>
            </w:pPr>
            <w:r>
              <w:rPr>
                <w:rFonts w:hint="eastAsia"/>
                <w:color w:val="auto"/>
                <w:szCs w:val="21"/>
              </w:rPr>
              <w:t>906,281.91</w:t>
            </w:r>
          </w:p>
        </w:tc>
        <w:tc>
          <w:tcPr>
            <w:tcW w:w="1596" w:type="dxa"/>
            <w:vAlign w:val="center"/>
          </w:tcPr>
          <w:p>
            <w:pPr>
              <w:jc w:val="right"/>
              <w:rPr>
                <w:szCs w:val="21"/>
              </w:rPr>
            </w:pPr>
            <w:r>
              <w:rPr>
                <w:rFonts w:hint="eastAsia"/>
                <w:color w:val="auto"/>
                <w:szCs w:val="21"/>
              </w:rPr>
              <w:t>2,931,935.55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rFonts w:hint="eastAsia"/>
                <w:szCs w:val="21"/>
              </w:rPr>
              <w:t>（1）</w:t>
            </w:r>
            <w:r>
              <w:rPr>
                <w:szCs w:val="21"/>
              </w:rPr>
              <w:t>计提</w:t>
            </w:r>
          </w:p>
        </w:tc>
        <w:tc>
          <w:tcPr>
            <w:tcW w:w="1515" w:type="dxa"/>
            <w:vAlign w:val="center"/>
          </w:tcPr>
          <w:p>
            <w:pPr>
              <w:jc w:val="right"/>
              <w:rPr>
                <w:rFonts w:hint="eastAsia"/>
                <w:szCs w:val="21"/>
              </w:rPr>
            </w:pPr>
            <w:r>
              <w:rPr>
                <w:rFonts w:hint="eastAsia"/>
                <w:color w:val="auto"/>
                <w:szCs w:val="21"/>
              </w:rPr>
              <w:t>2,016,219.72</w:t>
            </w:r>
          </w:p>
        </w:tc>
        <w:tc>
          <w:tcPr>
            <w:tcW w:w="1470" w:type="dxa"/>
            <w:vAlign w:val="center"/>
          </w:tcPr>
          <w:p>
            <w:pPr>
              <w:jc w:val="right"/>
              <w:rPr>
                <w:rFonts w:hint="eastAsia"/>
                <w:szCs w:val="21"/>
              </w:rPr>
            </w:pPr>
            <w:r>
              <w:rPr>
                <w:rFonts w:hint="eastAsia"/>
                <w:color w:val="auto"/>
                <w:szCs w:val="21"/>
              </w:rPr>
              <w:t>　</w:t>
            </w:r>
          </w:p>
        </w:tc>
        <w:tc>
          <w:tcPr>
            <w:tcW w:w="1320" w:type="dxa"/>
            <w:vAlign w:val="center"/>
          </w:tcPr>
          <w:p>
            <w:pPr>
              <w:jc w:val="right"/>
              <w:rPr>
                <w:rFonts w:hint="eastAsia"/>
                <w:szCs w:val="21"/>
              </w:rPr>
            </w:pPr>
            <w:r>
              <w:rPr>
                <w:rFonts w:hint="eastAsia"/>
                <w:color w:val="auto"/>
                <w:szCs w:val="21"/>
              </w:rPr>
              <w:t>9,433.92</w:t>
            </w:r>
          </w:p>
        </w:tc>
        <w:tc>
          <w:tcPr>
            <w:tcW w:w="1502" w:type="dxa"/>
            <w:vAlign w:val="center"/>
          </w:tcPr>
          <w:p>
            <w:pPr>
              <w:jc w:val="right"/>
              <w:rPr>
                <w:rFonts w:hint="eastAsia"/>
                <w:szCs w:val="21"/>
              </w:rPr>
            </w:pPr>
            <w:r>
              <w:rPr>
                <w:rFonts w:hint="eastAsia"/>
                <w:color w:val="auto"/>
                <w:szCs w:val="21"/>
              </w:rPr>
              <w:t>906,281.91</w:t>
            </w:r>
          </w:p>
        </w:tc>
        <w:tc>
          <w:tcPr>
            <w:tcW w:w="1596" w:type="dxa"/>
            <w:vAlign w:val="center"/>
          </w:tcPr>
          <w:p>
            <w:pPr>
              <w:jc w:val="right"/>
              <w:rPr>
                <w:rFonts w:hint="eastAsia"/>
                <w:szCs w:val="21"/>
              </w:rPr>
            </w:pPr>
            <w:r>
              <w:rPr>
                <w:rFonts w:hint="eastAsia"/>
                <w:color w:val="auto"/>
                <w:szCs w:val="21"/>
              </w:rPr>
              <w:t>2,931,935.55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rFonts w:hint="eastAsia"/>
                <w:szCs w:val="21"/>
              </w:rPr>
              <w:t>3.</w:t>
            </w:r>
            <w:r>
              <w:rPr>
                <w:szCs w:val="21"/>
              </w:rPr>
              <w:t>本期减少</w:t>
            </w:r>
            <w:r>
              <w:rPr>
                <w:rFonts w:hint="eastAsia"/>
                <w:szCs w:val="21"/>
              </w:rPr>
              <w:t>金额</w:t>
            </w:r>
          </w:p>
        </w:tc>
        <w:tc>
          <w:tcPr>
            <w:tcW w:w="1515" w:type="dxa"/>
            <w:vAlign w:val="center"/>
          </w:tcPr>
          <w:p>
            <w:pPr>
              <w:jc w:val="right"/>
              <w:rPr>
                <w:rFonts w:hint="eastAsia"/>
                <w:szCs w:val="21"/>
              </w:rPr>
            </w:pPr>
          </w:p>
        </w:tc>
        <w:tc>
          <w:tcPr>
            <w:tcW w:w="1470" w:type="dxa"/>
            <w:vAlign w:val="center"/>
          </w:tcPr>
          <w:p>
            <w:pPr>
              <w:jc w:val="right"/>
              <w:rPr>
                <w:rFonts w:hint="eastAsia"/>
                <w:szCs w:val="21"/>
              </w:rPr>
            </w:pPr>
          </w:p>
        </w:tc>
        <w:tc>
          <w:tcPr>
            <w:tcW w:w="1320" w:type="dxa"/>
            <w:vAlign w:val="center"/>
          </w:tcPr>
          <w:p>
            <w:pPr>
              <w:jc w:val="right"/>
              <w:rPr>
                <w:rFonts w:hint="eastAsia"/>
                <w:szCs w:val="21"/>
              </w:rPr>
            </w:pPr>
          </w:p>
        </w:tc>
        <w:tc>
          <w:tcPr>
            <w:tcW w:w="1502" w:type="dxa"/>
            <w:vAlign w:val="center"/>
          </w:tcPr>
          <w:p>
            <w:pPr>
              <w:jc w:val="right"/>
              <w:rPr>
                <w:rFonts w:hint="eastAsia"/>
                <w:szCs w:val="21"/>
              </w:rPr>
            </w:pPr>
          </w:p>
        </w:tc>
        <w:tc>
          <w:tcPr>
            <w:tcW w:w="1596" w:type="dxa"/>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rFonts w:hint="eastAsia"/>
                <w:szCs w:val="21"/>
              </w:rPr>
              <w:t>（1）处置</w:t>
            </w:r>
          </w:p>
        </w:tc>
        <w:tc>
          <w:tcPr>
            <w:tcW w:w="1515" w:type="dxa"/>
            <w:vAlign w:val="center"/>
          </w:tcPr>
          <w:p>
            <w:pPr>
              <w:jc w:val="right"/>
              <w:rPr>
                <w:rFonts w:hint="eastAsia"/>
                <w:szCs w:val="21"/>
              </w:rPr>
            </w:pPr>
          </w:p>
        </w:tc>
        <w:tc>
          <w:tcPr>
            <w:tcW w:w="1470" w:type="dxa"/>
            <w:vAlign w:val="center"/>
          </w:tcPr>
          <w:p>
            <w:pPr>
              <w:jc w:val="right"/>
              <w:rPr>
                <w:rFonts w:hint="eastAsia"/>
                <w:szCs w:val="21"/>
              </w:rPr>
            </w:pPr>
          </w:p>
        </w:tc>
        <w:tc>
          <w:tcPr>
            <w:tcW w:w="1320" w:type="dxa"/>
            <w:vAlign w:val="center"/>
          </w:tcPr>
          <w:p>
            <w:pPr>
              <w:jc w:val="right"/>
              <w:rPr>
                <w:rFonts w:hint="eastAsia"/>
                <w:szCs w:val="21"/>
              </w:rPr>
            </w:pPr>
          </w:p>
        </w:tc>
        <w:tc>
          <w:tcPr>
            <w:tcW w:w="1502" w:type="dxa"/>
            <w:vAlign w:val="center"/>
          </w:tcPr>
          <w:p>
            <w:pPr>
              <w:jc w:val="right"/>
              <w:rPr>
                <w:rFonts w:hint="eastAsia"/>
                <w:szCs w:val="21"/>
              </w:rPr>
            </w:pPr>
          </w:p>
        </w:tc>
        <w:tc>
          <w:tcPr>
            <w:tcW w:w="1596" w:type="dxa"/>
            <w:vAlign w:val="center"/>
          </w:tcPr>
          <w:p>
            <w:pPr>
              <w:jc w:val="right"/>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rFonts w:hint="eastAsia"/>
                <w:szCs w:val="21"/>
              </w:rPr>
              <w:t>4.</w:t>
            </w:r>
            <w:r>
              <w:rPr>
                <w:szCs w:val="21"/>
              </w:rPr>
              <w:t>期末余额</w:t>
            </w:r>
          </w:p>
        </w:tc>
        <w:tc>
          <w:tcPr>
            <w:tcW w:w="1515" w:type="dxa"/>
            <w:vAlign w:val="center"/>
          </w:tcPr>
          <w:p>
            <w:pPr>
              <w:jc w:val="right"/>
              <w:rPr>
                <w:rFonts w:hint="eastAsia"/>
                <w:szCs w:val="21"/>
              </w:rPr>
            </w:pPr>
            <w:r>
              <w:rPr>
                <w:rFonts w:hint="eastAsia"/>
                <w:color w:val="auto"/>
                <w:szCs w:val="21"/>
              </w:rPr>
              <w:t>34,677,894.25</w:t>
            </w:r>
          </w:p>
        </w:tc>
        <w:tc>
          <w:tcPr>
            <w:tcW w:w="1470" w:type="dxa"/>
            <w:vAlign w:val="center"/>
          </w:tcPr>
          <w:p>
            <w:pPr>
              <w:jc w:val="right"/>
              <w:rPr>
                <w:rFonts w:hint="eastAsia"/>
                <w:szCs w:val="21"/>
              </w:rPr>
            </w:pPr>
            <w:r>
              <w:rPr>
                <w:rFonts w:hint="eastAsia"/>
                <w:color w:val="auto"/>
                <w:szCs w:val="21"/>
              </w:rPr>
              <w:t>9,453,978.49</w:t>
            </w:r>
          </w:p>
        </w:tc>
        <w:tc>
          <w:tcPr>
            <w:tcW w:w="1320" w:type="dxa"/>
            <w:vAlign w:val="center"/>
          </w:tcPr>
          <w:p>
            <w:pPr>
              <w:jc w:val="right"/>
              <w:rPr>
                <w:rFonts w:hint="eastAsia"/>
                <w:szCs w:val="21"/>
              </w:rPr>
            </w:pPr>
            <w:r>
              <w:rPr>
                <w:rFonts w:hint="eastAsia"/>
                <w:color w:val="auto"/>
                <w:szCs w:val="21"/>
              </w:rPr>
              <w:t>652,439.19</w:t>
            </w:r>
          </w:p>
        </w:tc>
        <w:tc>
          <w:tcPr>
            <w:tcW w:w="1502" w:type="dxa"/>
            <w:vAlign w:val="center"/>
          </w:tcPr>
          <w:p>
            <w:pPr>
              <w:jc w:val="right"/>
              <w:rPr>
                <w:rFonts w:hint="eastAsia"/>
                <w:szCs w:val="21"/>
              </w:rPr>
            </w:pPr>
            <w:r>
              <w:rPr>
                <w:rFonts w:hint="eastAsia"/>
                <w:color w:val="auto"/>
                <w:szCs w:val="21"/>
              </w:rPr>
              <w:t>4,956,460.47</w:t>
            </w:r>
          </w:p>
        </w:tc>
        <w:tc>
          <w:tcPr>
            <w:tcW w:w="1596" w:type="dxa"/>
            <w:vAlign w:val="center"/>
          </w:tcPr>
          <w:p>
            <w:pPr>
              <w:jc w:val="right"/>
              <w:rPr>
                <w:szCs w:val="21"/>
              </w:rPr>
            </w:pPr>
            <w:r>
              <w:rPr>
                <w:rFonts w:hint="eastAsia"/>
                <w:color w:val="auto"/>
                <w:szCs w:val="21"/>
              </w:rPr>
              <w:t>49,740,772.40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046" w:type="dxa"/>
            <w:gridSpan w:val="6"/>
            <w:vAlign w:val="center"/>
          </w:tcPr>
          <w:sdt>
            <w:sdtPr>
              <w:tag w:val="_PLD_f7d5f180eba449a29a01985d504a8cad"/>
              <w:id w:val="7239"/>
            </w:sdtPr>
            <w:sdtContent>
              <w:p>
                <w:pPr>
                  <w:rPr>
                    <w:szCs w:val="21"/>
                  </w:rPr>
                </w:pPr>
                <w:r>
                  <w:rPr>
                    <w:szCs w:val="21"/>
                  </w:rPr>
                  <w:t>三、减值准备</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rFonts w:hint="eastAsia"/>
                <w:szCs w:val="21"/>
              </w:rPr>
              <w:t>1.期</w:t>
            </w:r>
            <w:r>
              <w:rPr>
                <w:szCs w:val="21"/>
              </w:rPr>
              <w:t>初余额</w:t>
            </w:r>
          </w:p>
        </w:tc>
        <w:tc>
          <w:tcPr>
            <w:tcW w:w="1515" w:type="dxa"/>
            <w:vAlign w:val="center"/>
          </w:tcPr>
          <w:p>
            <w:pPr>
              <w:jc w:val="right"/>
              <w:rPr>
                <w:rFonts w:hint="eastAsia"/>
                <w:szCs w:val="21"/>
              </w:rPr>
            </w:pPr>
            <w:r>
              <w:rPr>
                <w:rFonts w:hint="eastAsia"/>
                <w:color w:val="auto"/>
                <w:szCs w:val="21"/>
              </w:rPr>
              <w:t>　</w:t>
            </w:r>
          </w:p>
        </w:tc>
        <w:tc>
          <w:tcPr>
            <w:tcW w:w="1470" w:type="dxa"/>
            <w:vAlign w:val="center"/>
          </w:tcPr>
          <w:p>
            <w:pPr>
              <w:jc w:val="right"/>
              <w:rPr>
                <w:rFonts w:hint="eastAsia"/>
                <w:szCs w:val="21"/>
              </w:rPr>
            </w:pPr>
            <w:r>
              <w:rPr>
                <w:rFonts w:hint="eastAsia"/>
                <w:color w:val="auto"/>
                <w:szCs w:val="21"/>
              </w:rPr>
              <w:t>　</w:t>
            </w:r>
          </w:p>
        </w:tc>
        <w:tc>
          <w:tcPr>
            <w:tcW w:w="1320" w:type="dxa"/>
            <w:vAlign w:val="center"/>
          </w:tcPr>
          <w:p>
            <w:pPr>
              <w:jc w:val="right"/>
              <w:rPr>
                <w:rFonts w:hint="eastAsia"/>
                <w:szCs w:val="21"/>
              </w:rPr>
            </w:pPr>
            <w:r>
              <w:rPr>
                <w:rFonts w:hint="eastAsia"/>
                <w:color w:val="auto"/>
                <w:szCs w:val="21"/>
              </w:rPr>
              <w:t>773,820.00</w:t>
            </w:r>
          </w:p>
        </w:tc>
        <w:tc>
          <w:tcPr>
            <w:tcW w:w="1502" w:type="dxa"/>
            <w:vAlign w:val="center"/>
          </w:tcPr>
          <w:p>
            <w:pPr>
              <w:jc w:val="right"/>
              <w:rPr>
                <w:rFonts w:hint="eastAsia"/>
                <w:szCs w:val="21"/>
              </w:rPr>
            </w:pPr>
            <w:r>
              <w:rPr>
                <w:rFonts w:hint="eastAsia"/>
                <w:color w:val="auto"/>
                <w:szCs w:val="21"/>
              </w:rPr>
              <w:t>　</w:t>
            </w:r>
          </w:p>
        </w:tc>
        <w:tc>
          <w:tcPr>
            <w:tcW w:w="1596" w:type="dxa"/>
            <w:vAlign w:val="center"/>
          </w:tcPr>
          <w:p>
            <w:pPr>
              <w:jc w:val="right"/>
              <w:rPr>
                <w:szCs w:val="21"/>
              </w:rPr>
            </w:pPr>
            <w:r>
              <w:rPr>
                <w:rFonts w:hint="eastAsia"/>
                <w:color w:val="auto"/>
                <w:szCs w:val="21"/>
              </w:rPr>
              <w:t>773,820.00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szCs w:val="21"/>
              </w:rPr>
              <w:t>2.本期增加</w:t>
            </w:r>
            <w:r>
              <w:rPr>
                <w:rFonts w:hint="eastAsia"/>
                <w:szCs w:val="21"/>
              </w:rPr>
              <w:t>金额</w:t>
            </w:r>
          </w:p>
        </w:tc>
        <w:tc>
          <w:tcPr>
            <w:tcW w:w="1515" w:type="dxa"/>
            <w:vAlign w:val="center"/>
          </w:tcPr>
          <w:p>
            <w:pPr>
              <w:jc w:val="right"/>
              <w:rPr>
                <w:rFonts w:hint="eastAsia"/>
                <w:szCs w:val="21"/>
              </w:rPr>
            </w:pPr>
          </w:p>
        </w:tc>
        <w:tc>
          <w:tcPr>
            <w:tcW w:w="1470" w:type="dxa"/>
            <w:vAlign w:val="center"/>
          </w:tcPr>
          <w:p>
            <w:pPr>
              <w:jc w:val="right"/>
              <w:rPr>
                <w:rFonts w:hint="eastAsia"/>
                <w:szCs w:val="21"/>
              </w:rPr>
            </w:pPr>
          </w:p>
        </w:tc>
        <w:tc>
          <w:tcPr>
            <w:tcW w:w="1320" w:type="dxa"/>
            <w:vAlign w:val="center"/>
          </w:tcPr>
          <w:p>
            <w:pPr>
              <w:jc w:val="right"/>
              <w:rPr>
                <w:rFonts w:hint="eastAsia"/>
                <w:szCs w:val="21"/>
              </w:rPr>
            </w:pPr>
          </w:p>
        </w:tc>
        <w:tc>
          <w:tcPr>
            <w:tcW w:w="1502" w:type="dxa"/>
            <w:vAlign w:val="center"/>
          </w:tcPr>
          <w:p>
            <w:pPr>
              <w:jc w:val="right"/>
              <w:rPr>
                <w:rFonts w:hint="eastAsia"/>
                <w:szCs w:val="21"/>
              </w:rPr>
            </w:pPr>
          </w:p>
        </w:tc>
        <w:tc>
          <w:tcPr>
            <w:tcW w:w="1596" w:type="dxa"/>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rFonts w:hint="eastAsia"/>
                <w:szCs w:val="21"/>
              </w:rPr>
              <w:t>（1）</w:t>
            </w:r>
            <w:r>
              <w:rPr>
                <w:szCs w:val="21"/>
              </w:rPr>
              <w:t>计提</w:t>
            </w:r>
          </w:p>
        </w:tc>
        <w:tc>
          <w:tcPr>
            <w:tcW w:w="1515" w:type="dxa"/>
            <w:vAlign w:val="center"/>
          </w:tcPr>
          <w:p>
            <w:pPr>
              <w:jc w:val="right"/>
              <w:rPr>
                <w:rFonts w:hint="eastAsia"/>
                <w:szCs w:val="21"/>
              </w:rPr>
            </w:pPr>
          </w:p>
        </w:tc>
        <w:tc>
          <w:tcPr>
            <w:tcW w:w="1470" w:type="dxa"/>
            <w:vAlign w:val="center"/>
          </w:tcPr>
          <w:p>
            <w:pPr>
              <w:jc w:val="right"/>
              <w:rPr>
                <w:rFonts w:hint="eastAsia"/>
                <w:szCs w:val="21"/>
              </w:rPr>
            </w:pPr>
          </w:p>
        </w:tc>
        <w:tc>
          <w:tcPr>
            <w:tcW w:w="1320" w:type="dxa"/>
            <w:vAlign w:val="center"/>
          </w:tcPr>
          <w:p>
            <w:pPr>
              <w:jc w:val="right"/>
              <w:rPr>
                <w:rFonts w:hint="eastAsia"/>
                <w:szCs w:val="21"/>
              </w:rPr>
            </w:pPr>
          </w:p>
        </w:tc>
        <w:tc>
          <w:tcPr>
            <w:tcW w:w="1502" w:type="dxa"/>
            <w:vAlign w:val="center"/>
          </w:tcPr>
          <w:p>
            <w:pPr>
              <w:jc w:val="right"/>
              <w:rPr>
                <w:rFonts w:hint="eastAsia"/>
                <w:szCs w:val="21"/>
              </w:rPr>
            </w:pPr>
          </w:p>
        </w:tc>
        <w:tc>
          <w:tcPr>
            <w:tcW w:w="1596" w:type="dxa"/>
            <w:vAlign w:val="center"/>
          </w:tcPr>
          <w:p>
            <w:pPr>
              <w:jc w:val="right"/>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rFonts w:hint="eastAsia"/>
                <w:szCs w:val="21"/>
              </w:rPr>
              <w:t>3.</w:t>
            </w:r>
            <w:r>
              <w:rPr>
                <w:szCs w:val="21"/>
              </w:rPr>
              <w:t>本期减少</w:t>
            </w:r>
            <w:r>
              <w:rPr>
                <w:rFonts w:hint="eastAsia"/>
                <w:szCs w:val="21"/>
              </w:rPr>
              <w:t>金额</w:t>
            </w:r>
          </w:p>
        </w:tc>
        <w:tc>
          <w:tcPr>
            <w:tcW w:w="1515" w:type="dxa"/>
            <w:vAlign w:val="center"/>
          </w:tcPr>
          <w:p>
            <w:pPr>
              <w:jc w:val="right"/>
              <w:rPr>
                <w:rFonts w:hint="eastAsia"/>
                <w:szCs w:val="21"/>
              </w:rPr>
            </w:pPr>
          </w:p>
        </w:tc>
        <w:tc>
          <w:tcPr>
            <w:tcW w:w="1470" w:type="dxa"/>
            <w:vAlign w:val="center"/>
          </w:tcPr>
          <w:p>
            <w:pPr>
              <w:jc w:val="right"/>
              <w:rPr>
                <w:rFonts w:hint="eastAsia"/>
                <w:szCs w:val="21"/>
              </w:rPr>
            </w:pPr>
          </w:p>
        </w:tc>
        <w:tc>
          <w:tcPr>
            <w:tcW w:w="1320" w:type="dxa"/>
            <w:vAlign w:val="center"/>
          </w:tcPr>
          <w:p>
            <w:pPr>
              <w:jc w:val="right"/>
              <w:rPr>
                <w:rFonts w:hint="eastAsia"/>
                <w:szCs w:val="21"/>
              </w:rPr>
            </w:pPr>
          </w:p>
        </w:tc>
        <w:tc>
          <w:tcPr>
            <w:tcW w:w="1502" w:type="dxa"/>
            <w:vAlign w:val="center"/>
          </w:tcPr>
          <w:p>
            <w:pPr>
              <w:jc w:val="right"/>
              <w:rPr>
                <w:rFonts w:hint="eastAsia"/>
                <w:szCs w:val="21"/>
              </w:rPr>
            </w:pPr>
          </w:p>
        </w:tc>
        <w:tc>
          <w:tcPr>
            <w:tcW w:w="1596" w:type="dxa"/>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rFonts w:hint="eastAsia"/>
                <w:szCs w:val="21"/>
              </w:rPr>
              <w:t>（1）处置</w:t>
            </w:r>
          </w:p>
        </w:tc>
        <w:tc>
          <w:tcPr>
            <w:tcW w:w="1515" w:type="dxa"/>
            <w:vAlign w:val="center"/>
          </w:tcPr>
          <w:p>
            <w:pPr>
              <w:jc w:val="right"/>
              <w:rPr>
                <w:rFonts w:hint="eastAsia"/>
                <w:szCs w:val="21"/>
              </w:rPr>
            </w:pPr>
          </w:p>
        </w:tc>
        <w:tc>
          <w:tcPr>
            <w:tcW w:w="1470" w:type="dxa"/>
            <w:vAlign w:val="center"/>
          </w:tcPr>
          <w:p>
            <w:pPr>
              <w:jc w:val="right"/>
              <w:rPr>
                <w:rFonts w:hint="eastAsia"/>
                <w:szCs w:val="21"/>
              </w:rPr>
            </w:pPr>
          </w:p>
        </w:tc>
        <w:tc>
          <w:tcPr>
            <w:tcW w:w="1320" w:type="dxa"/>
            <w:vAlign w:val="center"/>
          </w:tcPr>
          <w:p>
            <w:pPr>
              <w:jc w:val="right"/>
              <w:rPr>
                <w:rFonts w:hint="eastAsia"/>
                <w:szCs w:val="21"/>
              </w:rPr>
            </w:pPr>
          </w:p>
        </w:tc>
        <w:tc>
          <w:tcPr>
            <w:tcW w:w="1502" w:type="dxa"/>
            <w:vAlign w:val="center"/>
          </w:tcPr>
          <w:p>
            <w:pPr>
              <w:jc w:val="right"/>
              <w:rPr>
                <w:rFonts w:hint="eastAsia"/>
                <w:szCs w:val="21"/>
              </w:rPr>
            </w:pPr>
          </w:p>
        </w:tc>
        <w:tc>
          <w:tcPr>
            <w:tcW w:w="1596" w:type="dxa"/>
            <w:vAlign w:val="center"/>
          </w:tcPr>
          <w:p>
            <w:pPr>
              <w:jc w:val="right"/>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rFonts w:hint="eastAsia"/>
                <w:szCs w:val="21"/>
              </w:rPr>
              <w:t>4.</w:t>
            </w:r>
            <w:r>
              <w:rPr>
                <w:szCs w:val="21"/>
              </w:rPr>
              <w:t>期末余额</w:t>
            </w:r>
          </w:p>
        </w:tc>
        <w:tc>
          <w:tcPr>
            <w:tcW w:w="1515" w:type="dxa"/>
            <w:vAlign w:val="center"/>
          </w:tcPr>
          <w:p>
            <w:pPr>
              <w:jc w:val="right"/>
              <w:rPr>
                <w:rFonts w:hint="eastAsia"/>
                <w:szCs w:val="21"/>
              </w:rPr>
            </w:pPr>
            <w:r>
              <w:rPr>
                <w:rFonts w:hint="eastAsia"/>
                <w:color w:val="auto"/>
                <w:szCs w:val="21"/>
              </w:rPr>
              <w:t>　</w:t>
            </w:r>
          </w:p>
        </w:tc>
        <w:tc>
          <w:tcPr>
            <w:tcW w:w="1470" w:type="dxa"/>
            <w:vAlign w:val="center"/>
          </w:tcPr>
          <w:p>
            <w:pPr>
              <w:jc w:val="right"/>
              <w:rPr>
                <w:rFonts w:hint="eastAsia"/>
                <w:szCs w:val="21"/>
              </w:rPr>
            </w:pPr>
            <w:r>
              <w:rPr>
                <w:rFonts w:hint="eastAsia"/>
                <w:color w:val="auto"/>
                <w:szCs w:val="21"/>
              </w:rPr>
              <w:t>　</w:t>
            </w:r>
          </w:p>
        </w:tc>
        <w:tc>
          <w:tcPr>
            <w:tcW w:w="1320" w:type="dxa"/>
            <w:vAlign w:val="center"/>
          </w:tcPr>
          <w:p>
            <w:pPr>
              <w:jc w:val="right"/>
              <w:rPr>
                <w:rFonts w:hint="eastAsia"/>
                <w:szCs w:val="21"/>
              </w:rPr>
            </w:pPr>
            <w:r>
              <w:rPr>
                <w:rFonts w:hint="eastAsia"/>
                <w:color w:val="auto"/>
                <w:szCs w:val="21"/>
              </w:rPr>
              <w:t>773,820.00</w:t>
            </w:r>
          </w:p>
        </w:tc>
        <w:tc>
          <w:tcPr>
            <w:tcW w:w="1502" w:type="dxa"/>
            <w:vAlign w:val="center"/>
          </w:tcPr>
          <w:p>
            <w:pPr>
              <w:jc w:val="right"/>
              <w:rPr>
                <w:rFonts w:hint="eastAsia"/>
                <w:szCs w:val="21"/>
              </w:rPr>
            </w:pPr>
            <w:r>
              <w:rPr>
                <w:rFonts w:hint="eastAsia"/>
                <w:color w:val="auto"/>
                <w:szCs w:val="21"/>
              </w:rPr>
              <w:t>　</w:t>
            </w:r>
          </w:p>
        </w:tc>
        <w:tc>
          <w:tcPr>
            <w:tcW w:w="1596" w:type="dxa"/>
            <w:vAlign w:val="center"/>
          </w:tcPr>
          <w:p>
            <w:pPr>
              <w:jc w:val="right"/>
              <w:rPr>
                <w:szCs w:val="21"/>
              </w:rPr>
            </w:pPr>
            <w:r>
              <w:rPr>
                <w:rFonts w:hint="eastAsia"/>
                <w:color w:val="auto"/>
                <w:szCs w:val="21"/>
              </w:rPr>
              <w:t>773,820.00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046" w:type="dxa"/>
            <w:gridSpan w:val="6"/>
            <w:vAlign w:val="center"/>
          </w:tcPr>
          <w:sdt>
            <w:sdtPr>
              <w:tag w:val="_PLD_4b0672b3afec475f9c6133950914fc81"/>
              <w:id w:val="7240"/>
            </w:sdtPr>
            <w:sdtContent>
              <w:p>
                <w:pPr>
                  <w:rPr>
                    <w:szCs w:val="21"/>
                  </w:rPr>
                </w:pPr>
                <w:r>
                  <w:rPr>
                    <w:szCs w:val="21"/>
                  </w:rPr>
                  <w:t>四、账面价值</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szCs w:val="21"/>
              </w:rPr>
              <w:t>1.期末账面价值</w:t>
            </w:r>
          </w:p>
        </w:tc>
        <w:tc>
          <w:tcPr>
            <w:tcW w:w="1515" w:type="dxa"/>
            <w:vAlign w:val="center"/>
          </w:tcPr>
          <w:p>
            <w:pPr>
              <w:jc w:val="right"/>
              <w:rPr>
                <w:rFonts w:hint="eastAsia"/>
                <w:szCs w:val="21"/>
              </w:rPr>
            </w:pPr>
            <w:r>
              <w:rPr>
                <w:rFonts w:hint="eastAsia"/>
                <w:color w:val="auto"/>
                <w:szCs w:val="21"/>
              </w:rPr>
              <w:t>65,193,740.79</w:t>
            </w:r>
          </w:p>
        </w:tc>
        <w:tc>
          <w:tcPr>
            <w:tcW w:w="1470" w:type="dxa"/>
            <w:vAlign w:val="center"/>
          </w:tcPr>
          <w:p>
            <w:pPr>
              <w:jc w:val="right"/>
              <w:rPr>
                <w:rFonts w:hint="eastAsia"/>
                <w:szCs w:val="21"/>
              </w:rPr>
            </w:pPr>
            <w:r>
              <w:rPr>
                <w:rFonts w:hint="eastAsia"/>
                <w:color w:val="auto"/>
                <w:szCs w:val="21"/>
              </w:rPr>
              <w:t>675,327.03</w:t>
            </w:r>
          </w:p>
        </w:tc>
        <w:tc>
          <w:tcPr>
            <w:tcW w:w="1320" w:type="dxa"/>
            <w:vAlign w:val="center"/>
          </w:tcPr>
          <w:p>
            <w:pPr>
              <w:jc w:val="right"/>
              <w:rPr>
                <w:rFonts w:hint="eastAsia"/>
                <w:szCs w:val="21"/>
              </w:rPr>
            </w:pPr>
            <w:r>
              <w:rPr>
                <w:rFonts w:hint="eastAsia"/>
                <w:color w:val="auto"/>
                <w:szCs w:val="21"/>
              </w:rPr>
              <w:t>81,365.35</w:t>
            </w:r>
          </w:p>
        </w:tc>
        <w:tc>
          <w:tcPr>
            <w:tcW w:w="1502" w:type="dxa"/>
            <w:vAlign w:val="center"/>
          </w:tcPr>
          <w:p>
            <w:pPr>
              <w:jc w:val="right"/>
              <w:rPr>
                <w:rFonts w:hint="eastAsia"/>
                <w:szCs w:val="21"/>
              </w:rPr>
            </w:pPr>
            <w:r>
              <w:rPr>
                <w:rFonts w:hint="eastAsia"/>
                <w:color w:val="auto"/>
                <w:szCs w:val="21"/>
              </w:rPr>
              <w:t>9,779,287.74</w:t>
            </w:r>
          </w:p>
        </w:tc>
        <w:tc>
          <w:tcPr>
            <w:tcW w:w="1596" w:type="dxa"/>
            <w:vAlign w:val="center"/>
          </w:tcPr>
          <w:p>
            <w:pPr>
              <w:jc w:val="right"/>
              <w:rPr>
                <w:szCs w:val="21"/>
              </w:rPr>
            </w:pPr>
            <w:r>
              <w:rPr>
                <w:rFonts w:hint="eastAsia"/>
                <w:color w:val="auto"/>
                <w:szCs w:val="21"/>
              </w:rPr>
              <w:t>75,729,720.91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3" w:type="dxa"/>
            <w:vAlign w:val="center"/>
          </w:tcPr>
          <w:p>
            <w:pPr>
              <w:rPr>
                <w:szCs w:val="21"/>
              </w:rPr>
            </w:pPr>
            <w:r>
              <w:rPr>
                <w:szCs w:val="21"/>
              </w:rPr>
              <w:t>2.</w:t>
            </w:r>
            <w:r>
              <w:rPr>
                <w:rFonts w:hint="eastAsia"/>
                <w:szCs w:val="21"/>
              </w:rPr>
              <w:t>期初</w:t>
            </w:r>
            <w:r>
              <w:rPr>
                <w:szCs w:val="21"/>
              </w:rPr>
              <w:t>账面价值</w:t>
            </w:r>
          </w:p>
        </w:tc>
        <w:tc>
          <w:tcPr>
            <w:tcW w:w="1515" w:type="dxa"/>
            <w:vAlign w:val="center"/>
          </w:tcPr>
          <w:p>
            <w:pPr>
              <w:jc w:val="right"/>
              <w:rPr>
                <w:rFonts w:hint="eastAsia"/>
                <w:szCs w:val="21"/>
              </w:rPr>
            </w:pPr>
            <w:r>
              <w:rPr>
                <w:rFonts w:hint="eastAsia"/>
                <w:color w:val="auto"/>
                <w:szCs w:val="21"/>
              </w:rPr>
              <w:t>67,209,960.51</w:t>
            </w:r>
          </w:p>
        </w:tc>
        <w:tc>
          <w:tcPr>
            <w:tcW w:w="1470" w:type="dxa"/>
            <w:vAlign w:val="center"/>
          </w:tcPr>
          <w:p>
            <w:pPr>
              <w:jc w:val="right"/>
              <w:rPr>
                <w:rFonts w:hint="eastAsia"/>
                <w:szCs w:val="21"/>
              </w:rPr>
            </w:pPr>
            <w:r>
              <w:rPr>
                <w:rFonts w:hint="eastAsia"/>
                <w:color w:val="auto"/>
                <w:szCs w:val="21"/>
              </w:rPr>
              <w:t>675,327.03</w:t>
            </w:r>
          </w:p>
        </w:tc>
        <w:tc>
          <w:tcPr>
            <w:tcW w:w="1320" w:type="dxa"/>
            <w:vAlign w:val="center"/>
          </w:tcPr>
          <w:p>
            <w:pPr>
              <w:jc w:val="right"/>
              <w:rPr>
                <w:rFonts w:hint="eastAsia"/>
                <w:szCs w:val="21"/>
              </w:rPr>
            </w:pPr>
            <w:r>
              <w:rPr>
                <w:rFonts w:hint="eastAsia"/>
                <w:color w:val="auto"/>
                <w:szCs w:val="21"/>
              </w:rPr>
              <w:t>90,799.27</w:t>
            </w:r>
          </w:p>
        </w:tc>
        <w:tc>
          <w:tcPr>
            <w:tcW w:w="1502" w:type="dxa"/>
            <w:vAlign w:val="center"/>
          </w:tcPr>
          <w:p>
            <w:pPr>
              <w:jc w:val="right"/>
              <w:rPr>
                <w:rFonts w:hint="eastAsia"/>
                <w:szCs w:val="21"/>
              </w:rPr>
            </w:pPr>
            <w:r>
              <w:rPr>
                <w:rFonts w:hint="eastAsia"/>
                <w:color w:val="auto"/>
                <w:szCs w:val="21"/>
              </w:rPr>
              <w:t>10,025,122.73</w:t>
            </w:r>
          </w:p>
        </w:tc>
        <w:tc>
          <w:tcPr>
            <w:tcW w:w="1596" w:type="dxa"/>
            <w:vAlign w:val="center"/>
          </w:tcPr>
          <w:p>
            <w:pPr>
              <w:jc w:val="right"/>
              <w:rPr>
                <w:szCs w:val="21"/>
              </w:rPr>
            </w:pPr>
            <w:r>
              <w:rPr>
                <w:rFonts w:hint="eastAsia"/>
                <w:color w:val="auto"/>
                <w:szCs w:val="21"/>
              </w:rPr>
              <w:t>78,001,209.54</w:t>
            </w:r>
          </w:p>
        </w:tc>
      </w:tr>
    </w:tbl>
    <w:p>
      <w:pPr>
        <w:keepNext w:val="0"/>
        <w:keepLines w:val="0"/>
        <w:pageBreakBefore w:val="0"/>
        <w:widowControl/>
        <w:kinsoku/>
        <w:wordWrap/>
        <w:overflowPunct/>
        <w:topLinePunct w:val="0"/>
        <w:autoSpaceDE/>
        <w:autoSpaceDN/>
        <w:bidi w:val="0"/>
        <w:adjustRightInd/>
        <w:spacing w:line="400" w:lineRule="exact"/>
        <w:textAlignment w:val="auto"/>
        <w:rPr>
          <w:rFonts w:ascii="Times New Roman" w:hAnsi="Times New Roman"/>
          <w:sz w:val="21"/>
        </w:rPr>
      </w:pPr>
      <w:r>
        <w:rPr>
          <w:rFonts w:hint="eastAsia" w:ascii="Times New Roman" w:hAnsi="Times New Roman" w:eastAsia="宋体"/>
          <w:sz w:val="21"/>
          <w:szCs w:val="21"/>
        </w:rPr>
        <w:t>公司无形资产抵押详见“七、合并财务报表注释”之“31、所有权或使用权受限资产”和“32.短期借款”。</w:t>
      </w:r>
    </w:p>
    <w:p>
      <w:pPr>
        <w:keepNext w:val="0"/>
        <w:keepLines w:val="0"/>
        <w:pageBreakBefore w:val="0"/>
        <w:widowControl/>
        <w:kinsoku/>
        <w:wordWrap/>
        <w:overflowPunct/>
        <w:topLinePunct w:val="0"/>
        <w:autoSpaceDE/>
        <w:autoSpaceDN/>
        <w:bidi w:val="0"/>
        <w:adjustRightInd/>
        <w:snapToGrid w:val="0"/>
        <w:spacing w:line="400" w:lineRule="exact"/>
        <w:textAlignment w:val="auto"/>
        <w:rPr>
          <w:szCs w:val="21"/>
        </w:rPr>
      </w:pPr>
      <w:r>
        <w:rPr>
          <w:rFonts w:hint="eastAsia" w:ascii="Times New Roman" w:hAnsi="Times New Roman"/>
          <w:sz w:val="21"/>
          <w:szCs w:val="21"/>
        </w:rPr>
        <w:t>本期末通过公司内部研发形成的无形资产占无形资产余额的比例是</w:t>
      </w:r>
      <w:sdt>
        <w:sdtPr>
          <w:rPr>
            <w:rFonts w:ascii="Times New Roman" w:hAnsi="Times New Roman"/>
            <w:sz w:val="21"/>
            <w:szCs w:val="21"/>
          </w:rPr>
          <w:alias w:val="通过公司内部研发形成的无形资产占无形资产账面价值的比例"/>
          <w:tag w:val="_GBC_a5caf6c87458439c8916b866a1bdf523"/>
          <w:id w:val="7241"/>
          <w:placeholder>
            <w:docPart w:val="GBC22222222222222222222222222222"/>
          </w:placeholder>
        </w:sdtPr>
        <w:sdtEndPr>
          <w:rPr>
            <w:rFonts w:ascii="Times New Roman" w:hAnsi="Times New Roman"/>
            <w:sz w:val="21"/>
            <w:szCs w:val="21"/>
          </w:rPr>
        </w:sdtEndPr>
        <w:sdtContent>
          <w:r>
            <w:rPr>
              <w:rFonts w:hint="eastAsia" w:ascii="Times New Roman" w:hAnsi="Times New Roman"/>
              <w:sz w:val="21"/>
              <w:szCs w:val="21"/>
            </w:rPr>
            <w:t>0</w:t>
          </w:r>
        </w:sdtContent>
      </w:sdt>
    </w:p>
    <w:p>
      <w:pPr>
        <w:snapToGrid w:val="0"/>
        <w:spacing w:line="240" w:lineRule="atLeast"/>
        <w:rPr>
          <w:szCs w:val="21"/>
        </w:rPr>
      </w:pPr>
    </w:p>
    <w:bookmarkEnd w:id="310"/>
    <w:p>
      <w:pPr>
        <w:pStyle w:val="5"/>
        <w:numPr>
          <w:ilvl w:val="3"/>
          <w:numId w:val="84"/>
        </w:numPr>
        <w:ind w:left="426" w:hanging="426"/>
        <w:rPr>
          <w:rFonts w:hint="eastAsia" w:ascii="宋体" w:hAnsi="宋体" w:eastAsia="宋体" w:cs="宋体"/>
          <w:kern w:val="0"/>
          <w:szCs w:val="24"/>
        </w:rPr>
      </w:pPr>
      <w:bookmarkStart w:id="311" w:name="_Hlk169705970"/>
      <w:bookmarkStart w:id="312" w:name="_Hlk182485368"/>
      <w:r>
        <w:rPr>
          <w:rFonts w:hint="eastAsia" w:ascii="宋体" w:hAnsi="宋体" w:eastAsia="宋体" w:cs="宋体"/>
          <w:kern w:val="0"/>
          <w:szCs w:val="24"/>
        </w:rPr>
        <w:t>确认为无形资产的数据资源</w:t>
      </w:r>
    </w:p>
    <w:sdt>
      <w:sdtPr>
        <w:rPr>
          <w:color w:val="000000" w:themeColor="text1"/>
          <w14:textFill>
            <w14:solidFill>
              <w14:schemeClr w14:val="tx1"/>
            </w14:solidFill>
          </w14:textFill>
        </w:rPr>
        <w:alias w:val="是否适用：确认为无形资产的数据资源[双击切换]"/>
        <w:tag w:val="_GBC_178251a2b9bc4427aa8303576cf5eeed"/>
        <w:id w:val="7242"/>
        <w:placeholder>
          <w:docPart w:val="GBC22222222222222222222222222222"/>
        </w:placeholder>
      </w:sdtPr>
      <w:sdtEndPr>
        <w:rPr>
          <w:color w:val="000000" w:themeColor="text1"/>
          <w14:textFill>
            <w14:solidFill>
              <w14:schemeClr w14:val="tx1"/>
            </w14:solidFill>
          </w14:textFill>
        </w:rPr>
      </w:sdtEndPr>
      <w:sdtContent>
        <w:p>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pPr>
        <w:snapToGrid w:val="0"/>
        <w:spacing w:line="240" w:lineRule="atLeast"/>
        <w:rPr>
          <w:color w:val="000000" w:themeColor="text1"/>
          <w14:textFill>
            <w14:solidFill>
              <w14:schemeClr w14:val="tx1"/>
            </w14:solidFill>
          </w14:textFill>
        </w:rPr>
      </w:pPr>
    </w:p>
    <w:bookmarkEnd w:id="311"/>
    <w:bookmarkEnd w:id="312"/>
    <w:p>
      <w:pPr>
        <w:pStyle w:val="5"/>
        <w:numPr>
          <w:ilvl w:val="3"/>
          <w:numId w:val="84"/>
        </w:numPr>
        <w:ind w:left="426" w:hanging="426"/>
        <w:rPr>
          <w:rFonts w:hint="eastAsia"/>
        </w:rPr>
      </w:pPr>
      <w:r>
        <w:rPr>
          <w:rFonts w:hint="eastAsia"/>
        </w:rPr>
        <w:t>未办妥产权证书的土地使用权情况</w:t>
      </w:r>
    </w:p>
    <w:p>
      <w:sdt>
        <w:sdtPr>
          <w:alias w:val="是否适用：未办妥产权证书的土地使用权情况[双击切换]"/>
          <w:tag w:val="_GBC_62bb02d09b844cb69dfe16466ac211c9"/>
          <w:id w:val="7243"/>
          <w:placeholder>
            <w:docPart w:val="GBC22222222222222222222222222222"/>
          </w:placeholder>
        </w:sdtPr>
        <w:sdtContent>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pPr>
        <w:snapToGrid w:val="0"/>
        <w:spacing w:line="240" w:lineRule="atLeast"/>
        <w:rPr>
          <w:szCs w:val="21"/>
        </w:rPr>
      </w:pPr>
    </w:p>
    <w:p>
      <w:pPr>
        <w:pStyle w:val="5"/>
        <w:numPr>
          <w:ilvl w:val="3"/>
          <w:numId w:val="84"/>
        </w:numPr>
        <w:ind w:left="426" w:hanging="426"/>
        <w:rPr>
          <w:rFonts w:hint="eastAsia" w:ascii="宋体" w:hAnsi="宋体" w:eastAsia="宋体" w:cs="宋体"/>
          <w:kern w:val="0"/>
          <w:szCs w:val="24"/>
        </w:rPr>
      </w:pPr>
      <w:bookmarkStart w:id="313" w:name="_Hlk153461844"/>
      <w:r>
        <w:rPr>
          <w:rFonts w:hint="eastAsia" w:ascii="宋体" w:hAnsi="宋体" w:eastAsia="宋体" w:cs="宋体"/>
          <w:kern w:val="0"/>
          <w:szCs w:val="24"/>
        </w:rPr>
        <w:t>无形资产的减值测试情况</w:t>
      </w:r>
    </w:p>
    <w:sdt>
      <w:sdtPr>
        <w:alias w:val="是否适用：减值测试情况[双击切换]"/>
        <w:tag w:val="_GBC_c5612c50ddb44cf8892aefcbaf89a0f7"/>
        <w:id w:val="7244"/>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313"/>
    <w:p>
      <w:pPr>
        <w:rPr>
          <w:szCs w:val="21"/>
        </w:rPr>
      </w:pPr>
      <w:r>
        <w:rPr>
          <w:rFonts w:hint="eastAsia"/>
          <w:szCs w:val="21"/>
        </w:rPr>
        <w:t>其他说明：</w:t>
      </w:r>
    </w:p>
    <w:sdt>
      <w:sdtPr>
        <w:rPr>
          <w:szCs w:val="21"/>
        </w:rPr>
        <w:alias w:val="是否适用：无形资产的说明[双击切换]"/>
        <w:tag w:val="_GBC_ff92654365f04f7ba71b01dd8af2f696"/>
        <w:id w:val="7245"/>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pStyle w:val="17"/>
      </w:pPr>
    </w:p>
    <w:sdt>
      <w:sdtPr>
        <w:tag w:val="_PLD_d26bdd8aec81474bad104b3aa492adf4"/>
        <w:id w:val="7246"/>
      </w:sdtPr>
      <w:sdtContent>
        <w:p>
          <w:pPr>
            <w:pStyle w:val="4"/>
            <w:numPr>
              <w:ilvl w:val="0"/>
              <w:numId w:val="62"/>
            </w:numPr>
            <w:tabs>
              <w:tab w:val="left" w:pos="504"/>
            </w:tabs>
            <w:rPr>
              <w:rFonts w:hint="eastAsia" w:ascii="宋体" w:hAnsi="宋体"/>
              <w:szCs w:val="21"/>
            </w:rPr>
          </w:pPr>
          <w:r>
            <w:rPr>
              <w:rFonts w:hint="eastAsia" w:ascii="宋体" w:hAnsi="宋体"/>
              <w:szCs w:val="21"/>
            </w:rPr>
            <w:t>商誉</w:t>
          </w:r>
        </w:p>
      </w:sdtContent>
    </w:sdt>
    <w:p>
      <w:pPr>
        <w:pStyle w:val="5"/>
        <w:numPr>
          <w:ilvl w:val="3"/>
          <w:numId w:val="85"/>
        </w:numPr>
        <w:ind w:left="426" w:hanging="426"/>
        <w:rPr>
          <w:rFonts w:hint="eastAsia"/>
        </w:rPr>
      </w:pPr>
      <w:r>
        <w:rPr>
          <w:rFonts w:hint="eastAsia"/>
        </w:rPr>
        <w:t>商誉账面原值</w:t>
      </w:r>
    </w:p>
    <w:sdt>
      <w:sdtPr>
        <w:alias w:val="是否适用：商誉账面原值[双击切换]"/>
        <w:tag w:val="_GBC_ef393f0687ab4747a43cd96895a18dcb"/>
        <w:id w:val="7247"/>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商誉"/>
          <w:tag w:val="_GBC_1969cb3272364bc49f9ccb754d95df61"/>
          <w:id w:val="724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商誉"/>
          <w:tag w:val="_GBC_55d7143fbcf14746b997ea323f9b063b"/>
          <w:id w:val="724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1323"/>
        <w:gridCol w:w="1058"/>
        <w:gridCol w:w="1178"/>
        <w:gridCol w:w="1201"/>
        <w:gridCol w:w="1025"/>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8" w:type="dxa"/>
            <w:vMerge w:val="restart"/>
            <w:vAlign w:val="center"/>
          </w:tcPr>
          <w:sdt>
            <w:sdtPr>
              <w:tag w:val="_PLD_321a0416f313455db9437f8692d7d27e"/>
              <w:id w:val="7250"/>
            </w:sdtPr>
            <w:sdtContent>
              <w:p>
                <w:pPr>
                  <w:autoSpaceDE w:val="0"/>
                  <w:autoSpaceDN w:val="0"/>
                  <w:adjustRightInd w:val="0"/>
                  <w:snapToGrid w:val="0"/>
                  <w:jc w:val="center"/>
                  <w:rPr>
                    <w:szCs w:val="21"/>
                  </w:rPr>
                </w:pPr>
                <w:r>
                  <w:rPr>
                    <w:rFonts w:hint="eastAsia"/>
                    <w:szCs w:val="21"/>
                  </w:rPr>
                  <w:t>被投资单位名称或形成商誉的事项</w:t>
                </w:r>
              </w:p>
            </w:sdtContent>
          </w:sdt>
        </w:tc>
        <w:tc>
          <w:tcPr>
            <w:tcW w:w="1323" w:type="dxa"/>
            <w:vMerge w:val="restart"/>
            <w:vAlign w:val="center"/>
          </w:tcPr>
          <w:sdt>
            <w:sdtPr>
              <w:tag w:val="_PLD_f188a95931d64e73a28589bedff91f08"/>
              <w:id w:val="7251"/>
            </w:sdtPr>
            <w:sdtContent>
              <w:p>
                <w:pPr>
                  <w:autoSpaceDE w:val="0"/>
                  <w:autoSpaceDN w:val="0"/>
                  <w:adjustRightInd w:val="0"/>
                  <w:snapToGrid w:val="0"/>
                  <w:jc w:val="center"/>
                  <w:rPr>
                    <w:szCs w:val="21"/>
                  </w:rPr>
                </w:pPr>
                <w:r>
                  <w:rPr>
                    <w:rFonts w:hint="eastAsia"/>
                    <w:szCs w:val="21"/>
                  </w:rPr>
                  <w:t>期初余额</w:t>
                </w:r>
              </w:p>
            </w:sdtContent>
          </w:sdt>
        </w:tc>
        <w:tc>
          <w:tcPr>
            <w:tcW w:w="2236" w:type="dxa"/>
            <w:gridSpan w:val="2"/>
            <w:vAlign w:val="center"/>
          </w:tcPr>
          <w:sdt>
            <w:sdtPr>
              <w:tag w:val="_PLD_fe0863051d574b7da3ab0c8be387303e"/>
              <w:id w:val="7252"/>
            </w:sdtPr>
            <w:sdtContent>
              <w:p>
                <w:pPr>
                  <w:autoSpaceDE w:val="0"/>
                  <w:autoSpaceDN w:val="0"/>
                  <w:adjustRightInd w:val="0"/>
                  <w:snapToGrid w:val="0"/>
                  <w:jc w:val="center"/>
                  <w:rPr>
                    <w:szCs w:val="21"/>
                  </w:rPr>
                </w:pPr>
                <w:r>
                  <w:rPr>
                    <w:rFonts w:hint="eastAsia"/>
                    <w:szCs w:val="21"/>
                  </w:rPr>
                  <w:t>本期增加</w:t>
                </w:r>
              </w:p>
            </w:sdtContent>
          </w:sdt>
        </w:tc>
        <w:tc>
          <w:tcPr>
            <w:tcW w:w="2226" w:type="dxa"/>
            <w:gridSpan w:val="2"/>
            <w:vAlign w:val="center"/>
          </w:tcPr>
          <w:sdt>
            <w:sdtPr>
              <w:tag w:val="_PLD_ce868c17962f49c4aa34996033f79dd2"/>
              <w:id w:val="7253"/>
            </w:sdtPr>
            <w:sdtContent>
              <w:p>
                <w:pPr>
                  <w:autoSpaceDE w:val="0"/>
                  <w:autoSpaceDN w:val="0"/>
                  <w:adjustRightInd w:val="0"/>
                  <w:snapToGrid w:val="0"/>
                  <w:jc w:val="center"/>
                  <w:rPr>
                    <w:szCs w:val="21"/>
                  </w:rPr>
                </w:pPr>
                <w:r>
                  <w:rPr>
                    <w:rFonts w:hint="eastAsia"/>
                    <w:szCs w:val="21"/>
                  </w:rPr>
                  <w:t>本期减少</w:t>
                </w:r>
              </w:p>
            </w:sdtContent>
          </w:sdt>
        </w:tc>
        <w:tc>
          <w:tcPr>
            <w:tcW w:w="1323" w:type="dxa"/>
            <w:vMerge w:val="restart"/>
            <w:vAlign w:val="center"/>
          </w:tcPr>
          <w:sdt>
            <w:sdtPr>
              <w:tag w:val="_PLD_9b7450bb10fb432a80b42e729cd30f12"/>
              <w:id w:val="7254"/>
            </w:sdtPr>
            <w:sdtContent>
              <w:p>
                <w:pPr>
                  <w:autoSpaceDE w:val="0"/>
                  <w:autoSpaceDN w:val="0"/>
                  <w:adjustRightInd w:val="0"/>
                  <w:snapToGrid w:val="0"/>
                  <w:jc w:val="center"/>
                  <w:rPr>
                    <w:szCs w:val="21"/>
                  </w:rPr>
                </w:pPr>
                <w:r>
                  <w:rPr>
                    <w:rFonts w:hint="eastAsia"/>
                    <w:szCs w:val="21"/>
                  </w:rPr>
                  <w:t>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938" w:type="dxa"/>
            <w:vMerge w:val="continue"/>
            <w:vAlign w:val="center"/>
          </w:tcPr>
          <w:p>
            <w:pPr>
              <w:autoSpaceDE w:val="0"/>
              <w:autoSpaceDN w:val="0"/>
              <w:adjustRightInd w:val="0"/>
              <w:snapToGrid w:val="0"/>
              <w:jc w:val="center"/>
              <w:rPr>
                <w:szCs w:val="21"/>
              </w:rPr>
            </w:pPr>
          </w:p>
        </w:tc>
        <w:tc>
          <w:tcPr>
            <w:tcW w:w="1323" w:type="dxa"/>
            <w:vMerge w:val="continue"/>
            <w:vAlign w:val="center"/>
          </w:tcPr>
          <w:p>
            <w:pPr>
              <w:autoSpaceDE w:val="0"/>
              <w:autoSpaceDN w:val="0"/>
              <w:adjustRightInd w:val="0"/>
              <w:snapToGrid w:val="0"/>
              <w:jc w:val="center"/>
              <w:rPr>
                <w:szCs w:val="21"/>
              </w:rPr>
            </w:pPr>
          </w:p>
        </w:tc>
        <w:tc>
          <w:tcPr>
            <w:tcW w:w="1058" w:type="dxa"/>
            <w:vAlign w:val="center"/>
          </w:tcPr>
          <w:p>
            <w:pPr>
              <w:autoSpaceDE w:val="0"/>
              <w:autoSpaceDN w:val="0"/>
              <w:adjustRightInd w:val="0"/>
              <w:snapToGrid w:val="0"/>
              <w:jc w:val="center"/>
              <w:rPr>
                <w:szCs w:val="21"/>
              </w:rPr>
            </w:pPr>
            <w:r>
              <w:rPr>
                <w:rFonts w:hint="eastAsia"/>
                <w:szCs w:val="21"/>
              </w:rPr>
              <w:t>企业合并形成的</w:t>
            </w:r>
          </w:p>
        </w:tc>
        <w:tc>
          <w:tcPr>
            <w:tcW w:w="1178" w:type="dxa"/>
            <w:vAlign w:val="center"/>
          </w:tcPr>
          <w:sdt>
            <w:sdtPr>
              <w:rPr>
                <w:szCs w:val="21"/>
              </w:rPr>
              <w:alias w:val="商誉账面原值本期增加额项目名称"/>
              <w:tag w:val="_GBC_fe66c6d60c044d9ea6469875d95f3d99"/>
              <w:id w:val="7255"/>
            </w:sdtPr>
            <w:sdtEndPr>
              <w:rPr>
                <w:rFonts w:hint="eastAsia" w:hAnsiTheme="minorHAnsi"/>
                <w:szCs w:val="21"/>
              </w:rPr>
            </w:sdtEndPr>
            <w:sdtContent>
              <w:p>
                <w:pPr>
                  <w:autoSpaceDE w:val="0"/>
                  <w:autoSpaceDN w:val="0"/>
                  <w:adjustRightInd w:val="0"/>
                  <w:snapToGrid w:val="0"/>
                  <w:jc w:val="center"/>
                  <w:rPr>
                    <w:szCs w:val="21"/>
                  </w:rPr>
                </w:pPr>
                <w:r>
                  <w:rPr>
                    <w:rFonts w:hint="eastAsia" w:hAnsiTheme="minorHAnsi"/>
                    <w:szCs w:val="21"/>
                  </w:rPr>
                  <w:t>其他</w:t>
                </w:r>
              </w:p>
            </w:sdtContent>
          </w:sdt>
        </w:tc>
        <w:tc>
          <w:tcPr>
            <w:tcW w:w="1201" w:type="dxa"/>
            <w:vAlign w:val="center"/>
          </w:tcPr>
          <w:p>
            <w:pPr>
              <w:autoSpaceDE w:val="0"/>
              <w:autoSpaceDN w:val="0"/>
              <w:adjustRightInd w:val="0"/>
              <w:snapToGrid w:val="0"/>
              <w:jc w:val="center"/>
              <w:rPr>
                <w:szCs w:val="21"/>
              </w:rPr>
            </w:pPr>
            <w:r>
              <w:rPr>
                <w:rFonts w:hint="eastAsia"/>
                <w:szCs w:val="21"/>
              </w:rPr>
              <w:t>处置</w:t>
            </w:r>
          </w:p>
        </w:tc>
        <w:tc>
          <w:tcPr>
            <w:tcW w:w="1025" w:type="dxa"/>
            <w:vAlign w:val="center"/>
          </w:tcPr>
          <w:sdt>
            <w:sdtPr>
              <w:rPr>
                <w:szCs w:val="21"/>
              </w:rPr>
              <w:alias w:val="商誉账面原值本期减少额项目名称"/>
              <w:tag w:val="_GBC_8b97f290d55f4abf952a5db1e21a7423"/>
              <w:id w:val="7256"/>
            </w:sdtPr>
            <w:sdtEndPr>
              <w:rPr>
                <w:rFonts w:hint="eastAsia" w:hAnsiTheme="minorHAnsi"/>
                <w:szCs w:val="21"/>
              </w:rPr>
            </w:sdtEndPr>
            <w:sdtContent>
              <w:p>
                <w:pPr>
                  <w:autoSpaceDE w:val="0"/>
                  <w:autoSpaceDN w:val="0"/>
                  <w:adjustRightInd w:val="0"/>
                  <w:snapToGrid w:val="0"/>
                  <w:jc w:val="center"/>
                  <w:rPr>
                    <w:szCs w:val="21"/>
                  </w:rPr>
                </w:pPr>
                <w:r>
                  <w:rPr>
                    <w:rFonts w:hint="eastAsia" w:hAnsiTheme="minorHAnsi"/>
                    <w:szCs w:val="21"/>
                  </w:rPr>
                  <w:t>其他</w:t>
                </w:r>
              </w:p>
            </w:sdtContent>
          </w:sdt>
        </w:tc>
        <w:tc>
          <w:tcPr>
            <w:tcW w:w="1323" w:type="dxa"/>
            <w:vMerge w:val="continue"/>
            <w:vAlign w:val="center"/>
          </w:tcPr>
          <w:p>
            <w:pPr>
              <w:autoSpaceDE w:val="0"/>
              <w:autoSpaceDN w:val="0"/>
              <w:adjustRightInd w:val="0"/>
              <w:snapToGri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1938" w:type="dxa"/>
            <w:vAlign w:val="center"/>
          </w:tcPr>
          <w:p>
            <w:pPr>
              <w:autoSpaceDE w:val="0"/>
              <w:autoSpaceDN w:val="0"/>
              <w:adjustRightInd w:val="0"/>
              <w:snapToGrid w:val="0"/>
              <w:jc w:val="both"/>
              <w:rPr>
                <w:szCs w:val="21"/>
              </w:rPr>
            </w:pPr>
            <w:r>
              <w:rPr>
                <w:rFonts w:hint="eastAsia"/>
                <w:color w:val="auto"/>
                <w:szCs w:val="21"/>
              </w:rPr>
              <w:t>广西两面针亿康药业股份有限公司</w:t>
            </w:r>
          </w:p>
        </w:tc>
        <w:tc>
          <w:tcPr>
            <w:tcW w:w="1323" w:type="dxa"/>
            <w:vAlign w:val="center"/>
          </w:tcPr>
          <w:p>
            <w:pPr>
              <w:autoSpaceDE w:val="0"/>
              <w:autoSpaceDN w:val="0"/>
              <w:adjustRightInd w:val="0"/>
              <w:snapToGrid w:val="0"/>
              <w:jc w:val="right"/>
              <w:rPr>
                <w:szCs w:val="21"/>
              </w:rPr>
            </w:pPr>
            <w:r>
              <w:rPr>
                <w:rFonts w:hint="eastAsia"/>
                <w:color w:val="auto"/>
                <w:szCs w:val="21"/>
              </w:rPr>
              <w:t>3,405,975.91</w:t>
            </w:r>
          </w:p>
        </w:tc>
        <w:tc>
          <w:tcPr>
            <w:tcW w:w="1058" w:type="dxa"/>
            <w:vAlign w:val="center"/>
          </w:tcPr>
          <w:p>
            <w:pPr>
              <w:autoSpaceDE w:val="0"/>
              <w:autoSpaceDN w:val="0"/>
              <w:adjustRightInd w:val="0"/>
              <w:snapToGrid w:val="0"/>
              <w:jc w:val="right"/>
              <w:rPr>
                <w:szCs w:val="21"/>
              </w:rPr>
            </w:pPr>
            <w:r>
              <w:rPr>
                <w:rFonts w:hint="eastAsia"/>
                <w:color w:val="auto"/>
                <w:szCs w:val="21"/>
              </w:rPr>
              <w:t> </w:t>
            </w:r>
          </w:p>
        </w:tc>
        <w:tc>
          <w:tcPr>
            <w:tcW w:w="1178" w:type="dxa"/>
            <w:vAlign w:val="center"/>
          </w:tcPr>
          <w:p>
            <w:pPr>
              <w:autoSpaceDE w:val="0"/>
              <w:autoSpaceDN w:val="0"/>
              <w:adjustRightInd w:val="0"/>
              <w:snapToGrid w:val="0"/>
              <w:jc w:val="right"/>
              <w:rPr>
                <w:szCs w:val="21"/>
              </w:rPr>
            </w:pPr>
            <w:r>
              <w:rPr>
                <w:rFonts w:hint="eastAsia"/>
                <w:color w:val="auto"/>
                <w:szCs w:val="21"/>
              </w:rPr>
              <w:t> </w:t>
            </w:r>
          </w:p>
        </w:tc>
        <w:tc>
          <w:tcPr>
            <w:tcW w:w="1201" w:type="dxa"/>
            <w:vAlign w:val="center"/>
          </w:tcPr>
          <w:p>
            <w:pPr>
              <w:autoSpaceDE w:val="0"/>
              <w:autoSpaceDN w:val="0"/>
              <w:adjustRightInd w:val="0"/>
              <w:snapToGrid w:val="0"/>
              <w:jc w:val="right"/>
              <w:rPr>
                <w:szCs w:val="21"/>
              </w:rPr>
            </w:pPr>
            <w:r>
              <w:rPr>
                <w:rFonts w:hint="eastAsia"/>
                <w:color w:val="auto"/>
                <w:szCs w:val="21"/>
              </w:rPr>
              <w:t> </w:t>
            </w:r>
          </w:p>
        </w:tc>
        <w:tc>
          <w:tcPr>
            <w:tcW w:w="1025" w:type="dxa"/>
            <w:vAlign w:val="center"/>
          </w:tcPr>
          <w:p>
            <w:pPr>
              <w:autoSpaceDE w:val="0"/>
              <w:autoSpaceDN w:val="0"/>
              <w:adjustRightInd w:val="0"/>
              <w:snapToGrid w:val="0"/>
              <w:jc w:val="right"/>
              <w:rPr>
                <w:szCs w:val="21"/>
              </w:rPr>
            </w:pPr>
            <w:r>
              <w:rPr>
                <w:rFonts w:hint="eastAsia"/>
                <w:color w:val="auto"/>
                <w:szCs w:val="21"/>
              </w:rPr>
              <w:t> </w:t>
            </w:r>
          </w:p>
        </w:tc>
        <w:tc>
          <w:tcPr>
            <w:tcW w:w="1323" w:type="dxa"/>
            <w:vAlign w:val="center"/>
          </w:tcPr>
          <w:p>
            <w:pPr>
              <w:autoSpaceDE w:val="0"/>
              <w:autoSpaceDN w:val="0"/>
              <w:adjustRightInd w:val="0"/>
              <w:snapToGrid w:val="0"/>
              <w:jc w:val="right"/>
              <w:rPr>
                <w:szCs w:val="21"/>
              </w:rPr>
            </w:pPr>
            <w:r>
              <w:rPr>
                <w:rFonts w:hint="eastAsia"/>
                <w:color w:val="auto"/>
                <w:szCs w:val="21"/>
              </w:rPr>
              <w:t>3,405,975.91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938" w:type="dxa"/>
            <w:vAlign w:val="center"/>
          </w:tcPr>
          <w:p>
            <w:pPr>
              <w:autoSpaceDE w:val="0"/>
              <w:autoSpaceDN w:val="0"/>
              <w:adjustRightInd w:val="0"/>
              <w:snapToGrid w:val="0"/>
              <w:jc w:val="center"/>
              <w:rPr>
                <w:szCs w:val="21"/>
                <w:u w:val="double"/>
              </w:rPr>
            </w:pPr>
            <w:r>
              <w:rPr>
                <w:rFonts w:hint="eastAsia"/>
                <w:szCs w:val="21"/>
              </w:rPr>
              <w:t>合计</w:t>
            </w:r>
          </w:p>
        </w:tc>
        <w:tc>
          <w:tcPr>
            <w:tcW w:w="1323" w:type="dxa"/>
            <w:vAlign w:val="center"/>
          </w:tcPr>
          <w:p>
            <w:pPr>
              <w:autoSpaceDE w:val="0"/>
              <w:autoSpaceDN w:val="0"/>
              <w:adjustRightInd w:val="0"/>
              <w:snapToGrid w:val="0"/>
              <w:jc w:val="right"/>
              <w:rPr>
                <w:szCs w:val="21"/>
              </w:rPr>
            </w:pPr>
            <w:r>
              <w:rPr>
                <w:rFonts w:hint="eastAsia"/>
                <w:color w:val="auto"/>
                <w:szCs w:val="21"/>
              </w:rPr>
              <w:t>3,405,975.91</w:t>
            </w:r>
          </w:p>
        </w:tc>
        <w:tc>
          <w:tcPr>
            <w:tcW w:w="1058" w:type="dxa"/>
            <w:vAlign w:val="center"/>
          </w:tcPr>
          <w:p>
            <w:pPr>
              <w:autoSpaceDE w:val="0"/>
              <w:autoSpaceDN w:val="0"/>
              <w:adjustRightInd w:val="0"/>
              <w:snapToGrid w:val="0"/>
              <w:jc w:val="right"/>
              <w:rPr>
                <w:szCs w:val="21"/>
              </w:rPr>
            </w:pPr>
            <w:r>
              <w:rPr>
                <w:rFonts w:hint="eastAsia"/>
                <w:color w:val="auto"/>
                <w:szCs w:val="21"/>
              </w:rPr>
              <w:t> </w:t>
            </w:r>
          </w:p>
        </w:tc>
        <w:tc>
          <w:tcPr>
            <w:tcW w:w="1178" w:type="dxa"/>
            <w:vAlign w:val="center"/>
          </w:tcPr>
          <w:p>
            <w:pPr>
              <w:autoSpaceDE w:val="0"/>
              <w:autoSpaceDN w:val="0"/>
              <w:adjustRightInd w:val="0"/>
              <w:snapToGrid w:val="0"/>
              <w:jc w:val="right"/>
              <w:rPr>
                <w:szCs w:val="21"/>
              </w:rPr>
            </w:pPr>
            <w:r>
              <w:rPr>
                <w:rFonts w:hint="eastAsia"/>
                <w:color w:val="auto"/>
                <w:szCs w:val="21"/>
              </w:rPr>
              <w:t> </w:t>
            </w:r>
          </w:p>
        </w:tc>
        <w:tc>
          <w:tcPr>
            <w:tcW w:w="1201" w:type="dxa"/>
            <w:vAlign w:val="center"/>
          </w:tcPr>
          <w:p>
            <w:pPr>
              <w:autoSpaceDE w:val="0"/>
              <w:autoSpaceDN w:val="0"/>
              <w:adjustRightInd w:val="0"/>
              <w:snapToGrid w:val="0"/>
              <w:jc w:val="right"/>
              <w:rPr>
                <w:szCs w:val="21"/>
              </w:rPr>
            </w:pPr>
            <w:r>
              <w:rPr>
                <w:rFonts w:hint="eastAsia"/>
                <w:color w:val="auto"/>
                <w:szCs w:val="21"/>
              </w:rPr>
              <w:t> </w:t>
            </w:r>
          </w:p>
        </w:tc>
        <w:tc>
          <w:tcPr>
            <w:tcW w:w="1025" w:type="dxa"/>
            <w:vAlign w:val="center"/>
          </w:tcPr>
          <w:p>
            <w:pPr>
              <w:autoSpaceDE w:val="0"/>
              <w:autoSpaceDN w:val="0"/>
              <w:adjustRightInd w:val="0"/>
              <w:snapToGrid w:val="0"/>
              <w:jc w:val="right"/>
              <w:rPr>
                <w:szCs w:val="21"/>
              </w:rPr>
            </w:pPr>
            <w:r>
              <w:rPr>
                <w:rFonts w:hint="eastAsia"/>
                <w:color w:val="auto"/>
                <w:szCs w:val="21"/>
              </w:rPr>
              <w:t> </w:t>
            </w:r>
          </w:p>
        </w:tc>
        <w:tc>
          <w:tcPr>
            <w:tcW w:w="1323" w:type="dxa"/>
            <w:vAlign w:val="center"/>
          </w:tcPr>
          <w:p>
            <w:pPr>
              <w:autoSpaceDE w:val="0"/>
              <w:autoSpaceDN w:val="0"/>
              <w:adjustRightInd w:val="0"/>
              <w:snapToGrid w:val="0"/>
              <w:jc w:val="right"/>
              <w:rPr>
                <w:szCs w:val="21"/>
              </w:rPr>
            </w:pPr>
            <w:r>
              <w:rPr>
                <w:rFonts w:hint="eastAsia"/>
                <w:color w:val="auto"/>
                <w:szCs w:val="21"/>
              </w:rPr>
              <w:t>3,405,975.91</w:t>
            </w:r>
          </w:p>
        </w:tc>
      </w:tr>
    </w:tbl>
    <w:p>
      <w:pPr>
        <w:rPr>
          <w:szCs w:val="21"/>
        </w:rPr>
      </w:pPr>
    </w:p>
    <w:p>
      <w:pPr>
        <w:pStyle w:val="5"/>
        <w:numPr>
          <w:ilvl w:val="3"/>
          <w:numId w:val="85"/>
        </w:numPr>
        <w:ind w:left="426" w:hanging="426"/>
        <w:rPr>
          <w:rFonts w:hint="eastAsia"/>
        </w:rPr>
      </w:pPr>
      <w:r>
        <w:rPr>
          <w:rFonts w:hint="eastAsia"/>
        </w:rPr>
        <w:t>商誉减值准备</w:t>
      </w:r>
    </w:p>
    <w:sdt>
      <w:sdtPr>
        <w:alias w:val="是否适用：商誉减值准备[双击切换]"/>
        <w:tag w:val="_GBC_6da4c3df55cf453f9753bb7045db7e9c"/>
        <w:id w:val="7257"/>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
        <w:numPr>
          <w:ilvl w:val="3"/>
          <w:numId w:val="85"/>
        </w:numPr>
        <w:ind w:left="426" w:hanging="426"/>
        <w:rPr>
          <w:rFonts w:hint="eastAsia" w:ascii="宋体" w:hAnsi="宋体" w:eastAsia="宋体" w:cs="宋体"/>
          <w:kern w:val="0"/>
          <w:szCs w:val="24"/>
        </w:rPr>
      </w:pPr>
      <w:r>
        <w:rPr>
          <w:rFonts w:hint="eastAsia" w:ascii="宋体" w:hAnsi="宋体" w:eastAsia="宋体" w:cs="宋体"/>
          <w:kern w:val="0"/>
          <w:szCs w:val="24"/>
        </w:rPr>
        <w:t>商誉所在资产组或资产组组合的相关信息</w:t>
      </w:r>
    </w:p>
    <w:sdt>
      <w:sdtPr>
        <w:rPr>
          <w:rFonts w:hint="eastAsia"/>
        </w:rPr>
        <w:alias w:val="是否适用：商誉所在资产组或资产组组合的相关信息[双击切换]"/>
        <w:tag w:val="_GBC_119e2aba5afb45e0b1f50033345c80ee"/>
        <w:id w:val="7258"/>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bookmarkStart w:id="314" w:name="_Hlk153462880"/>
      <w:r>
        <w:rPr>
          <w:rFonts w:hint="eastAsia"/>
        </w:rPr>
        <w:t>资产组或资产组组合发生变化</w:t>
      </w:r>
    </w:p>
    <w:sdt>
      <w:sdtPr>
        <w:alias w:val="是否适用：资产组或资产组组合发生变化[双击切换]"/>
        <w:tag w:val="_GBC_31d9e35c99cb43c2ad1aced4a6a40606"/>
        <w:id w:val="7259"/>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bookmarkEnd w:id="314"/>
    <w:p>
      <w:bookmarkStart w:id="315" w:name="_Hlk152948734"/>
      <w:r>
        <w:rPr>
          <w:rFonts w:hint="eastAsia"/>
        </w:rPr>
        <w:t>其他说明：</w:t>
      </w:r>
    </w:p>
    <w:sdt>
      <w:sdtPr>
        <w:alias w:val="是否适用：商誉所在资产组或资产组组合的相关信息其他说明[双击切换]"/>
        <w:tag w:val="_GBC_9f9bd4d9cf084d4594694aa545981d14"/>
        <w:id w:val="7260"/>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315"/>
    <w:p/>
    <w:p>
      <w:pPr>
        <w:pStyle w:val="5"/>
        <w:numPr>
          <w:ilvl w:val="3"/>
          <w:numId w:val="85"/>
        </w:numPr>
        <w:ind w:left="424" w:hanging="424" w:hangingChars="201"/>
        <w:rPr>
          <w:rFonts w:hint="eastAsia"/>
        </w:rPr>
      </w:pPr>
      <w:r>
        <w:rPr>
          <w:rFonts w:hint="eastAsia"/>
        </w:rPr>
        <w:t>可收回金额的具体确定方法</w:t>
      </w:r>
    </w:p>
    <w:p>
      <w:bookmarkStart w:id="316" w:name="_Hlk153463075"/>
      <w:r>
        <w:rPr>
          <w:rFonts w:hint="eastAsia"/>
        </w:rPr>
        <w:t>可收回金额按公允价值减去处置费用后的净额确定</w:t>
      </w:r>
    </w:p>
    <w:sdt>
      <w:sdtPr>
        <w:alias w:val="是否适用：可收回金额按公允价值减去处置费用后的净额确定[双击切换]"/>
        <w:tag w:val="_GBC_0b6e879ad4b9460fa4cd105a6a6161a9"/>
        <w:id w:val="7261"/>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napToGrid w:val="0"/>
        <w:spacing w:line="240" w:lineRule="atLeast"/>
        <w:rPr>
          <w:szCs w:val="21"/>
        </w:rPr>
      </w:pPr>
    </w:p>
    <w:p>
      <w:r>
        <w:rPr>
          <w:rFonts w:hint="eastAsia"/>
        </w:rPr>
        <w:t>可收回金额按预计未来现金流量的现值确定</w:t>
      </w:r>
    </w:p>
    <w:sdt>
      <w:sdtPr>
        <w:rPr>
          <w:rFonts w:hint="eastAsia"/>
        </w:rPr>
        <w:alias w:val="是否适用：可收回金额按预计未来现金流量的现值确定[双击切换]"/>
        <w:tag w:val="_GBC_17189f5d61eb4932aa47036bc0a56c3c"/>
        <w:id w:val="7262"/>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rPr>
          <w:rFonts w:hint="eastAsia"/>
        </w:rPr>
        <w:t>前述信息与以前年度减值测试采用的信息或外部信息明显不一致的差异原因</w:t>
      </w:r>
    </w:p>
    <w:sdt>
      <w:sdtPr>
        <w:alias w:val="是否适用：前述信息与以前年度减值测试采用的信息或外部信息明显不一致的差异原因[双击切换]"/>
        <w:tag w:val="_GBC_6fedd0cb22e642148a39712dafed8ab2"/>
        <w:id w:val="7263"/>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napToGrid w:val="0"/>
        <w:spacing w:line="240" w:lineRule="atLeast"/>
        <w:rPr>
          <w:szCs w:val="21"/>
        </w:rPr>
      </w:pPr>
    </w:p>
    <w:p>
      <w:r>
        <w:rPr>
          <w:rFonts w:hint="eastAsia"/>
        </w:rPr>
        <w:t>公司以前年度减值测试采用信息与当年实际情况明显不一致的差异原因</w:t>
      </w:r>
    </w:p>
    <w:sdt>
      <w:sdtPr>
        <w:alias w:val="是否适用：公司以前年度减值测试采用信息与当年实际情况明显不一致的差异原因[双击切换]"/>
        <w:tag w:val="_GBC_18d33f86a7b9452d90cad7f084f6d59d"/>
        <w:id w:val="7264"/>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napToGrid w:val="0"/>
        <w:spacing w:line="240" w:lineRule="atLeast"/>
        <w:rPr>
          <w:szCs w:val="21"/>
        </w:rPr>
      </w:pPr>
    </w:p>
    <w:bookmarkEnd w:id="316"/>
    <w:p>
      <w:pPr>
        <w:pStyle w:val="5"/>
        <w:numPr>
          <w:ilvl w:val="3"/>
          <w:numId w:val="85"/>
        </w:numPr>
        <w:ind w:left="426" w:hanging="426"/>
        <w:rPr>
          <w:rFonts w:hint="eastAsia" w:ascii="宋体" w:hAnsi="宋体" w:eastAsia="宋体" w:cs="宋体"/>
          <w:kern w:val="0"/>
          <w:szCs w:val="24"/>
        </w:rPr>
      </w:pPr>
      <w:bookmarkStart w:id="317" w:name="_Hlk153463443"/>
      <w:r>
        <w:rPr>
          <w:rFonts w:hint="eastAsia" w:ascii="宋体" w:hAnsi="宋体" w:eastAsia="宋体" w:cs="宋体"/>
          <w:kern w:val="0"/>
          <w:szCs w:val="24"/>
        </w:rPr>
        <w:t>业绩承诺及对应商誉减值情况</w:t>
      </w:r>
    </w:p>
    <w:p>
      <w:r>
        <w:rPr>
          <w:rFonts w:hint="eastAsia"/>
        </w:rPr>
        <w:t>形成商誉时存在业绩承诺且报告期或报告期上一期间处于业绩承诺期内</w:t>
      </w:r>
    </w:p>
    <w:sdt>
      <w:sdtPr>
        <w:alias w:val="是否适用：业绩承诺完成及对应商誉减值情况[双击切换]"/>
        <w:tag w:val="_GBC_95d9b287a7584eabae736c33b656195c"/>
        <w:id w:val="7265"/>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bookmarkEnd w:id="317"/>
    <w:p>
      <w:r>
        <w:rPr>
          <w:rFonts w:hint="eastAsia"/>
        </w:rPr>
        <w:t>其他说明：</w:t>
      </w:r>
    </w:p>
    <w:sdt>
      <w:sdtPr>
        <w:alias w:val="是否适用：商誉其他需要说明的事项[双击切换]"/>
        <w:tag w:val="_GBC_99f8ebd0cb464294bea4051ad19cf581"/>
        <w:id w:val="7266"/>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napToGrid w:val="0"/>
        <w:spacing w:line="240" w:lineRule="atLeast"/>
        <w:rPr>
          <w:rFonts w:cstheme="minorBidi"/>
          <w:kern w:val="2"/>
          <w:szCs w:val="21"/>
        </w:rPr>
      </w:pPr>
    </w:p>
    <w:sdt>
      <w:sdtPr>
        <w:tag w:val="_PLD_33f8b5f518cf4fe99bbc295d45fb6778"/>
        <w:id w:val="7267"/>
      </w:sdtPr>
      <w:sdtEndPr>
        <w:rPr>
          <w:rFonts w:cs="Times New Roman"/>
          <w:b/>
          <w:bCs/>
          <w:kern w:val="2"/>
        </w:rPr>
      </w:sdtEndPr>
      <w:sdtContent>
        <w:p>
          <w:pPr>
            <w:pStyle w:val="4"/>
            <w:numPr>
              <w:ilvl w:val="0"/>
              <w:numId w:val="62"/>
            </w:numPr>
            <w:tabs>
              <w:tab w:val="left" w:pos="504"/>
            </w:tabs>
            <w:rPr>
              <w:rFonts w:hint="eastAsia" w:ascii="宋体" w:hAnsi="宋体"/>
              <w:szCs w:val="21"/>
            </w:rPr>
          </w:pPr>
          <w:r>
            <w:rPr>
              <w:rFonts w:hint="eastAsia" w:ascii="宋体" w:hAnsi="宋体"/>
              <w:szCs w:val="21"/>
            </w:rPr>
            <w:t>长期待摊费用</w:t>
          </w:r>
        </w:p>
      </w:sdtContent>
    </w:sdt>
    <w:sdt>
      <w:sdtPr>
        <w:alias w:val="是否适用：长期待摊费用[双击切换]"/>
        <w:tag w:val="_GBC_cbcb541b65cd4be6b93f357c0fdd9f09"/>
        <w:id w:val="7268"/>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长期待摊费用"/>
          <w:tag w:val="_GBC_bcda40ca2da04d5da4a9e3293430f9ac"/>
          <w:id w:val="726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长期待摊费用"/>
          <w:tag w:val="_GBC_45bcea706579408d8f2a7cd4ab5ef115"/>
          <w:id w:val="727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1496"/>
        <w:gridCol w:w="1496"/>
        <w:gridCol w:w="1496"/>
        <w:gridCol w:w="1520"/>
        <w:gridCol w:w="1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vAlign w:val="center"/>
          </w:tcPr>
          <w:sdt>
            <w:sdtPr>
              <w:tag w:val="_PLD_d70e367624f544f28430d4fa9dc10540"/>
              <w:id w:val="7271"/>
            </w:sdtPr>
            <w:sdtContent>
              <w:p>
                <w:pPr>
                  <w:widowControl w:val="0"/>
                  <w:jc w:val="center"/>
                  <w:rPr>
                    <w:szCs w:val="21"/>
                  </w:rPr>
                </w:pPr>
                <w:r>
                  <w:rPr>
                    <w:rFonts w:hint="eastAsia"/>
                    <w:szCs w:val="21"/>
                  </w:rPr>
                  <w:t>项目</w:t>
                </w:r>
              </w:p>
            </w:sdtContent>
          </w:sdt>
        </w:tc>
        <w:tc>
          <w:tcPr>
            <w:tcW w:w="1496" w:type="dxa"/>
            <w:vAlign w:val="center"/>
          </w:tcPr>
          <w:sdt>
            <w:sdtPr>
              <w:tag w:val="_PLD_e9e93178bf6e4ae6b25e934d80cadf90"/>
              <w:id w:val="7272"/>
            </w:sdtPr>
            <w:sdtContent>
              <w:p>
                <w:pPr>
                  <w:widowControl w:val="0"/>
                  <w:jc w:val="center"/>
                  <w:rPr>
                    <w:szCs w:val="21"/>
                  </w:rPr>
                </w:pPr>
                <w:r>
                  <w:rPr>
                    <w:rFonts w:hint="eastAsia"/>
                    <w:szCs w:val="21"/>
                  </w:rPr>
                  <w:t>期初余额</w:t>
                </w:r>
              </w:p>
            </w:sdtContent>
          </w:sdt>
        </w:tc>
        <w:tc>
          <w:tcPr>
            <w:tcW w:w="1496" w:type="dxa"/>
            <w:vAlign w:val="center"/>
          </w:tcPr>
          <w:sdt>
            <w:sdtPr>
              <w:tag w:val="_PLD_b0304019406b49bba87fd5d26e9e77a3"/>
              <w:id w:val="7273"/>
            </w:sdtPr>
            <w:sdtContent>
              <w:p>
                <w:pPr>
                  <w:widowControl w:val="0"/>
                  <w:jc w:val="center"/>
                  <w:rPr>
                    <w:szCs w:val="21"/>
                  </w:rPr>
                </w:pPr>
                <w:r>
                  <w:rPr>
                    <w:rFonts w:hint="eastAsia"/>
                    <w:szCs w:val="21"/>
                  </w:rPr>
                  <w:t>本期增加金额</w:t>
                </w:r>
              </w:p>
            </w:sdtContent>
          </w:sdt>
        </w:tc>
        <w:tc>
          <w:tcPr>
            <w:tcW w:w="1496" w:type="dxa"/>
            <w:vAlign w:val="center"/>
          </w:tcPr>
          <w:sdt>
            <w:sdtPr>
              <w:tag w:val="_PLD_e1350bea96cf4f45a6200cab08f11722"/>
              <w:id w:val="7274"/>
            </w:sdtPr>
            <w:sdtContent>
              <w:p>
                <w:pPr>
                  <w:widowControl w:val="0"/>
                  <w:jc w:val="center"/>
                  <w:rPr>
                    <w:szCs w:val="21"/>
                  </w:rPr>
                </w:pPr>
                <w:r>
                  <w:rPr>
                    <w:rFonts w:hint="eastAsia"/>
                    <w:szCs w:val="21"/>
                  </w:rPr>
                  <w:t>本期摊销金额</w:t>
                </w:r>
              </w:p>
            </w:sdtContent>
          </w:sdt>
        </w:tc>
        <w:tc>
          <w:tcPr>
            <w:tcW w:w="1520" w:type="dxa"/>
            <w:vAlign w:val="center"/>
          </w:tcPr>
          <w:sdt>
            <w:sdtPr>
              <w:tag w:val="_PLD_dd7c0d5ab3334691b3e0047d34ecb634"/>
              <w:id w:val="7275"/>
            </w:sdtPr>
            <w:sdtContent>
              <w:p>
                <w:pPr>
                  <w:widowControl w:val="0"/>
                  <w:jc w:val="center"/>
                  <w:rPr>
                    <w:szCs w:val="21"/>
                  </w:rPr>
                </w:pPr>
                <w:r>
                  <w:rPr>
                    <w:rFonts w:hint="eastAsia"/>
                    <w:szCs w:val="21"/>
                  </w:rPr>
                  <w:t>其他减少金额</w:t>
                </w:r>
              </w:p>
            </w:sdtContent>
          </w:sdt>
        </w:tc>
        <w:tc>
          <w:tcPr>
            <w:tcW w:w="1590" w:type="dxa"/>
            <w:vAlign w:val="center"/>
          </w:tcPr>
          <w:sdt>
            <w:sdtPr>
              <w:tag w:val="_PLD_3ab32d124e7942f1b1f82c0287c9220f"/>
              <w:id w:val="7276"/>
            </w:sdtPr>
            <w:sdtContent>
              <w:p>
                <w:pPr>
                  <w:widowControl w:val="0"/>
                  <w:jc w:val="center"/>
                  <w:rPr>
                    <w:szCs w:val="21"/>
                  </w:rPr>
                </w:pPr>
                <w:r>
                  <w:rPr>
                    <w:rFonts w:hint="eastAsia"/>
                    <w:szCs w:val="21"/>
                  </w:rPr>
                  <w:t>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vAlign w:val="center"/>
          </w:tcPr>
          <w:p>
            <w:pPr>
              <w:widowControl w:val="0"/>
              <w:jc w:val="both"/>
              <w:rPr>
                <w:szCs w:val="21"/>
              </w:rPr>
            </w:pPr>
            <w:r>
              <w:rPr>
                <w:rFonts w:hint="eastAsia"/>
                <w:color w:val="auto"/>
                <w:szCs w:val="21"/>
              </w:rPr>
              <w:t>装修改造等工程费用</w:t>
            </w:r>
          </w:p>
        </w:tc>
        <w:tc>
          <w:tcPr>
            <w:tcW w:w="1496" w:type="dxa"/>
            <w:vAlign w:val="center"/>
          </w:tcPr>
          <w:p>
            <w:pPr>
              <w:widowControl w:val="0"/>
              <w:jc w:val="right"/>
              <w:rPr>
                <w:szCs w:val="21"/>
              </w:rPr>
            </w:pPr>
            <w:r>
              <w:rPr>
                <w:rFonts w:hint="eastAsia"/>
                <w:color w:val="auto"/>
                <w:szCs w:val="21"/>
              </w:rPr>
              <w:t>4,212,247.06</w:t>
            </w:r>
          </w:p>
        </w:tc>
        <w:tc>
          <w:tcPr>
            <w:tcW w:w="1496" w:type="dxa"/>
            <w:vAlign w:val="center"/>
          </w:tcPr>
          <w:p>
            <w:pPr>
              <w:widowControl w:val="0"/>
              <w:jc w:val="right"/>
              <w:rPr>
                <w:szCs w:val="21"/>
              </w:rPr>
            </w:pPr>
            <w:r>
              <w:rPr>
                <w:rFonts w:hint="eastAsia"/>
                <w:color w:val="auto"/>
                <w:szCs w:val="21"/>
              </w:rPr>
              <w:t>2,417,853.07</w:t>
            </w:r>
          </w:p>
        </w:tc>
        <w:tc>
          <w:tcPr>
            <w:tcW w:w="1496" w:type="dxa"/>
            <w:vAlign w:val="center"/>
          </w:tcPr>
          <w:p>
            <w:pPr>
              <w:widowControl w:val="0"/>
              <w:jc w:val="right"/>
              <w:rPr>
                <w:szCs w:val="21"/>
              </w:rPr>
            </w:pPr>
            <w:r>
              <w:rPr>
                <w:rFonts w:hint="eastAsia"/>
                <w:color w:val="auto"/>
                <w:szCs w:val="21"/>
              </w:rPr>
              <w:t>2,425,357.24</w:t>
            </w:r>
          </w:p>
        </w:tc>
        <w:tc>
          <w:tcPr>
            <w:tcW w:w="1520" w:type="dxa"/>
            <w:vAlign w:val="center"/>
          </w:tcPr>
          <w:p>
            <w:pPr>
              <w:widowControl w:val="0"/>
              <w:jc w:val="right"/>
              <w:rPr>
                <w:szCs w:val="21"/>
              </w:rPr>
            </w:pPr>
            <w:r>
              <w:rPr>
                <w:rFonts w:hint="eastAsia"/>
                <w:color w:val="auto"/>
                <w:szCs w:val="21"/>
              </w:rPr>
              <w:t>　</w:t>
            </w:r>
          </w:p>
        </w:tc>
        <w:tc>
          <w:tcPr>
            <w:tcW w:w="1590" w:type="dxa"/>
            <w:vAlign w:val="center"/>
          </w:tcPr>
          <w:p>
            <w:pPr>
              <w:widowControl w:val="0"/>
              <w:jc w:val="right"/>
              <w:rPr>
                <w:szCs w:val="21"/>
              </w:rPr>
            </w:pPr>
            <w:r>
              <w:rPr>
                <w:rFonts w:hint="eastAsia"/>
                <w:color w:val="auto"/>
                <w:szCs w:val="21"/>
              </w:rPr>
              <w:t>4,204,742.89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vAlign w:val="center"/>
          </w:tcPr>
          <w:p>
            <w:pPr>
              <w:widowControl w:val="0"/>
              <w:jc w:val="center"/>
              <w:rPr>
                <w:szCs w:val="21"/>
              </w:rPr>
            </w:pPr>
            <w:r>
              <w:rPr>
                <w:rFonts w:hint="eastAsia"/>
                <w:szCs w:val="21"/>
              </w:rPr>
              <w:t>合计</w:t>
            </w:r>
          </w:p>
        </w:tc>
        <w:tc>
          <w:tcPr>
            <w:tcW w:w="1496" w:type="dxa"/>
            <w:vAlign w:val="center"/>
          </w:tcPr>
          <w:p>
            <w:pPr>
              <w:widowControl w:val="0"/>
              <w:jc w:val="right"/>
              <w:rPr>
                <w:szCs w:val="21"/>
              </w:rPr>
            </w:pPr>
            <w:r>
              <w:rPr>
                <w:rFonts w:hint="eastAsia"/>
                <w:color w:val="auto"/>
                <w:szCs w:val="21"/>
              </w:rPr>
              <w:t>4,212,247.06</w:t>
            </w:r>
          </w:p>
        </w:tc>
        <w:tc>
          <w:tcPr>
            <w:tcW w:w="1496" w:type="dxa"/>
            <w:vAlign w:val="center"/>
          </w:tcPr>
          <w:p>
            <w:pPr>
              <w:widowControl w:val="0"/>
              <w:jc w:val="right"/>
              <w:rPr>
                <w:szCs w:val="21"/>
              </w:rPr>
            </w:pPr>
            <w:r>
              <w:rPr>
                <w:rFonts w:hint="eastAsia"/>
                <w:color w:val="auto"/>
                <w:szCs w:val="21"/>
              </w:rPr>
              <w:t>2,417,853.07</w:t>
            </w:r>
          </w:p>
        </w:tc>
        <w:tc>
          <w:tcPr>
            <w:tcW w:w="1496" w:type="dxa"/>
            <w:vAlign w:val="center"/>
          </w:tcPr>
          <w:p>
            <w:pPr>
              <w:widowControl w:val="0"/>
              <w:jc w:val="right"/>
              <w:rPr>
                <w:szCs w:val="21"/>
              </w:rPr>
            </w:pPr>
            <w:r>
              <w:rPr>
                <w:rFonts w:hint="eastAsia"/>
                <w:color w:val="auto"/>
                <w:szCs w:val="21"/>
              </w:rPr>
              <w:t>2,425,357.24</w:t>
            </w:r>
          </w:p>
        </w:tc>
        <w:tc>
          <w:tcPr>
            <w:tcW w:w="1520" w:type="dxa"/>
            <w:vAlign w:val="center"/>
          </w:tcPr>
          <w:p>
            <w:pPr>
              <w:widowControl w:val="0"/>
              <w:jc w:val="right"/>
              <w:rPr>
                <w:szCs w:val="21"/>
              </w:rPr>
            </w:pPr>
            <w:r>
              <w:rPr>
                <w:rFonts w:hint="eastAsia"/>
                <w:color w:val="auto"/>
                <w:szCs w:val="21"/>
              </w:rPr>
              <w:t>　</w:t>
            </w:r>
          </w:p>
        </w:tc>
        <w:tc>
          <w:tcPr>
            <w:tcW w:w="1590" w:type="dxa"/>
            <w:vAlign w:val="center"/>
          </w:tcPr>
          <w:p>
            <w:pPr>
              <w:widowControl w:val="0"/>
              <w:jc w:val="right"/>
              <w:rPr>
                <w:szCs w:val="21"/>
              </w:rPr>
            </w:pPr>
            <w:r>
              <w:rPr>
                <w:rFonts w:hint="eastAsia"/>
                <w:color w:val="auto"/>
                <w:szCs w:val="21"/>
              </w:rPr>
              <w:t>4,204,742.89</w:t>
            </w:r>
          </w:p>
        </w:tc>
      </w:tr>
    </w:tbl>
    <w:p>
      <w:pPr>
        <w:rPr>
          <w:szCs w:val="21"/>
        </w:rPr>
      </w:pPr>
      <w:r>
        <w:rPr>
          <w:rFonts w:hint="eastAsia"/>
          <w:szCs w:val="21"/>
        </w:rPr>
        <w:t>其他说明：</w:t>
      </w:r>
    </w:p>
    <w:sdt>
      <w:sdtPr>
        <w:rPr>
          <w:szCs w:val="21"/>
        </w:rPr>
        <w:alias w:val="长期待摊费用的说明"/>
        <w:tag w:val="_GBC_c30bd5dcf50e4808a29b1b204a96f4c2"/>
        <w:id w:val="7277"/>
        <w:placeholder>
          <w:docPart w:val="GBC22222222222222222222222222222"/>
        </w:placeholder>
      </w:sdtPr>
      <w:sdtEndPr>
        <w:rPr>
          <w:szCs w:val="21"/>
        </w:rPr>
      </w:sdtEndPr>
      <w:sdtContent>
        <w:p>
          <w:pPr>
            <w:rPr>
              <w:szCs w:val="21"/>
            </w:rPr>
          </w:pPr>
          <w:r>
            <w:rPr>
              <w:rFonts w:hint="eastAsia"/>
              <w:szCs w:val="21"/>
            </w:rPr>
            <w:t>无</w:t>
          </w:r>
        </w:p>
      </w:sdtContent>
    </w:sdt>
    <w:p>
      <w:pPr>
        <w:rPr>
          <w:szCs w:val="21"/>
        </w:rPr>
      </w:pPr>
    </w:p>
    <w:p>
      <w:pPr>
        <w:pStyle w:val="4"/>
        <w:numPr>
          <w:ilvl w:val="0"/>
          <w:numId w:val="62"/>
        </w:numPr>
        <w:tabs>
          <w:tab w:val="left" w:pos="504"/>
        </w:tabs>
        <w:rPr>
          <w:rFonts w:hint="eastAsia" w:ascii="宋体" w:hAnsi="宋体"/>
          <w:szCs w:val="21"/>
        </w:rPr>
      </w:pPr>
      <w:r>
        <w:rPr>
          <w:rFonts w:hint="eastAsia" w:ascii="宋体" w:hAnsi="宋体"/>
          <w:szCs w:val="21"/>
        </w:rPr>
        <w:t>递延所得税资产/ 递延所得税负债</w:t>
      </w:r>
    </w:p>
    <w:p>
      <w:pPr>
        <w:pStyle w:val="5"/>
        <w:numPr>
          <w:ilvl w:val="0"/>
          <w:numId w:val="86"/>
        </w:numPr>
        <w:ind w:left="426" w:hanging="426"/>
        <w:rPr>
          <w:rFonts w:hint="eastAsia"/>
        </w:rPr>
      </w:pPr>
      <w:bookmarkStart w:id="318" w:name="_Toc215903151"/>
      <w:bookmarkStart w:id="319" w:name="_Hlk24103450"/>
      <w:r>
        <w:rPr>
          <w:rFonts w:hint="eastAsia"/>
        </w:rPr>
        <w:t>未经抵销的递延所得税资产</w:t>
      </w:r>
    </w:p>
    <w:sdt>
      <w:sdtPr>
        <w:alias w:val="是否适用：未经抵销的递延所得税资产[双击切换]"/>
        <w:tag w:val="_GBC_ba4415ee4af24efe852073192d94c115"/>
        <w:id w:val="7278"/>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已确认的递延所得税资产和递延所得税负债"/>
          <w:tag w:val="_GBC_39a9c92575cb4f1c9a029fb2f64168e5"/>
          <w:id w:val="727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bookmarkEnd w:id="318"/>
      <w:sdt>
        <w:sdtPr>
          <w:rPr>
            <w:rFonts w:hint="eastAsia"/>
            <w:szCs w:val="21"/>
          </w:rPr>
          <w:alias w:val="币种：财务附注：已确认的递延所得税资产和递延所得税负债"/>
          <w:tag w:val="_GBC_33d1ac52f1ce463294fce1044445d46f"/>
          <w:id w:val="728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3"/>
        <w:gridCol w:w="1650"/>
        <w:gridCol w:w="1647"/>
        <w:gridCol w:w="1663"/>
        <w:gridCol w:w="1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443" w:type="dxa"/>
            <w:vMerge w:val="restart"/>
            <w:vAlign w:val="center"/>
          </w:tcPr>
          <w:sdt>
            <w:sdtPr>
              <w:tag w:val="_PLD_e006c9e7b70844cd8ef6f2cbb5161589"/>
              <w:id w:val="7281"/>
            </w:sdtPr>
            <w:sdtContent>
              <w:p>
                <w:pPr>
                  <w:jc w:val="center"/>
                  <w:rPr>
                    <w:szCs w:val="21"/>
                  </w:rPr>
                </w:pPr>
                <w:r>
                  <w:rPr>
                    <w:rFonts w:hint="eastAsia"/>
                    <w:szCs w:val="21"/>
                  </w:rPr>
                  <w:t>项目</w:t>
                </w:r>
              </w:p>
            </w:sdtContent>
          </w:sdt>
        </w:tc>
        <w:tc>
          <w:tcPr>
            <w:tcW w:w="3298" w:type="dxa"/>
            <w:gridSpan w:val="2"/>
            <w:vAlign w:val="center"/>
          </w:tcPr>
          <w:sdt>
            <w:sdtPr>
              <w:tag w:val="_PLD_9380d941020241f39819205f4df8c355"/>
              <w:id w:val="7282"/>
            </w:sdtPr>
            <w:sdtContent>
              <w:p>
                <w:pPr>
                  <w:jc w:val="center"/>
                  <w:rPr>
                    <w:szCs w:val="21"/>
                  </w:rPr>
                </w:pPr>
                <w:r>
                  <w:rPr>
                    <w:rFonts w:hint="eastAsia"/>
                    <w:szCs w:val="21"/>
                  </w:rPr>
                  <w:t>期末余额</w:t>
                </w:r>
              </w:p>
            </w:sdtContent>
          </w:sdt>
        </w:tc>
        <w:tc>
          <w:tcPr>
            <w:tcW w:w="3309" w:type="dxa"/>
            <w:gridSpan w:val="2"/>
            <w:vAlign w:val="center"/>
          </w:tcPr>
          <w:sdt>
            <w:sdtPr>
              <w:tag w:val="_PLD_40d587838e534f37a8f9a9e7e2020671"/>
              <w:id w:val="7283"/>
            </w:sdtPr>
            <w:sdtContent>
              <w:p>
                <w:pPr>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443" w:type="dxa"/>
            <w:vMerge w:val="continue"/>
            <w:vAlign w:val="center"/>
          </w:tcPr>
          <w:p>
            <w:pPr>
              <w:jc w:val="center"/>
              <w:rPr>
                <w:b/>
                <w:szCs w:val="21"/>
              </w:rPr>
            </w:pPr>
          </w:p>
        </w:tc>
        <w:tc>
          <w:tcPr>
            <w:tcW w:w="1650" w:type="dxa"/>
            <w:vAlign w:val="center"/>
          </w:tcPr>
          <w:sdt>
            <w:sdtPr>
              <w:tag w:val="_PLD_c239006a5e6040d58bedd94ab36e9784"/>
              <w:id w:val="7284"/>
            </w:sdtPr>
            <w:sdtContent>
              <w:p>
                <w:pPr>
                  <w:jc w:val="center"/>
                  <w:rPr>
                    <w:szCs w:val="21"/>
                  </w:rPr>
                </w:pPr>
                <w:r>
                  <w:rPr>
                    <w:rFonts w:hint="eastAsia"/>
                    <w:szCs w:val="21"/>
                  </w:rPr>
                  <w:t>可抵扣暂时性差异</w:t>
                </w:r>
              </w:p>
            </w:sdtContent>
          </w:sdt>
        </w:tc>
        <w:tc>
          <w:tcPr>
            <w:tcW w:w="1647" w:type="dxa"/>
            <w:vAlign w:val="center"/>
          </w:tcPr>
          <w:sdt>
            <w:sdtPr>
              <w:tag w:val="_PLD_1559717fc58743e19a1e868ac528fbc0"/>
              <w:id w:val="7285"/>
            </w:sdtPr>
            <w:sdtContent>
              <w:p>
                <w:pPr>
                  <w:jc w:val="center"/>
                  <w:rPr>
                    <w:szCs w:val="21"/>
                  </w:rPr>
                </w:pPr>
                <w:r>
                  <w:rPr>
                    <w:rFonts w:hint="eastAsia"/>
                    <w:szCs w:val="21"/>
                  </w:rPr>
                  <w:t>递延所得税</w:t>
                </w:r>
              </w:p>
              <w:p>
                <w:pPr>
                  <w:jc w:val="center"/>
                  <w:rPr>
                    <w:szCs w:val="21"/>
                  </w:rPr>
                </w:pPr>
                <w:r>
                  <w:rPr>
                    <w:rFonts w:hint="eastAsia"/>
                    <w:szCs w:val="21"/>
                  </w:rPr>
                  <w:t>资产</w:t>
                </w:r>
              </w:p>
            </w:sdtContent>
          </w:sdt>
        </w:tc>
        <w:tc>
          <w:tcPr>
            <w:tcW w:w="1663" w:type="dxa"/>
            <w:vAlign w:val="center"/>
          </w:tcPr>
          <w:sdt>
            <w:sdtPr>
              <w:tag w:val="_PLD_de171afb73ff474dbccc47c2cec6d4f1"/>
              <w:id w:val="7286"/>
            </w:sdtPr>
            <w:sdtContent>
              <w:p>
                <w:pPr>
                  <w:jc w:val="center"/>
                  <w:rPr>
                    <w:szCs w:val="21"/>
                  </w:rPr>
                </w:pPr>
                <w:r>
                  <w:rPr>
                    <w:rFonts w:hint="eastAsia"/>
                    <w:szCs w:val="21"/>
                  </w:rPr>
                  <w:t>可抵扣暂时性差异</w:t>
                </w:r>
              </w:p>
            </w:sdtContent>
          </w:sdt>
        </w:tc>
        <w:tc>
          <w:tcPr>
            <w:tcW w:w="1645" w:type="dxa"/>
            <w:vAlign w:val="center"/>
          </w:tcPr>
          <w:sdt>
            <w:sdtPr>
              <w:tag w:val="_PLD_bafc90864e7347e5bb50ec31a5dffe05"/>
              <w:id w:val="7287"/>
            </w:sdtPr>
            <w:sdtContent>
              <w:p>
                <w:pPr>
                  <w:jc w:val="center"/>
                  <w:rPr>
                    <w:szCs w:val="21"/>
                  </w:rPr>
                </w:pPr>
                <w:r>
                  <w:rPr>
                    <w:rFonts w:hint="eastAsia"/>
                    <w:szCs w:val="21"/>
                  </w:rPr>
                  <w:t>递延所得税</w:t>
                </w:r>
              </w:p>
              <w:p>
                <w:pPr>
                  <w:jc w:val="center"/>
                  <w:rPr>
                    <w:szCs w:val="21"/>
                  </w:rPr>
                </w:pPr>
                <w:r>
                  <w:rPr>
                    <w:rFonts w:hint="eastAsia"/>
                    <w:szCs w:val="21"/>
                  </w:rPr>
                  <w:t>资产</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443" w:type="dxa"/>
            <w:vAlign w:val="center"/>
          </w:tcPr>
          <w:p>
            <w:pPr>
              <w:ind w:firstLine="210" w:firstLineChars="100"/>
              <w:rPr>
                <w:szCs w:val="21"/>
              </w:rPr>
            </w:pPr>
            <w:r>
              <w:rPr>
                <w:rFonts w:hint="eastAsia"/>
                <w:szCs w:val="21"/>
              </w:rPr>
              <w:t>资产减值准备</w:t>
            </w:r>
          </w:p>
        </w:tc>
        <w:tc>
          <w:tcPr>
            <w:tcW w:w="1650" w:type="dxa"/>
            <w:vAlign w:val="center"/>
          </w:tcPr>
          <w:p>
            <w:pPr>
              <w:jc w:val="right"/>
              <w:rPr>
                <w:szCs w:val="21"/>
              </w:rPr>
            </w:pPr>
            <w:r>
              <w:rPr>
                <w:rFonts w:hint="eastAsia"/>
                <w:color w:val="auto"/>
                <w:szCs w:val="21"/>
              </w:rPr>
              <w:t>23,586,076.80</w:t>
            </w:r>
          </w:p>
        </w:tc>
        <w:tc>
          <w:tcPr>
            <w:tcW w:w="1647" w:type="dxa"/>
            <w:vAlign w:val="center"/>
          </w:tcPr>
          <w:p>
            <w:pPr>
              <w:jc w:val="right"/>
              <w:rPr>
                <w:szCs w:val="21"/>
              </w:rPr>
            </w:pPr>
            <w:r>
              <w:rPr>
                <w:rFonts w:hint="eastAsia"/>
                <w:color w:val="auto"/>
                <w:szCs w:val="21"/>
              </w:rPr>
              <w:t>3,537,911.52</w:t>
            </w:r>
          </w:p>
        </w:tc>
        <w:tc>
          <w:tcPr>
            <w:tcW w:w="1663" w:type="dxa"/>
            <w:vAlign w:val="center"/>
          </w:tcPr>
          <w:p>
            <w:pPr>
              <w:jc w:val="right"/>
              <w:rPr>
                <w:szCs w:val="21"/>
              </w:rPr>
            </w:pPr>
            <w:r>
              <w:rPr>
                <w:rFonts w:hint="eastAsia"/>
                <w:color w:val="auto"/>
                <w:szCs w:val="21"/>
              </w:rPr>
              <w:t>23,908,990.45</w:t>
            </w:r>
          </w:p>
        </w:tc>
        <w:tc>
          <w:tcPr>
            <w:tcW w:w="1645" w:type="dxa"/>
            <w:vAlign w:val="center"/>
          </w:tcPr>
          <w:p>
            <w:pPr>
              <w:jc w:val="right"/>
              <w:rPr>
                <w:szCs w:val="21"/>
              </w:rPr>
            </w:pPr>
            <w:r>
              <w:rPr>
                <w:rFonts w:hint="eastAsia"/>
                <w:color w:val="auto"/>
                <w:szCs w:val="21"/>
              </w:rPr>
              <w:t>3,769,901.15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443" w:type="dxa"/>
            <w:vAlign w:val="center"/>
          </w:tcPr>
          <w:p>
            <w:pPr>
              <w:ind w:leftChars="0" w:firstLine="0" w:firstLineChars="0"/>
              <w:jc w:val="left"/>
              <w:rPr>
                <w:szCs w:val="21"/>
              </w:rPr>
            </w:pPr>
            <w:r>
              <w:rPr>
                <w:rFonts w:hint="eastAsia"/>
                <w:szCs w:val="21"/>
              </w:rPr>
              <w:t>可递延的政府补助收益</w:t>
            </w:r>
          </w:p>
        </w:tc>
        <w:tc>
          <w:tcPr>
            <w:tcW w:w="1650" w:type="dxa"/>
            <w:vAlign w:val="center"/>
          </w:tcPr>
          <w:p>
            <w:pPr>
              <w:jc w:val="right"/>
              <w:rPr>
                <w:szCs w:val="21"/>
              </w:rPr>
            </w:pPr>
            <w:r>
              <w:rPr>
                <w:rFonts w:hint="eastAsia"/>
                <w:color w:val="auto"/>
                <w:szCs w:val="21"/>
              </w:rPr>
              <w:t>497,731.66</w:t>
            </w:r>
          </w:p>
        </w:tc>
        <w:tc>
          <w:tcPr>
            <w:tcW w:w="1647" w:type="dxa"/>
            <w:vAlign w:val="center"/>
          </w:tcPr>
          <w:p>
            <w:pPr>
              <w:jc w:val="right"/>
              <w:rPr>
                <w:szCs w:val="21"/>
              </w:rPr>
            </w:pPr>
            <w:r>
              <w:rPr>
                <w:rFonts w:hint="eastAsia"/>
                <w:color w:val="auto"/>
                <w:szCs w:val="21"/>
              </w:rPr>
              <w:t>74,659.75</w:t>
            </w:r>
          </w:p>
        </w:tc>
        <w:tc>
          <w:tcPr>
            <w:tcW w:w="1663" w:type="dxa"/>
            <w:vAlign w:val="center"/>
          </w:tcPr>
          <w:p>
            <w:pPr>
              <w:jc w:val="right"/>
              <w:rPr>
                <w:szCs w:val="21"/>
              </w:rPr>
            </w:pPr>
            <w:r>
              <w:rPr>
                <w:rFonts w:hint="eastAsia"/>
                <w:color w:val="auto"/>
                <w:szCs w:val="21"/>
              </w:rPr>
              <w:t>601,531.35</w:t>
            </w:r>
          </w:p>
        </w:tc>
        <w:tc>
          <w:tcPr>
            <w:tcW w:w="1645" w:type="dxa"/>
            <w:vAlign w:val="center"/>
          </w:tcPr>
          <w:p>
            <w:pPr>
              <w:jc w:val="right"/>
              <w:rPr>
                <w:szCs w:val="21"/>
              </w:rPr>
            </w:pPr>
            <w:r>
              <w:rPr>
                <w:rFonts w:hint="eastAsia"/>
                <w:color w:val="auto"/>
                <w:szCs w:val="21"/>
              </w:rPr>
              <w:t>90,229.70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443" w:type="dxa"/>
            <w:vAlign w:val="center"/>
          </w:tcPr>
          <w:sdt>
            <w:sdtPr>
              <w:tag w:val="_PLD_d888a9019bdb4ec39459c5bfe650b183"/>
              <w:id w:val="7288"/>
            </w:sdtPr>
            <w:sdtContent>
              <w:p>
                <w:pPr>
                  <w:ind w:firstLine="210" w:firstLineChars="100"/>
                  <w:rPr>
                    <w:szCs w:val="21"/>
                  </w:rPr>
                </w:pPr>
                <w:r>
                  <w:rPr>
                    <w:rFonts w:hint="eastAsia"/>
                    <w:szCs w:val="21"/>
                  </w:rPr>
                  <w:t>预提费用</w:t>
                </w:r>
              </w:p>
            </w:sdtContent>
          </w:sdt>
        </w:tc>
        <w:tc>
          <w:tcPr>
            <w:tcW w:w="1650" w:type="dxa"/>
            <w:vAlign w:val="center"/>
          </w:tcPr>
          <w:p>
            <w:pPr>
              <w:jc w:val="right"/>
              <w:rPr>
                <w:szCs w:val="21"/>
              </w:rPr>
            </w:pPr>
            <w:r>
              <w:rPr>
                <w:rFonts w:hint="eastAsia"/>
                <w:color w:val="auto"/>
                <w:szCs w:val="21"/>
              </w:rPr>
              <w:t>2,898,471.33</w:t>
            </w:r>
          </w:p>
        </w:tc>
        <w:tc>
          <w:tcPr>
            <w:tcW w:w="1647" w:type="dxa"/>
            <w:vAlign w:val="center"/>
          </w:tcPr>
          <w:p>
            <w:pPr>
              <w:jc w:val="right"/>
              <w:rPr>
                <w:szCs w:val="21"/>
              </w:rPr>
            </w:pPr>
            <w:r>
              <w:rPr>
                <w:rFonts w:hint="eastAsia"/>
                <w:color w:val="auto"/>
                <w:szCs w:val="21"/>
              </w:rPr>
              <w:t>434,770.70</w:t>
            </w:r>
          </w:p>
        </w:tc>
        <w:tc>
          <w:tcPr>
            <w:tcW w:w="1663" w:type="dxa"/>
            <w:vAlign w:val="center"/>
          </w:tcPr>
          <w:p>
            <w:pPr>
              <w:jc w:val="right"/>
              <w:rPr>
                <w:szCs w:val="21"/>
              </w:rPr>
            </w:pPr>
            <w:r>
              <w:rPr>
                <w:rFonts w:hint="eastAsia"/>
                <w:color w:val="auto"/>
                <w:szCs w:val="21"/>
              </w:rPr>
              <w:t>2,916,841.90</w:t>
            </w:r>
          </w:p>
        </w:tc>
        <w:tc>
          <w:tcPr>
            <w:tcW w:w="1645" w:type="dxa"/>
            <w:vAlign w:val="center"/>
          </w:tcPr>
          <w:p>
            <w:pPr>
              <w:jc w:val="right"/>
              <w:rPr>
                <w:szCs w:val="21"/>
              </w:rPr>
            </w:pPr>
            <w:r>
              <w:rPr>
                <w:rFonts w:hint="eastAsia"/>
                <w:color w:val="auto"/>
                <w:szCs w:val="21"/>
              </w:rPr>
              <w:t>437,526.29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443" w:type="dxa"/>
            <w:vAlign w:val="center"/>
          </w:tcPr>
          <w:p>
            <w:pPr>
              <w:rPr>
                <w:szCs w:val="21"/>
              </w:rPr>
            </w:pPr>
            <w:r>
              <w:rPr>
                <w:rFonts w:hint="eastAsia"/>
                <w:color w:val="auto"/>
                <w:szCs w:val="21"/>
              </w:rPr>
              <w:t>租赁负债</w:t>
            </w:r>
          </w:p>
        </w:tc>
        <w:tc>
          <w:tcPr>
            <w:tcW w:w="1650" w:type="dxa"/>
            <w:vAlign w:val="center"/>
          </w:tcPr>
          <w:p>
            <w:pPr>
              <w:jc w:val="right"/>
              <w:rPr>
                <w:szCs w:val="21"/>
              </w:rPr>
            </w:pPr>
            <w:r>
              <w:rPr>
                <w:rFonts w:hint="eastAsia"/>
                <w:color w:val="auto"/>
                <w:szCs w:val="21"/>
              </w:rPr>
              <w:t>4,125,629.27</w:t>
            </w:r>
          </w:p>
        </w:tc>
        <w:tc>
          <w:tcPr>
            <w:tcW w:w="1647" w:type="dxa"/>
            <w:vAlign w:val="center"/>
          </w:tcPr>
          <w:p>
            <w:pPr>
              <w:jc w:val="right"/>
              <w:rPr>
                <w:szCs w:val="21"/>
              </w:rPr>
            </w:pPr>
            <w:r>
              <w:rPr>
                <w:rFonts w:hint="eastAsia"/>
                <w:color w:val="auto"/>
                <w:szCs w:val="21"/>
              </w:rPr>
              <w:t>618,844.39</w:t>
            </w:r>
          </w:p>
        </w:tc>
        <w:tc>
          <w:tcPr>
            <w:tcW w:w="1663" w:type="dxa"/>
            <w:vAlign w:val="center"/>
          </w:tcPr>
          <w:p>
            <w:pPr>
              <w:jc w:val="right"/>
              <w:rPr>
                <w:szCs w:val="21"/>
              </w:rPr>
            </w:pPr>
            <w:r>
              <w:rPr>
                <w:rFonts w:hint="eastAsia"/>
                <w:color w:val="auto"/>
                <w:szCs w:val="21"/>
              </w:rPr>
              <w:t>6,665,599.22</w:t>
            </w:r>
          </w:p>
        </w:tc>
        <w:tc>
          <w:tcPr>
            <w:tcW w:w="1645" w:type="dxa"/>
            <w:vAlign w:val="center"/>
          </w:tcPr>
          <w:p>
            <w:pPr>
              <w:jc w:val="right"/>
              <w:rPr>
                <w:szCs w:val="21"/>
              </w:rPr>
            </w:pPr>
            <w:r>
              <w:rPr>
                <w:rFonts w:hint="eastAsia"/>
                <w:color w:val="auto"/>
                <w:szCs w:val="21"/>
              </w:rPr>
              <w:t>1,666,399.80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443" w:type="dxa"/>
            <w:vAlign w:val="center"/>
          </w:tcPr>
          <w:p>
            <w:pPr>
              <w:jc w:val="center"/>
              <w:rPr>
                <w:szCs w:val="21"/>
              </w:rPr>
            </w:pPr>
            <w:r>
              <w:rPr>
                <w:rFonts w:hint="eastAsia"/>
                <w:szCs w:val="21"/>
              </w:rPr>
              <w:t>合计</w:t>
            </w:r>
          </w:p>
        </w:tc>
        <w:tc>
          <w:tcPr>
            <w:tcW w:w="1650" w:type="dxa"/>
            <w:vAlign w:val="center"/>
          </w:tcPr>
          <w:p>
            <w:pPr>
              <w:jc w:val="right"/>
              <w:rPr>
                <w:szCs w:val="21"/>
              </w:rPr>
            </w:pPr>
            <w:r>
              <w:rPr>
                <w:rFonts w:hint="eastAsia"/>
                <w:color w:val="auto"/>
                <w:szCs w:val="21"/>
              </w:rPr>
              <w:t>31,107,909.06</w:t>
            </w:r>
          </w:p>
        </w:tc>
        <w:tc>
          <w:tcPr>
            <w:tcW w:w="1647" w:type="dxa"/>
            <w:vAlign w:val="center"/>
          </w:tcPr>
          <w:p>
            <w:pPr>
              <w:jc w:val="right"/>
              <w:rPr>
                <w:szCs w:val="21"/>
              </w:rPr>
            </w:pPr>
            <w:r>
              <w:rPr>
                <w:rFonts w:hint="eastAsia"/>
                <w:color w:val="auto"/>
                <w:szCs w:val="21"/>
              </w:rPr>
              <w:t>4,666,186.36</w:t>
            </w:r>
          </w:p>
        </w:tc>
        <w:tc>
          <w:tcPr>
            <w:tcW w:w="1663" w:type="dxa"/>
            <w:vAlign w:val="center"/>
          </w:tcPr>
          <w:p>
            <w:pPr>
              <w:jc w:val="right"/>
              <w:rPr>
                <w:szCs w:val="21"/>
              </w:rPr>
            </w:pPr>
            <w:r>
              <w:rPr>
                <w:rFonts w:hint="eastAsia"/>
                <w:color w:val="auto"/>
                <w:szCs w:val="21"/>
              </w:rPr>
              <w:t>34,092,962.92</w:t>
            </w:r>
          </w:p>
        </w:tc>
        <w:tc>
          <w:tcPr>
            <w:tcW w:w="1645" w:type="dxa"/>
            <w:vAlign w:val="center"/>
          </w:tcPr>
          <w:p>
            <w:pPr>
              <w:jc w:val="right"/>
              <w:rPr>
                <w:szCs w:val="21"/>
              </w:rPr>
            </w:pPr>
            <w:r>
              <w:rPr>
                <w:rFonts w:hint="eastAsia"/>
                <w:color w:val="auto"/>
                <w:szCs w:val="21"/>
              </w:rPr>
              <w:t>5,964,056.94</w:t>
            </w:r>
          </w:p>
        </w:tc>
      </w:tr>
    </w:tbl>
    <w:p/>
    <w:p>
      <w:pPr>
        <w:pStyle w:val="5"/>
        <w:numPr>
          <w:ilvl w:val="0"/>
          <w:numId w:val="86"/>
        </w:numPr>
        <w:ind w:left="426" w:hanging="426"/>
        <w:rPr>
          <w:rFonts w:hint="eastAsia"/>
        </w:rPr>
      </w:pPr>
      <w:r>
        <w:rPr>
          <w:rFonts w:hint="eastAsia"/>
        </w:rPr>
        <w:t>未经抵销的递延所得税负债</w:t>
      </w:r>
    </w:p>
    <w:p>
      <w:sdt>
        <w:sdtPr>
          <w:alias w:val="是否适用：未经抵销的递延所得税负债[双击切换]"/>
          <w:tag w:val="_GBC_e7d8f83d611d4464afa60fcd4c2b0690"/>
          <w:id w:val="7289"/>
          <w:placeholder>
            <w:docPart w:val="GBC22222222222222222222222222222"/>
          </w:placeholder>
        </w:sdtPr>
        <w:sdtContent>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pPr>
        <w:jc w:val="right"/>
      </w:pPr>
      <w:r>
        <w:rPr>
          <w:rFonts w:hint="eastAsia"/>
        </w:rPr>
        <w:t>单位：</w:t>
      </w:r>
      <w:sdt>
        <w:sdtPr>
          <w:rPr>
            <w:rFonts w:hint="eastAsia"/>
          </w:rPr>
          <w:alias w:val="单位：财务附注：未经抵销的递延所得税负债"/>
          <w:tag w:val="_GBC_20c1fd2b551d429d888a1c48c5ee9c5a"/>
          <w:id w:val="729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财务附注：未经抵销的递延所得税负债"/>
          <w:tag w:val="_GBC_e6ace91667794eff9d02520878b629f9"/>
          <w:id w:val="729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675"/>
        <w:gridCol w:w="1665"/>
        <w:gridCol w:w="1657"/>
        <w:gridCol w:w="1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374" w:type="dxa"/>
            <w:vMerge w:val="restart"/>
            <w:vAlign w:val="center"/>
          </w:tcPr>
          <w:sdt>
            <w:sdtPr>
              <w:tag w:val="_PLD_e9bdb30dce784b4a9efd1b5efd6964fb"/>
              <w:id w:val="7292"/>
            </w:sdtPr>
            <w:sdtContent>
              <w:p>
                <w:pPr>
                  <w:jc w:val="center"/>
                  <w:rPr>
                    <w:szCs w:val="21"/>
                  </w:rPr>
                </w:pPr>
                <w:r>
                  <w:rPr>
                    <w:rFonts w:hint="eastAsia"/>
                    <w:szCs w:val="21"/>
                  </w:rPr>
                  <w:t>项目</w:t>
                </w:r>
              </w:p>
            </w:sdtContent>
          </w:sdt>
        </w:tc>
        <w:tc>
          <w:tcPr>
            <w:tcW w:w="3340" w:type="dxa"/>
            <w:gridSpan w:val="2"/>
            <w:vAlign w:val="center"/>
          </w:tcPr>
          <w:sdt>
            <w:sdtPr>
              <w:tag w:val="_PLD_600f3752c404468197724275bf44cd43"/>
              <w:id w:val="7293"/>
            </w:sdtPr>
            <w:sdtContent>
              <w:p>
                <w:pPr>
                  <w:jc w:val="center"/>
                  <w:rPr>
                    <w:szCs w:val="21"/>
                  </w:rPr>
                </w:pPr>
                <w:r>
                  <w:rPr>
                    <w:rFonts w:hint="eastAsia"/>
                    <w:szCs w:val="21"/>
                  </w:rPr>
                  <w:t>期末余额</w:t>
                </w:r>
              </w:p>
            </w:sdtContent>
          </w:sdt>
        </w:tc>
        <w:tc>
          <w:tcPr>
            <w:tcW w:w="3333" w:type="dxa"/>
            <w:gridSpan w:val="2"/>
            <w:vAlign w:val="center"/>
          </w:tcPr>
          <w:sdt>
            <w:sdtPr>
              <w:tag w:val="_PLD_7e4b2554e2544865b74424edbdb55d4b"/>
              <w:id w:val="7294"/>
            </w:sdtPr>
            <w:sdtContent>
              <w:p>
                <w:pPr>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374" w:type="dxa"/>
            <w:vMerge w:val="continue"/>
            <w:vAlign w:val="center"/>
          </w:tcPr>
          <w:p>
            <w:pPr>
              <w:jc w:val="center"/>
              <w:rPr>
                <w:b/>
                <w:szCs w:val="21"/>
              </w:rPr>
            </w:pPr>
          </w:p>
        </w:tc>
        <w:tc>
          <w:tcPr>
            <w:tcW w:w="1675" w:type="dxa"/>
            <w:vAlign w:val="center"/>
          </w:tcPr>
          <w:sdt>
            <w:sdtPr>
              <w:tag w:val="_PLD_2db432e06e184a41a8eb727ebb64ec40"/>
              <w:id w:val="7295"/>
            </w:sdtPr>
            <w:sdtContent>
              <w:p>
                <w:pPr>
                  <w:jc w:val="center"/>
                  <w:rPr>
                    <w:szCs w:val="21"/>
                  </w:rPr>
                </w:pPr>
                <w:r>
                  <w:rPr>
                    <w:rFonts w:hint="eastAsia" w:ascii="Arial" w:hAnsi="Arial"/>
                    <w:szCs w:val="21"/>
                  </w:rPr>
                  <w:t>应纳税暂时性差异</w:t>
                </w:r>
              </w:p>
            </w:sdtContent>
          </w:sdt>
        </w:tc>
        <w:tc>
          <w:tcPr>
            <w:tcW w:w="1665" w:type="dxa"/>
            <w:vAlign w:val="center"/>
          </w:tcPr>
          <w:sdt>
            <w:sdtPr>
              <w:tag w:val="_PLD_b3dd3e66f628452aab8284dc189a458b"/>
              <w:id w:val="7296"/>
            </w:sdtPr>
            <w:sdtContent>
              <w:p>
                <w:pPr>
                  <w:jc w:val="center"/>
                  <w:rPr>
                    <w:szCs w:val="21"/>
                  </w:rPr>
                </w:pPr>
                <w:r>
                  <w:rPr>
                    <w:rFonts w:hint="eastAsia"/>
                    <w:szCs w:val="21"/>
                  </w:rPr>
                  <w:t>递延所得税</w:t>
                </w:r>
              </w:p>
              <w:p>
                <w:pPr>
                  <w:jc w:val="center"/>
                  <w:rPr>
                    <w:szCs w:val="21"/>
                  </w:rPr>
                </w:pPr>
                <w:r>
                  <w:rPr>
                    <w:rFonts w:hint="eastAsia"/>
                    <w:szCs w:val="21"/>
                  </w:rPr>
                  <w:t>负债</w:t>
                </w:r>
              </w:p>
            </w:sdtContent>
          </w:sdt>
        </w:tc>
        <w:tc>
          <w:tcPr>
            <w:tcW w:w="1657" w:type="dxa"/>
            <w:vAlign w:val="center"/>
          </w:tcPr>
          <w:sdt>
            <w:sdtPr>
              <w:tag w:val="_PLD_3e69493cf6a2462eab1eaf8ece87a89d"/>
              <w:id w:val="7297"/>
            </w:sdtPr>
            <w:sdtContent>
              <w:p>
                <w:pPr>
                  <w:jc w:val="center"/>
                  <w:rPr>
                    <w:szCs w:val="21"/>
                  </w:rPr>
                </w:pPr>
                <w:r>
                  <w:rPr>
                    <w:rFonts w:hint="eastAsia" w:ascii="Arial" w:hAnsi="Arial"/>
                    <w:szCs w:val="21"/>
                  </w:rPr>
                  <w:t>应纳税暂时性差异</w:t>
                </w:r>
              </w:p>
            </w:sdtContent>
          </w:sdt>
        </w:tc>
        <w:tc>
          <w:tcPr>
            <w:tcW w:w="1675" w:type="dxa"/>
            <w:vAlign w:val="center"/>
          </w:tcPr>
          <w:sdt>
            <w:sdtPr>
              <w:tag w:val="_PLD_ad4c3389a4a04a96990ace5203f3adbb"/>
              <w:id w:val="7298"/>
            </w:sdtPr>
            <w:sdtContent>
              <w:p>
                <w:pPr>
                  <w:jc w:val="center"/>
                  <w:rPr>
                    <w:szCs w:val="21"/>
                  </w:rPr>
                </w:pPr>
                <w:r>
                  <w:rPr>
                    <w:rFonts w:hint="eastAsia"/>
                    <w:szCs w:val="21"/>
                  </w:rPr>
                  <w:t>递延所得税</w:t>
                </w:r>
              </w:p>
              <w:p>
                <w:pPr>
                  <w:jc w:val="center"/>
                  <w:rPr>
                    <w:szCs w:val="21"/>
                  </w:rPr>
                </w:pPr>
                <w:r>
                  <w:rPr>
                    <w:rFonts w:hint="eastAsia"/>
                    <w:szCs w:val="21"/>
                  </w:rPr>
                  <w:t>负债</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374" w:type="dxa"/>
            <w:vAlign w:val="center"/>
          </w:tcPr>
          <w:p>
            <w:pPr>
              <w:rPr>
                <w:szCs w:val="21"/>
              </w:rPr>
            </w:pPr>
            <w:r>
              <w:rPr>
                <w:rFonts w:hint="eastAsia"/>
                <w:color w:val="auto"/>
                <w:szCs w:val="21"/>
              </w:rPr>
              <w:t>计入当期损益的公允价值变动</w:t>
            </w:r>
          </w:p>
        </w:tc>
        <w:tc>
          <w:tcPr>
            <w:tcW w:w="1675" w:type="dxa"/>
            <w:vAlign w:val="center"/>
          </w:tcPr>
          <w:p>
            <w:pPr>
              <w:jc w:val="right"/>
              <w:rPr>
                <w:szCs w:val="21"/>
              </w:rPr>
            </w:pPr>
            <w:r>
              <w:rPr>
                <w:rFonts w:hint="eastAsia"/>
                <w:color w:val="auto"/>
                <w:szCs w:val="21"/>
              </w:rPr>
              <w:t>241,669,937.84</w:t>
            </w:r>
          </w:p>
        </w:tc>
        <w:tc>
          <w:tcPr>
            <w:tcW w:w="1665" w:type="dxa"/>
            <w:vAlign w:val="center"/>
          </w:tcPr>
          <w:p>
            <w:pPr>
              <w:jc w:val="right"/>
              <w:rPr>
                <w:szCs w:val="21"/>
              </w:rPr>
            </w:pPr>
            <w:r>
              <w:rPr>
                <w:rFonts w:hint="eastAsia"/>
                <w:color w:val="auto"/>
                <w:szCs w:val="21"/>
              </w:rPr>
              <w:t>60,417,484.46</w:t>
            </w:r>
          </w:p>
        </w:tc>
        <w:tc>
          <w:tcPr>
            <w:tcW w:w="1657" w:type="dxa"/>
            <w:vAlign w:val="center"/>
          </w:tcPr>
          <w:p>
            <w:pPr>
              <w:jc w:val="right"/>
              <w:rPr>
                <w:szCs w:val="21"/>
              </w:rPr>
            </w:pPr>
            <w:r>
              <w:rPr>
                <w:rFonts w:hint="eastAsia"/>
                <w:color w:val="auto"/>
                <w:szCs w:val="21"/>
              </w:rPr>
              <w:t>246,098,133.11</w:t>
            </w:r>
          </w:p>
        </w:tc>
        <w:tc>
          <w:tcPr>
            <w:tcW w:w="1675" w:type="dxa"/>
            <w:vAlign w:val="center"/>
          </w:tcPr>
          <w:p>
            <w:pPr>
              <w:jc w:val="right"/>
              <w:rPr>
                <w:szCs w:val="21"/>
              </w:rPr>
            </w:pPr>
            <w:r>
              <w:rPr>
                <w:rFonts w:hint="eastAsia"/>
                <w:color w:val="auto"/>
                <w:szCs w:val="21"/>
              </w:rPr>
              <w:t>61,524,533.28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374" w:type="dxa"/>
            <w:vAlign w:val="center"/>
          </w:tcPr>
          <w:p>
            <w:pPr>
              <w:rPr>
                <w:szCs w:val="21"/>
              </w:rPr>
            </w:pPr>
            <w:r>
              <w:rPr>
                <w:rFonts w:hint="eastAsia"/>
                <w:color w:val="auto"/>
                <w:szCs w:val="21"/>
              </w:rPr>
              <w:t>使用权资产</w:t>
            </w:r>
          </w:p>
        </w:tc>
        <w:tc>
          <w:tcPr>
            <w:tcW w:w="1675" w:type="dxa"/>
            <w:vAlign w:val="center"/>
          </w:tcPr>
          <w:p>
            <w:pPr>
              <w:jc w:val="right"/>
              <w:rPr>
                <w:szCs w:val="21"/>
              </w:rPr>
            </w:pPr>
            <w:r>
              <w:rPr>
                <w:rFonts w:hint="eastAsia"/>
                <w:color w:val="auto"/>
                <w:szCs w:val="21"/>
              </w:rPr>
              <w:t>4,893,676.51</w:t>
            </w:r>
          </w:p>
        </w:tc>
        <w:tc>
          <w:tcPr>
            <w:tcW w:w="1665" w:type="dxa"/>
            <w:vAlign w:val="center"/>
          </w:tcPr>
          <w:p>
            <w:pPr>
              <w:jc w:val="right"/>
              <w:rPr>
                <w:szCs w:val="21"/>
              </w:rPr>
            </w:pPr>
            <w:r>
              <w:rPr>
                <w:rFonts w:hint="eastAsia"/>
                <w:color w:val="auto"/>
                <w:szCs w:val="21"/>
              </w:rPr>
              <w:t>734,051.47</w:t>
            </w:r>
          </w:p>
        </w:tc>
        <w:tc>
          <w:tcPr>
            <w:tcW w:w="1657" w:type="dxa"/>
            <w:vAlign w:val="center"/>
          </w:tcPr>
          <w:p>
            <w:pPr>
              <w:jc w:val="right"/>
              <w:rPr>
                <w:szCs w:val="21"/>
              </w:rPr>
            </w:pPr>
            <w:r>
              <w:rPr>
                <w:rFonts w:hint="eastAsia"/>
                <w:color w:val="auto"/>
                <w:szCs w:val="21"/>
              </w:rPr>
              <w:t>7,198,033.53</w:t>
            </w:r>
          </w:p>
        </w:tc>
        <w:tc>
          <w:tcPr>
            <w:tcW w:w="1675" w:type="dxa"/>
            <w:vAlign w:val="center"/>
          </w:tcPr>
          <w:p>
            <w:pPr>
              <w:jc w:val="right"/>
              <w:rPr>
                <w:szCs w:val="21"/>
              </w:rPr>
            </w:pPr>
            <w:r>
              <w:rPr>
                <w:rFonts w:hint="eastAsia"/>
                <w:color w:val="auto"/>
                <w:szCs w:val="21"/>
              </w:rPr>
              <w:t>1,799,508.38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374" w:type="dxa"/>
            <w:vAlign w:val="center"/>
          </w:tcPr>
          <w:p>
            <w:pPr>
              <w:jc w:val="center"/>
              <w:rPr>
                <w:szCs w:val="21"/>
              </w:rPr>
            </w:pPr>
            <w:r>
              <w:rPr>
                <w:rFonts w:hint="eastAsia"/>
                <w:szCs w:val="21"/>
              </w:rPr>
              <w:t>合计</w:t>
            </w:r>
          </w:p>
        </w:tc>
        <w:tc>
          <w:tcPr>
            <w:tcW w:w="1675" w:type="dxa"/>
            <w:vAlign w:val="center"/>
          </w:tcPr>
          <w:p>
            <w:pPr>
              <w:jc w:val="right"/>
              <w:rPr>
                <w:szCs w:val="21"/>
              </w:rPr>
            </w:pPr>
            <w:r>
              <w:rPr>
                <w:rFonts w:hint="eastAsia"/>
                <w:color w:val="auto"/>
                <w:szCs w:val="21"/>
              </w:rPr>
              <w:t>246,563,614.35</w:t>
            </w:r>
          </w:p>
        </w:tc>
        <w:tc>
          <w:tcPr>
            <w:tcW w:w="1665" w:type="dxa"/>
            <w:vAlign w:val="center"/>
          </w:tcPr>
          <w:p>
            <w:pPr>
              <w:jc w:val="right"/>
              <w:rPr>
                <w:szCs w:val="21"/>
              </w:rPr>
            </w:pPr>
            <w:r>
              <w:rPr>
                <w:rFonts w:hint="eastAsia"/>
                <w:color w:val="auto"/>
                <w:szCs w:val="21"/>
              </w:rPr>
              <w:t>61,151,535.93</w:t>
            </w:r>
          </w:p>
        </w:tc>
        <w:tc>
          <w:tcPr>
            <w:tcW w:w="1657" w:type="dxa"/>
            <w:vAlign w:val="center"/>
          </w:tcPr>
          <w:p>
            <w:pPr>
              <w:jc w:val="right"/>
              <w:rPr>
                <w:szCs w:val="21"/>
              </w:rPr>
            </w:pPr>
            <w:r>
              <w:rPr>
                <w:rFonts w:hint="eastAsia"/>
                <w:color w:val="auto"/>
                <w:szCs w:val="21"/>
              </w:rPr>
              <w:t>253,296,166.64</w:t>
            </w:r>
          </w:p>
        </w:tc>
        <w:tc>
          <w:tcPr>
            <w:tcW w:w="1675" w:type="dxa"/>
            <w:vAlign w:val="center"/>
          </w:tcPr>
          <w:p>
            <w:pPr>
              <w:jc w:val="right"/>
              <w:rPr>
                <w:szCs w:val="21"/>
              </w:rPr>
            </w:pPr>
            <w:r>
              <w:rPr>
                <w:rFonts w:hint="eastAsia"/>
                <w:color w:val="auto"/>
                <w:szCs w:val="21"/>
              </w:rPr>
              <w:t>63,324,041.66</w:t>
            </w:r>
          </w:p>
        </w:tc>
      </w:tr>
    </w:tbl>
    <w:p/>
    <w:p>
      <w:pPr>
        <w:pStyle w:val="5"/>
        <w:numPr>
          <w:ilvl w:val="0"/>
          <w:numId w:val="86"/>
        </w:numPr>
        <w:ind w:left="426" w:hanging="426"/>
        <w:rPr>
          <w:rFonts w:hint="eastAsia"/>
        </w:rPr>
      </w:pPr>
      <w:r>
        <w:rPr>
          <w:rFonts w:hint="eastAsia"/>
        </w:rPr>
        <w:t>以抵销后净额列示的递延所得税资产或负债</w:t>
      </w:r>
    </w:p>
    <w:sdt>
      <w:sdtPr>
        <w:alias w:val="是否适用：以抵销后净额列示的递延所得税资产或负债[双击切换]"/>
        <w:tag w:val="_GBC_adbd88aca1694de2a14c265a3fb12290"/>
        <w:id w:val="7299"/>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
        <w:numPr>
          <w:ilvl w:val="0"/>
          <w:numId w:val="86"/>
        </w:numPr>
        <w:ind w:left="426" w:hanging="426"/>
        <w:rPr>
          <w:rFonts w:hint="eastAsia"/>
        </w:rPr>
      </w:pPr>
      <w:r>
        <w:rPr>
          <w:rFonts w:hint="eastAsia"/>
        </w:rPr>
        <w:t>未确认递延所得税资产明细</w:t>
      </w:r>
    </w:p>
    <w:sdt>
      <w:sdtPr>
        <w:alias w:val="是否适用：未确认递延所得税资产明细[双击切换]"/>
        <w:tag w:val="_GBC_713996bf5e4d4c6988835fbf892c5ef2"/>
        <w:id w:val="730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未确认递延所得税资产明细"/>
          <w:tag w:val="_GBC_f8fecfb8754c42a8b3b02d67ae705062"/>
          <w:id w:val="730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未确认递延所得税资产明细"/>
          <w:tag w:val="_GBC_2f5aab227caa4f7da7d6278ecf51ccdf"/>
          <w:id w:val="730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8"/>
        <w:gridCol w:w="3082"/>
        <w:gridCol w:w="3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888" w:type="dxa"/>
            <w:tcBorders>
              <w:top w:val="single" w:color="auto" w:sz="4" w:space="0"/>
              <w:left w:val="single" w:color="auto" w:sz="4" w:space="0"/>
              <w:bottom w:val="single" w:color="auto" w:sz="4" w:space="0"/>
              <w:right w:val="single" w:color="auto" w:sz="4" w:space="0"/>
            </w:tcBorders>
            <w:vAlign w:val="center"/>
          </w:tcPr>
          <w:sdt>
            <w:sdtPr>
              <w:tag w:val="_PLD_91af0f9b93ef459d823e4bc33d9190d6"/>
              <w:id w:val="7303"/>
            </w:sdtPr>
            <w:sdtContent>
              <w:p>
                <w:pPr>
                  <w:jc w:val="center"/>
                  <w:rPr>
                    <w:szCs w:val="21"/>
                  </w:rPr>
                </w:pPr>
                <w:r>
                  <w:rPr>
                    <w:rFonts w:hint="eastAsia"/>
                    <w:szCs w:val="21"/>
                  </w:rPr>
                  <w:t>项目</w:t>
                </w:r>
              </w:p>
            </w:sdtContent>
          </w:sdt>
        </w:tc>
        <w:tc>
          <w:tcPr>
            <w:tcW w:w="3082" w:type="dxa"/>
            <w:tcBorders>
              <w:top w:val="single" w:color="auto" w:sz="4" w:space="0"/>
              <w:left w:val="single" w:color="auto" w:sz="4" w:space="0"/>
              <w:bottom w:val="single" w:color="auto" w:sz="4" w:space="0"/>
              <w:right w:val="single" w:color="auto" w:sz="4" w:space="0"/>
            </w:tcBorders>
            <w:vAlign w:val="center"/>
          </w:tcPr>
          <w:sdt>
            <w:sdtPr>
              <w:tag w:val="_PLD_2c2dee2efbd6433784024156b3454ba7"/>
              <w:id w:val="7304"/>
            </w:sdtPr>
            <w:sdtContent>
              <w:p>
                <w:pPr>
                  <w:jc w:val="center"/>
                  <w:rPr>
                    <w:szCs w:val="21"/>
                  </w:rPr>
                </w:pPr>
                <w:r>
                  <w:rPr>
                    <w:rFonts w:hint="eastAsia"/>
                    <w:szCs w:val="21"/>
                  </w:rPr>
                  <w:t>期末余额</w:t>
                </w:r>
              </w:p>
            </w:sdtContent>
          </w:sdt>
        </w:tc>
        <w:tc>
          <w:tcPr>
            <w:tcW w:w="3078" w:type="dxa"/>
            <w:tcBorders>
              <w:top w:val="single" w:color="auto" w:sz="4" w:space="0"/>
              <w:left w:val="single" w:color="auto" w:sz="4" w:space="0"/>
              <w:bottom w:val="single" w:color="auto" w:sz="4" w:space="0"/>
              <w:right w:val="single" w:color="auto" w:sz="4" w:space="0"/>
            </w:tcBorders>
            <w:vAlign w:val="center"/>
          </w:tcPr>
          <w:sdt>
            <w:sdtPr>
              <w:tag w:val="_PLD_d5059c87582d4e558703d63a8a2d5399"/>
              <w:id w:val="7305"/>
            </w:sdtPr>
            <w:sdtContent>
              <w:p>
                <w:pPr>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888"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可抵扣暂时性差异</w:t>
            </w:r>
          </w:p>
        </w:tc>
        <w:tc>
          <w:tcPr>
            <w:tcW w:w="308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color w:val="auto"/>
                <w:szCs w:val="21"/>
                <w:lang w:val="en-US" w:eastAsia="zh-CN"/>
              </w:rPr>
            </w:pPr>
            <w:r>
              <w:rPr>
                <w:rFonts w:hint="eastAsia"/>
                <w:color w:val="auto"/>
                <w:szCs w:val="21"/>
              </w:rPr>
              <w:t xml:space="preserve">93,119,081.80 </w:t>
            </w:r>
          </w:p>
        </w:tc>
        <w:tc>
          <w:tcPr>
            <w:tcW w:w="3078"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color w:val="auto"/>
                <w:szCs w:val="21"/>
                <w:lang w:val="en-US" w:eastAsia="zh-CN"/>
              </w:rPr>
            </w:pPr>
            <w:r>
              <w:rPr>
                <w:rFonts w:hint="eastAsia"/>
                <w:color w:val="auto"/>
                <w:szCs w:val="21"/>
              </w:rPr>
              <w:t>95,272,537.71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888"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可抵扣亏损</w:t>
            </w:r>
          </w:p>
        </w:tc>
        <w:tc>
          <w:tcPr>
            <w:tcW w:w="308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color w:val="auto"/>
                <w:szCs w:val="21"/>
                <w:lang w:val="en-US" w:eastAsia="zh-CN"/>
              </w:rPr>
            </w:pPr>
            <w:r>
              <w:rPr>
                <w:rFonts w:hint="eastAsia"/>
                <w:color w:val="auto"/>
                <w:szCs w:val="21"/>
              </w:rPr>
              <w:t>151,759,082.31</w:t>
            </w:r>
          </w:p>
        </w:tc>
        <w:tc>
          <w:tcPr>
            <w:tcW w:w="3078"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color w:val="auto"/>
                <w:szCs w:val="21"/>
                <w:lang w:val="en-US" w:eastAsia="zh-CN"/>
              </w:rPr>
            </w:pPr>
            <w:r>
              <w:rPr>
                <w:rFonts w:hint="eastAsia"/>
                <w:color w:val="auto"/>
                <w:szCs w:val="21"/>
              </w:rPr>
              <w:t>151,759,082.31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888"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合计</w:t>
            </w:r>
          </w:p>
        </w:tc>
        <w:tc>
          <w:tcPr>
            <w:tcW w:w="308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color w:val="auto"/>
                <w:szCs w:val="21"/>
                <w:lang w:val="en-US" w:eastAsia="zh-CN"/>
              </w:rPr>
            </w:pPr>
            <w:r>
              <w:rPr>
                <w:rFonts w:hint="eastAsia"/>
                <w:color w:val="auto"/>
                <w:szCs w:val="21"/>
              </w:rPr>
              <w:t>244,878,164.11</w:t>
            </w:r>
          </w:p>
        </w:tc>
        <w:tc>
          <w:tcPr>
            <w:tcW w:w="3078"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color w:val="auto"/>
                <w:szCs w:val="21"/>
                <w:lang w:val="en-US" w:eastAsia="zh-CN"/>
              </w:rPr>
            </w:pPr>
            <w:r>
              <w:rPr>
                <w:rFonts w:hint="eastAsia"/>
                <w:color w:val="auto"/>
                <w:szCs w:val="21"/>
              </w:rPr>
              <w:t>247,031,620.02</w:t>
            </w:r>
          </w:p>
        </w:tc>
      </w:tr>
    </w:tbl>
    <w:p>
      <w:pPr>
        <w:rPr>
          <w:szCs w:val="21"/>
        </w:rPr>
      </w:pPr>
    </w:p>
    <w:p>
      <w:pPr>
        <w:pStyle w:val="5"/>
        <w:numPr>
          <w:ilvl w:val="0"/>
          <w:numId w:val="86"/>
        </w:numPr>
        <w:ind w:left="426" w:hanging="426"/>
        <w:rPr>
          <w:rFonts w:hint="eastAsia"/>
        </w:rPr>
      </w:pPr>
      <w:r>
        <w:rPr>
          <w:rFonts w:hint="eastAsia"/>
        </w:rPr>
        <w:t>未确认递延所得税资产的可抵扣亏损将于以下年度到期</w:t>
      </w:r>
    </w:p>
    <w:sdt>
      <w:sdtPr>
        <w:alias w:val="是否适用：未确认递延所得税资产的可抵扣亏损将于以下年度到期[双击切换]"/>
        <w:tag w:val="_GBC_961c987bdb6e4a53ad2e7713648fd02b"/>
        <w:id w:val="7306"/>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ind w:right="57"/>
        <w:jc w:val="right"/>
        <w:rPr>
          <w:szCs w:val="21"/>
        </w:rPr>
      </w:pPr>
      <w:r>
        <w:rPr>
          <w:rFonts w:hint="eastAsia"/>
          <w:szCs w:val="21"/>
        </w:rPr>
        <w:t>单位：</w:t>
      </w:r>
      <w:sdt>
        <w:sdtPr>
          <w:rPr>
            <w:rFonts w:hint="eastAsia"/>
            <w:szCs w:val="21"/>
          </w:rPr>
          <w:alias w:val="单位：财务附注：未确认递延所得税资产的可抵扣亏损将于以下年度到期"/>
          <w:tag w:val="_GBC_f2f4114ac2e940dc8739e6c3e20fe15f"/>
          <w:id w:val="730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未确认递延所得税资产的可抵扣亏损将于以下年度到期"/>
          <w:tag w:val="_GBC_a44b093249e5439fa4b311f7150bce43"/>
          <w:id w:val="730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4"/>
        <w:gridCol w:w="2285"/>
        <w:gridCol w:w="2323"/>
        <w:gridCol w:w="2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084" w:type="dxa"/>
            <w:tcBorders>
              <w:top w:val="single" w:color="auto" w:sz="4" w:space="0"/>
              <w:left w:val="single" w:color="auto" w:sz="4" w:space="0"/>
              <w:bottom w:val="single" w:color="auto" w:sz="4" w:space="0"/>
              <w:right w:val="single" w:color="auto" w:sz="4" w:space="0"/>
            </w:tcBorders>
            <w:vAlign w:val="center"/>
          </w:tcPr>
          <w:sdt>
            <w:sdtPr>
              <w:tag w:val="_PLD_c2bad95d2ced4c2f8958303268f6cd2b"/>
              <w:id w:val="7309"/>
            </w:sdtPr>
            <w:sdtContent>
              <w:p>
                <w:pPr>
                  <w:jc w:val="center"/>
                  <w:rPr>
                    <w:szCs w:val="21"/>
                  </w:rPr>
                </w:pPr>
                <w:r>
                  <w:rPr>
                    <w:rFonts w:hint="eastAsia"/>
                    <w:szCs w:val="21"/>
                  </w:rPr>
                  <w:t>年份</w:t>
                </w:r>
              </w:p>
            </w:sdtContent>
          </w:sdt>
        </w:tc>
        <w:tc>
          <w:tcPr>
            <w:tcW w:w="2285" w:type="dxa"/>
            <w:tcBorders>
              <w:top w:val="single" w:color="auto" w:sz="4" w:space="0"/>
              <w:left w:val="single" w:color="auto" w:sz="4" w:space="0"/>
              <w:bottom w:val="single" w:color="auto" w:sz="4" w:space="0"/>
              <w:right w:val="single" w:color="auto" w:sz="4" w:space="0"/>
            </w:tcBorders>
            <w:vAlign w:val="center"/>
          </w:tcPr>
          <w:sdt>
            <w:sdtPr>
              <w:tag w:val="_PLD_20395d1e877346dbbdb29c15ffdda67a"/>
              <w:id w:val="7310"/>
            </w:sdtPr>
            <w:sdtContent>
              <w:p>
                <w:pPr>
                  <w:jc w:val="center"/>
                  <w:rPr>
                    <w:szCs w:val="21"/>
                  </w:rPr>
                </w:pPr>
                <w:r>
                  <w:rPr>
                    <w:rFonts w:hint="eastAsia"/>
                    <w:szCs w:val="21"/>
                  </w:rPr>
                  <w:t>期末金额</w:t>
                </w:r>
              </w:p>
            </w:sdtContent>
          </w:sdt>
        </w:tc>
        <w:tc>
          <w:tcPr>
            <w:tcW w:w="2323" w:type="dxa"/>
            <w:tcBorders>
              <w:top w:val="single" w:color="auto" w:sz="4" w:space="0"/>
              <w:left w:val="single" w:color="auto" w:sz="4" w:space="0"/>
              <w:bottom w:val="single" w:color="auto" w:sz="4" w:space="0"/>
              <w:right w:val="single" w:color="auto" w:sz="4" w:space="0"/>
            </w:tcBorders>
            <w:vAlign w:val="center"/>
          </w:tcPr>
          <w:sdt>
            <w:sdtPr>
              <w:tag w:val="_PLD_7c3e310eca854a9283aca385397086c3"/>
              <w:id w:val="7311"/>
            </w:sdtPr>
            <w:sdtContent>
              <w:p>
                <w:pPr>
                  <w:jc w:val="center"/>
                  <w:rPr>
                    <w:szCs w:val="21"/>
                  </w:rPr>
                </w:pPr>
                <w:r>
                  <w:rPr>
                    <w:rFonts w:hint="eastAsia"/>
                    <w:szCs w:val="21"/>
                  </w:rPr>
                  <w:t>期初金额</w:t>
                </w:r>
              </w:p>
            </w:sdtContent>
          </w:sdt>
        </w:tc>
        <w:tc>
          <w:tcPr>
            <w:tcW w:w="2354" w:type="dxa"/>
            <w:tcBorders>
              <w:top w:val="single" w:color="auto" w:sz="4" w:space="0"/>
              <w:left w:val="single" w:color="auto" w:sz="4" w:space="0"/>
              <w:bottom w:val="single" w:color="auto" w:sz="4" w:space="0"/>
              <w:right w:val="single" w:color="auto" w:sz="4" w:space="0"/>
            </w:tcBorders>
            <w:vAlign w:val="center"/>
          </w:tcPr>
          <w:sdt>
            <w:sdtPr>
              <w:tag w:val="_PLD_39d10c26cbf24b4481db02bd3f33378d"/>
              <w:id w:val="7312"/>
            </w:sdtPr>
            <w:sdtContent>
              <w:p>
                <w:pPr>
                  <w:jc w:val="center"/>
                  <w:rPr>
                    <w:szCs w:val="21"/>
                  </w:rPr>
                </w:pPr>
                <w:r>
                  <w:rPr>
                    <w:rFonts w:hint="eastAsia"/>
                    <w:szCs w:val="21"/>
                  </w:rPr>
                  <w:t>备注</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2084"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szCs w:val="21"/>
              </w:rPr>
              <w:t>2025年</w:t>
            </w:r>
          </w:p>
        </w:tc>
        <w:tc>
          <w:tcPr>
            <w:tcW w:w="2285"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2323"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2354" w:type="dxa"/>
            <w:tcBorders>
              <w:top w:val="single" w:color="auto" w:sz="4" w:space="0"/>
              <w:left w:val="single" w:color="auto" w:sz="4" w:space="0"/>
              <w:bottom w:val="single" w:color="auto" w:sz="4" w:space="0"/>
              <w:right w:val="single" w:color="auto" w:sz="4" w:space="0"/>
            </w:tcBorders>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2084"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szCs w:val="21"/>
              </w:rPr>
              <w:t>2026年</w:t>
            </w:r>
          </w:p>
        </w:tc>
        <w:tc>
          <w:tcPr>
            <w:tcW w:w="228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15,550,124.95</w:t>
            </w:r>
          </w:p>
        </w:tc>
        <w:tc>
          <w:tcPr>
            <w:tcW w:w="232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15,550,124.95</w:t>
            </w:r>
          </w:p>
        </w:tc>
        <w:tc>
          <w:tcPr>
            <w:tcW w:w="2354" w:type="dxa"/>
            <w:tcBorders>
              <w:top w:val="single" w:color="auto" w:sz="4" w:space="0"/>
              <w:left w:val="single" w:color="auto" w:sz="4" w:space="0"/>
              <w:bottom w:val="single" w:color="auto" w:sz="4" w:space="0"/>
              <w:right w:val="single" w:color="auto" w:sz="4" w:space="0"/>
            </w:tcBorders>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2084"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szCs w:val="21"/>
              </w:rPr>
              <w:t>2027年</w:t>
            </w:r>
          </w:p>
        </w:tc>
        <w:tc>
          <w:tcPr>
            <w:tcW w:w="228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25,469,995.01</w:t>
            </w:r>
          </w:p>
        </w:tc>
        <w:tc>
          <w:tcPr>
            <w:tcW w:w="232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25,469,995.01</w:t>
            </w:r>
          </w:p>
        </w:tc>
        <w:tc>
          <w:tcPr>
            <w:tcW w:w="2354" w:type="dxa"/>
            <w:tcBorders>
              <w:top w:val="single" w:color="auto" w:sz="4" w:space="0"/>
              <w:left w:val="single" w:color="auto" w:sz="4" w:space="0"/>
              <w:bottom w:val="single" w:color="auto" w:sz="4" w:space="0"/>
              <w:right w:val="single" w:color="auto" w:sz="4" w:space="0"/>
            </w:tcBorders>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2084"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szCs w:val="21"/>
              </w:rPr>
              <w:t>2028年</w:t>
            </w:r>
          </w:p>
        </w:tc>
        <w:tc>
          <w:tcPr>
            <w:tcW w:w="2285" w:type="dxa"/>
            <w:tcBorders>
              <w:top w:val="single" w:color="auto" w:sz="4" w:space="0"/>
              <w:left w:val="single" w:color="auto" w:sz="4" w:space="0"/>
              <w:bottom w:val="single" w:color="auto" w:sz="4" w:space="0"/>
              <w:right w:val="single" w:color="auto" w:sz="4" w:space="0"/>
            </w:tcBorders>
            <w:vAlign w:val="center"/>
          </w:tcPr>
          <w:p>
            <w:pPr>
              <w:jc w:val="right"/>
              <w:rPr>
                <w:rFonts w:hint="eastAsia" w:eastAsia="宋体"/>
                <w:szCs w:val="21"/>
                <w:lang w:eastAsia="zh-CN"/>
              </w:rPr>
            </w:pPr>
            <w:r>
              <w:rPr>
                <w:rFonts w:hint="eastAsia"/>
                <w:szCs w:val="21"/>
                <w:lang w:eastAsia="zh-CN"/>
              </w:rPr>
              <w:t>32,500,326.89</w:t>
            </w:r>
          </w:p>
        </w:tc>
        <w:tc>
          <w:tcPr>
            <w:tcW w:w="2323" w:type="dxa"/>
            <w:tcBorders>
              <w:top w:val="single" w:color="auto" w:sz="4" w:space="0"/>
              <w:left w:val="single" w:color="auto" w:sz="4" w:space="0"/>
              <w:bottom w:val="single" w:color="auto" w:sz="4" w:space="0"/>
              <w:right w:val="single" w:color="auto" w:sz="4" w:space="0"/>
            </w:tcBorders>
            <w:vAlign w:val="center"/>
          </w:tcPr>
          <w:p>
            <w:pPr>
              <w:jc w:val="right"/>
              <w:rPr>
                <w:rFonts w:hint="eastAsia" w:eastAsia="宋体"/>
                <w:szCs w:val="21"/>
                <w:lang w:eastAsia="zh-CN"/>
              </w:rPr>
            </w:pPr>
            <w:r>
              <w:rPr>
                <w:rFonts w:hint="eastAsia"/>
                <w:szCs w:val="21"/>
                <w:lang w:eastAsia="zh-CN"/>
              </w:rPr>
              <w:t>32,500,326.89</w:t>
            </w:r>
          </w:p>
        </w:tc>
        <w:tc>
          <w:tcPr>
            <w:tcW w:w="2354" w:type="dxa"/>
            <w:tcBorders>
              <w:top w:val="single" w:color="auto" w:sz="4" w:space="0"/>
              <w:left w:val="single" w:color="auto" w:sz="4" w:space="0"/>
              <w:bottom w:val="single" w:color="auto" w:sz="4" w:space="0"/>
              <w:right w:val="single" w:color="auto" w:sz="4" w:space="0"/>
            </w:tcBorders>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2084"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szCs w:val="21"/>
              </w:rPr>
              <w:t>2029年</w:t>
            </w:r>
          </w:p>
        </w:tc>
        <w:tc>
          <w:tcPr>
            <w:tcW w:w="228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39,314,613.73</w:t>
            </w:r>
          </w:p>
        </w:tc>
        <w:tc>
          <w:tcPr>
            <w:tcW w:w="232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39,314,613.73</w:t>
            </w:r>
          </w:p>
        </w:tc>
        <w:tc>
          <w:tcPr>
            <w:tcW w:w="2354" w:type="dxa"/>
            <w:tcBorders>
              <w:top w:val="single" w:color="auto" w:sz="4" w:space="0"/>
              <w:left w:val="single" w:color="auto" w:sz="4" w:space="0"/>
              <w:bottom w:val="single" w:color="auto" w:sz="4" w:space="0"/>
              <w:right w:val="single" w:color="auto" w:sz="4" w:space="0"/>
            </w:tcBorders>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2084"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szCs w:val="21"/>
              </w:rPr>
              <w:t>2030年</w:t>
            </w:r>
          </w:p>
        </w:tc>
        <w:tc>
          <w:tcPr>
            <w:tcW w:w="228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38,924,021.73</w:t>
            </w:r>
          </w:p>
        </w:tc>
        <w:tc>
          <w:tcPr>
            <w:tcW w:w="232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38,924,021.73</w:t>
            </w:r>
          </w:p>
        </w:tc>
        <w:tc>
          <w:tcPr>
            <w:tcW w:w="2354" w:type="dxa"/>
            <w:tcBorders>
              <w:top w:val="single" w:color="auto" w:sz="4" w:space="0"/>
              <w:left w:val="single" w:color="auto" w:sz="4" w:space="0"/>
              <w:bottom w:val="single" w:color="auto" w:sz="4" w:space="0"/>
              <w:right w:val="single" w:color="auto" w:sz="4" w:space="0"/>
            </w:tcBorders>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084"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合计</w:t>
            </w:r>
          </w:p>
        </w:tc>
        <w:tc>
          <w:tcPr>
            <w:tcW w:w="228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151,759,082.31</w:t>
            </w:r>
          </w:p>
        </w:tc>
        <w:tc>
          <w:tcPr>
            <w:tcW w:w="232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151,759,082.31</w:t>
            </w:r>
          </w:p>
        </w:tc>
        <w:tc>
          <w:tcPr>
            <w:tcW w:w="2354"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w:t>
            </w:r>
          </w:p>
        </w:tc>
      </w:tr>
    </w:tbl>
    <w:p>
      <w:pPr>
        <w:rPr>
          <w:color w:val="FF00FF"/>
          <w:szCs w:val="21"/>
        </w:rPr>
      </w:pPr>
    </w:p>
    <w:bookmarkEnd w:id="319"/>
    <w:p>
      <w:pPr>
        <w:rPr>
          <w:szCs w:val="21"/>
        </w:rPr>
      </w:pPr>
      <w:r>
        <w:rPr>
          <w:rFonts w:hint="eastAsia"/>
          <w:szCs w:val="21"/>
        </w:rPr>
        <w:t>其他说明：</w:t>
      </w:r>
    </w:p>
    <w:sdt>
      <w:sdtPr>
        <w:rPr>
          <w:szCs w:val="21"/>
        </w:rPr>
        <w:alias w:val="是否适用：递延所得税资产和递延所得税负债的说明[双击切换]"/>
        <w:tag w:val="_GBC_7f4fae30d73847918bda2bbfa91008fe"/>
        <w:id w:val="7313"/>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4"/>
        <w:numPr>
          <w:ilvl w:val="0"/>
          <w:numId w:val="62"/>
        </w:numPr>
        <w:tabs>
          <w:tab w:val="left" w:pos="504"/>
        </w:tabs>
        <w:rPr>
          <w:szCs w:val="21"/>
        </w:rPr>
      </w:pPr>
      <w:bookmarkStart w:id="320" w:name="_Hlk533670093"/>
      <w:r>
        <w:rPr>
          <w:rFonts w:hint="eastAsia"/>
          <w:szCs w:val="21"/>
        </w:rPr>
        <w:t>其他非流动资产</w:t>
      </w:r>
    </w:p>
    <w:sdt>
      <w:sdtPr>
        <w:alias w:val="是否适用：其他非流动资产[双击切换]"/>
        <w:tag w:val="_GBC_a847828a70d64218a7f8a07dc593d18b"/>
        <w:id w:val="731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alias w:val="单位：财务附注：其他非流动资产"/>
          <w:tag w:val="_GBC_7c7ae7cee25948deb399f93e000e5ba2"/>
          <w:id w:val="731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sdtContent>
      </w:sdt>
      <w:r>
        <w:rPr>
          <w:rFonts w:hint="eastAsia"/>
        </w:rPr>
        <w:t xml:space="preserve">  币种：</w:t>
      </w:r>
      <w:sdt>
        <w:sdtPr>
          <w:rPr>
            <w:rFonts w:hint="eastAsia"/>
          </w:rPr>
          <w:alias w:val="币种：财务附注：其他非流动资产"/>
          <w:tag w:val="_GBC_b449fdd4941b4ff8a1bda3449b257e1d"/>
          <w:id w:val="73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1596"/>
        <w:gridCol w:w="1453"/>
        <w:gridCol w:w="982"/>
        <w:gridCol w:w="1346"/>
        <w:gridCol w:w="1436"/>
        <w:gridCol w:w="752"/>
        <w:gridCol w:w="1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596" w:type="dxa"/>
            <w:vMerge w:val="restart"/>
            <w:vAlign w:val="center"/>
          </w:tcPr>
          <w:sdt>
            <w:sdtPr>
              <w:tag w:val="_PLD_2b90e6e62acc45b288941c3eec3d8d88"/>
              <w:id w:val="7317"/>
            </w:sdtPr>
            <w:sdtContent>
              <w:p>
                <w:pPr>
                  <w:jc w:val="center"/>
                </w:pPr>
                <w:r>
                  <w:rPr>
                    <w:rFonts w:hint="eastAsia"/>
                  </w:rPr>
                  <w:t>项目</w:t>
                </w:r>
              </w:p>
            </w:sdtContent>
          </w:sdt>
        </w:tc>
        <w:tc>
          <w:tcPr>
            <w:tcW w:w="3781" w:type="dxa"/>
            <w:gridSpan w:val="3"/>
            <w:vAlign w:val="center"/>
          </w:tcPr>
          <w:sdt>
            <w:sdtPr>
              <w:tag w:val="_PLD_bb07270ad4df4c0f94d4e0af019ab46c"/>
              <w:id w:val="7318"/>
            </w:sdtPr>
            <w:sdtContent>
              <w:p>
                <w:pPr>
                  <w:jc w:val="center"/>
                </w:pPr>
                <w:r>
                  <w:rPr>
                    <w:rFonts w:hint="eastAsia"/>
                  </w:rPr>
                  <w:t>期末余额</w:t>
                </w:r>
              </w:p>
            </w:sdtContent>
          </w:sdt>
        </w:tc>
        <w:tc>
          <w:tcPr>
            <w:tcW w:w="3677" w:type="dxa"/>
            <w:gridSpan w:val="3"/>
            <w:vAlign w:val="center"/>
          </w:tcPr>
          <w:sdt>
            <w:sdtPr>
              <w:tag w:val="_PLD_7a3b43a9fc7d404ca5a79aa8f44f7452"/>
              <w:id w:val="7319"/>
            </w:sdtPr>
            <w:sdtContent>
              <w:p>
                <w:pPr>
                  <w:jc w:val="center"/>
                </w:pPr>
                <w:r>
                  <w:rPr>
                    <w:rFonts w:hint="eastAsia"/>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596" w:type="dxa"/>
            <w:vMerge w:val="continue"/>
            <w:vAlign w:val="center"/>
          </w:tcPr>
          <w:p>
            <w:pPr>
              <w:jc w:val="center"/>
            </w:pPr>
          </w:p>
        </w:tc>
        <w:tc>
          <w:tcPr>
            <w:tcW w:w="1453" w:type="dxa"/>
            <w:vAlign w:val="center"/>
          </w:tcPr>
          <w:sdt>
            <w:sdtPr>
              <w:tag w:val="_PLD_eaca5bccdac9417999d4d9af7ad1eefe"/>
              <w:id w:val="7320"/>
            </w:sdtPr>
            <w:sdtContent>
              <w:p>
                <w:pPr>
                  <w:jc w:val="center"/>
                </w:pPr>
                <w:r>
                  <w:rPr>
                    <w:rFonts w:hint="eastAsia"/>
                    <w:szCs w:val="21"/>
                  </w:rPr>
                  <w:t>账面余额</w:t>
                </w:r>
              </w:p>
            </w:sdtContent>
          </w:sdt>
        </w:tc>
        <w:tc>
          <w:tcPr>
            <w:tcW w:w="982" w:type="dxa"/>
            <w:vAlign w:val="center"/>
          </w:tcPr>
          <w:sdt>
            <w:sdtPr>
              <w:tag w:val="_PLD_b913601a6f0c496ba876b57f7e93b40e"/>
              <w:id w:val="7321"/>
            </w:sdtPr>
            <w:sdtContent>
              <w:p>
                <w:pPr>
                  <w:jc w:val="center"/>
                </w:pPr>
                <w:r>
                  <w:t>减值准备</w:t>
                </w:r>
              </w:p>
            </w:sdtContent>
          </w:sdt>
        </w:tc>
        <w:tc>
          <w:tcPr>
            <w:tcW w:w="1346" w:type="dxa"/>
            <w:vAlign w:val="center"/>
          </w:tcPr>
          <w:sdt>
            <w:sdtPr>
              <w:tag w:val="_PLD_22318356783c413ba8286ddb8d1cda63"/>
              <w:id w:val="7322"/>
            </w:sdtPr>
            <w:sdtContent>
              <w:p>
                <w:pPr>
                  <w:jc w:val="center"/>
                </w:pPr>
                <w:r>
                  <w:t>账面价值</w:t>
                </w:r>
              </w:p>
            </w:sdtContent>
          </w:sdt>
        </w:tc>
        <w:tc>
          <w:tcPr>
            <w:tcW w:w="1436" w:type="dxa"/>
            <w:vAlign w:val="center"/>
          </w:tcPr>
          <w:sdt>
            <w:sdtPr>
              <w:tag w:val="_PLD_0c6f94cdfaf1457fa98b2252d3b39131"/>
              <w:id w:val="7323"/>
            </w:sdtPr>
            <w:sdtContent>
              <w:p>
                <w:pPr>
                  <w:jc w:val="center"/>
                </w:pPr>
                <w:r>
                  <w:t>账面余额</w:t>
                </w:r>
              </w:p>
            </w:sdtContent>
          </w:sdt>
        </w:tc>
        <w:tc>
          <w:tcPr>
            <w:tcW w:w="752" w:type="dxa"/>
            <w:vAlign w:val="center"/>
          </w:tcPr>
          <w:sdt>
            <w:sdtPr>
              <w:tag w:val="_PLD_9d7969af67514b9e93b62156119189b9"/>
              <w:id w:val="7324"/>
            </w:sdtPr>
            <w:sdtContent>
              <w:p>
                <w:pPr>
                  <w:jc w:val="center"/>
                </w:pPr>
                <w:r>
                  <w:t>减值准备</w:t>
                </w:r>
              </w:p>
            </w:sdtContent>
          </w:sdt>
        </w:tc>
        <w:tc>
          <w:tcPr>
            <w:tcW w:w="1489" w:type="dxa"/>
            <w:vAlign w:val="center"/>
          </w:tcPr>
          <w:sdt>
            <w:sdtPr>
              <w:tag w:val="_PLD_9c8736640ddf4dc897f3c30fb690ab09"/>
              <w:id w:val="7325"/>
            </w:sdtPr>
            <w:sdtContent>
              <w:p>
                <w:pPr>
                  <w:jc w:val="center"/>
                </w:pPr>
                <w:r>
                  <w:t>账面价值</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596" w:type="dxa"/>
            <w:vAlign w:val="center"/>
          </w:tcPr>
          <w:p>
            <w:r>
              <w:rPr>
                <w:rFonts w:hint="eastAsia"/>
                <w:color w:val="auto"/>
              </w:rPr>
              <w:t>预付工程及设备款等长期资产款</w:t>
            </w:r>
          </w:p>
        </w:tc>
        <w:tc>
          <w:tcPr>
            <w:tcW w:w="1453" w:type="dxa"/>
            <w:vAlign w:val="center"/>
          </w:tcPr>
          <w:p>
            <w:pPr>
              <w:jc w:val="right"/>
            </w:pPr>
            <w:r>
              <w:rPr>
                <w:rFonts w:hint="eastAsia"/>
                <w:color w:val="auto"/>
              </w:rPr>
              <w:t>9,629,841.99</w:t>
            </w:r>
          </w:p>
        </w:tc>
        <w:tc>
          <w:tcPr>
            <w:tcW w:w="982" w:type="dxa"/>
            <w:vAlign w:val="center"/>
          </w:tcPr>
          <w:p>
            <w:pPr>
              <w:jc w:val="right"/>
            </w:pPr>
          </w:p>
        </w:tc>
        <w:tc>
          <w:tcPr>
            <w:tcW w:w="1346" w:type="dxa"/>
            <w:vAlign w:val="center"/>
          </w:tcPr>
          <w:p>
            <w:pPr>
              <w:jc w:val="right"/>
            </w:pPr>
            <w:r>
              <w:rPr>
                <w:rFonts w:hint="eastAsia"/>
                <w:color w:val="auto"/>
              </w:rPr>
              <w:t>9,629,841.99</w:t>
            </w:r>
          </w:p>
        </w:tc>
        <w:tc>
          <w:tcPr>
            <w:tcW w:w="1436" w:type="dxa"/>
            <w:vAlign w:val="center"/>
          </w:tcPr>
          <w:p>
            <w:pPr>
              <w:jc w:val="right"/>
            </w:pPr>
            <w:r>
              <w:rPr>
                <w:rFonts w:hint="eastAsia"/>
                <w:color w:val="auto"/>
              </w:rPr>
              <w:t>12,640,136.49</w:t>
            </w:r>
          </w:p>
        </w:tc>
        <w:tc>
          <w:tcPr>
            <w:tcW w:w="752" w:type="dxa"/>
            <w:vAlign w:val="center"/>
          </w:tcPr>
          <w:p>
            <w:pPr>
              <w:jc w:val="right"/>
            </w:pPr>
          </w:p>
        </w:tc>
        <w:tc>
          <w:tcPr>
            <w:tcW w:w="1489" w:type="dxa"/>
            <w:vAlign w:val="center"/>
          </w:tcPr>
          <w:p>
            <w:pPr>
              <w:jc w:val="right"/>
            </w:pPr>
            <w:r>
              <w:rPr>
                <w:rFonts w:hint="eastAsia"/>
                <w:color w:val="auto"/>
              </w:rPr>
              <w:t>12,640,136.49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596" w:type="dxa"/>
            <w:vAlign w:val="center"/>
          </w:tcPr>
          <w:p>
            <w:pPr>
              <w:jc w:val="center"/>
            </w:pPr>
            <w:r>
              <w:rPr>
                <w:rFonts w:hint="eastAsia"/>
              </w:rPr>
              <w:t>合计</w:t>
            </w:r>
          </w:p>
        </w:tc>
        <w:tc>
          <w:tcPr>
            <w:tcW w:w="1453" w:type="dxa"/>
            <w:vAlign w:val="center"/>
          </w:tcPr>
          <w:p>
            <w:pPr>
              <w:jc w:val="right"/>
            </w:pPr>
            <w:r>
              <w:rPr>
                <w:rFonts w:hint="eastAsia"/>
                <w:color w:val="auto"/>
              </w:rPr>
              <w:t>9,629,841.99</w:t>
            </w:r>
          </w:p>
        </w:tc>
        <w:tc>
          <w:tcPr>
            <w:tcW w:w="982" w:type="dxa"/>
            <w:vAlign w:val="center"/>
          </w:tcPr>
          <w:p>
            <w:pPr>
              <w:jc w:val="right"/>
            </w:pPr>
          </w:p>
        </w:tc>
        <w:tc>
          <w:tcPr>
            <w:tcW w:w="1346" w:type="dxa"/>
            <w:vAlign w:val="center"/>
          </w:tcPr>
          <w:p>
            <w:pPr>
              <w:jc w:val="right"/>
            </w:pPr>
            <w:r>
              <w:rPr>
                <w:rFonts w:hint="eastAsia"/>
                <w:color w:val="auto"/>
              </w:rPr>
              <w:t>9,629,841.99</w:t>
            </w:r>
          </w:p>
        </w:tc>
        <w:tc>
          <w:tcPr>
            <w:tcW w:w="1436" w:type="dxa"/>
            <w:vAlign w:val="center"/>
          </w:tcPr>
          <w:p>
            <w:pPr>
              <w:jc w:val="right"/>
            </w:pPr>
            <w:r>
              <w:rPr>
                <w:rFonts w:hint="eastAsia"/>
                <w:color w:val="auto"/>
              </w:rPr>
              <w:t>12,640,136.49</w:t>
            </w:r>
          </w:p>
        </w:tc>
        <w:tc>
          <w:tcPr>
            <w:tcW w:w="752" w:type="dxa"/>
            <w:vAlign w:val="center"/>
          </w:tcPr>
          <w:p>
            <w:pPr>
              <w:jc w:val="right"/>
            </w:pPr>
          </w:p>
        </w:tc>
        <w:tc>
          <w:tcPr>
            <w:tcW w:w="1489" w:type="dxa"/>
            <w:vAlign w:val="center"/>
          </w:tcPr>
          <w:p>
            <w:pPr>
              <w:jc w:val="right"/>
            </w:pPr>
            <w:r>
              <w:rPr>
                <w:rFonts w:hint="eastAsia"/>
                <w:color w:val="auto"/>
              </w:rPr>
              <w:t>12,640,136.49</w:t>
            </w:r>
          </w:p>
        </w:tc>
      </w:tr>
    </w:tbl>
    <w:p/>
    <w:p>
      <w:pPr>
        <w:rPr>
          <w:szCs w:val="21"/>
        </w:rPr>
      </w:pPr>
      <w:r>
        <w:rPr>
          <w:rFonts w:hint="eastAsia"/>
          <w:szCs w:val="21"/>
        </w:rPr>
        <w:t>其他说明：</w:t>
      </w:r>
    </w:p>
    <w:sdt>
      <w:sdtPr>
        <w:rPr>
          <w:szCs w:val="21"/>
        </w:rPr>
        <w:alias w:val="其他长期资产的说明"/>
        <w:tag w:val="_GBC_d2d37b97b8df4ba1b7bcbf3e8c04d024"/>
        <w:id w:val="7326"/>
        <w:placeholder>
          <w:docPart w:val="GBC22222222222222222222222222222"/>
        </w:placeholder>
      </w:sdtPr>
      <w:sdtEndPr>
        <w:rPr>
          <w:szCs w:val="21"/>
        </w:rPr>
      </w:sdtEndPr>
      <w:sdtContent>
        <w:p>
          <w:pPr>
            <w:rPr>
              <w:szCs w:val="21"/>
            </w:rPr>
          </w:pPr>
          <w:r>
            <w:rPr>
              <w:rFonts w:hint="eastAsia"/>
              <w:szCs w:val="21"/>
            </w:rPr>
            <w:t>无</w:t>
          </w:r>
          <w:bookmarkEnd w:id="320"/>
        </w:p>
      </w:sdtContent>
    </w:sdt>
    <w:p>
      <w:pPr>
        <w:rPr>
          <w:szCs w:val="21"/>
        </w:rPr>
        <w:sectPr>
          <w:pgSz w:w="11906" w:h="16838"/>
          <w:pgMar w:top="1440" w:right="1797" w:bottom="1525" w:left="1276" w:header="856" w:footer="992" w:gutter="0"/>
          <w:cols w:space="425" w:num="1"/>
          <w:docGrid w:linePitch="312" w:charSpace="0"/>
        </w:sectPr>
      </w:pPr>
    </w:p>
    <w:p>
      <w:pPr>
        <w:pStyle w:val="17"/>
      </w:pPr>
    </w:p>
    <w:sdt>
      <w:sdtPr>
        <w:tag w:val="_PLD_33d4bf09a29240b5bfa4a027b47ad255"/>
        <w:id w:val="7327"/>
      </w:sdtPr>
      <w:sdtEndPr>
        <w:rPr>
          <w:b/>
          <w:bCs/>
        </w:rPr>
      </w:sdtEndPr>
      <w:sdtContent>
        <w:p>
          <w:pPr>
            <w:pStyle w:val="4"/>
            <w:numPr>
              <w:ilvl w:val="0"/>
              <w:numId w:val="62"/>
            </w:numPr>
            <w:tabs>
              <w:tab w:val="left" w:pos="504"/>
            </w:tabs>
            <w:rPr>
              <w:rFonts w:hint="eastAsia" w:ascii="宋体" w:hAnsi="宋体" w:cs="宋体"/>
              <w:color w:val="000000" w:themeColor="text1"/>
              <w:kern w:val="0"/>
              <w:szCs w:val="21"/>
              <w14:textFill>
                <w14:solidFill>
                  <w14:schemeClr w14:val="tx1"/>
                </w14:solidFill>
              </w14:textFill>
            </w:rPr>
          </w:pPr>
          <w:bookmarkStart w:id="321" w:name="_Hlk182485605"/>
          <w:r>
            <w:rPr>
              <w:rFonts w:hint="eastAsia" w:ascii="宋体" w:hAnsi="宋体" w:cs="宋体"/>
              <w:color w:val="000000" w:themeColor="text1"/>
              <w:kern w:val="0"/>
              <w:szCs w:val="21"/>
              <w14:textFill>
                <w14:solidFill>
                  <w14:schemeClr w14:val="tx1"/>
                </w14:solidFill>
              </w14:textFill>
            </w:rPr>
            <w:t>所有权或使用权受限资产</w:t>
          </w:r>
        </w:p>
      </w:sdtContent>
    </w:sdt>
    <w:sdt>
      <w:sdtPr>
        <w:rPr>
          <w:color w:val="000000" w:themeColor="text1"/>
          <w14:textFill>
            <w14:solidFill>
              <w14:schemeClr w14:val="tx1"/>
            </w14:solidFill>
          </w14:textFill>
        </w:rPr>
        <w:alias w:val="是否适用：所有权或使用权受到限制的资产[双击切换]"/>
        <w:tag w:val="_GBC_f1f6d80d559a42ada65c7a06e1485986"/>
        <w:id w:val="7328"/>
        <w:placeholder>
          <w:docPart w:val="GBC22222222222222222222222222222"/>
        </w:placeholder>
      </w:sdtPr>
      <w:sdtEndPr>
        <w:rPr>
          <w:color w:val="000000" w:themeColor="text1"/>
          <w14:textFill>
            <w14:solidFill>
              <w14:schemeClr w14:val="tx1"/>
            </w14:solidFill>
          </w14:textFill>
        </w:rPr>
      </w:sdtEndPr>
      <w:sdtContent>
        <w:p>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pPr>
        <w:pStyle w:val="56"/>
        <w:ind w:firstLine="0" w:firstLineChars="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单位：</w:t>
      </w:r>
      <w:sdt>
        <w:sdtPr>
          <w:rPr>
            <w:rFonts w:hint="eastAsia" w:ascii="宋体" w:hAnsi="宋体"/>
            <w:color w:val="000000" w:themeColor="text1"/>
            <w:szCs w:val="21"/>
            <w14:textFill>
              <w14:solidFill>
                <w14:schemeClr w14:val="tx1"/>
              </w14:solidFill>
            </w14:textFill>
          </w:rPr>
          <w:alias w:val="单位：财务附注：所有权或使用权受到限制的资产"/>
          <w:tag w:val="_GBC_e246ad9146ff415ca076abb824966967"/>
          <w:id w:val="732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ascii="宋体" w:hAnsi="宋体"/>
            <w:color w:val="000000" w:themeColor="text1"/>
            <w:szCs w:val="21"/>
            <w14:textFill>
              <w14:solidFill>
                <w14:schemeClr w14:val="tx1"/>
              </w14:solidFill>
            </w14:textFill>
          </w:rPr>
        </w:sdtEndPr>
        <w:sdtContent>
          <w:r>
            <w:rPr>
              <w:rFonts w:hint="eastAsia" w:ascii="宋体" w:hAnsi="宋体"/>
              <w:color w:val="000000" w:themeColor="text1"/>
              <w:szCs w:val="21"/>
              <w14:textFill>
                <w14:solidFill>
                  <w14:schemeClr w14:val="tx1"/>
                </w14:solidFill>
              </w14:textFill>
            </w:rPr>
            <w:t>元</w:t>
          </w:r>
        </w:sdtContent>
      </w:sdt>
      <w:r>
        <w:rPr>
          <w:rFonts w:hint="eastAsia" w:ascii="宋体" w:hAnsi="宋体"/>
          <w:color w:val="000000" w:themeColor="text1"/>
          <w:szCs w:val="21"/>
          <w14:textFill>
            <w14:solidFill>
              <w14:schemeClr w14:val="tx1"/>
            </w14:solidFill>
          </w14:textFill>
        </w:rPr>
        <w:t xml:space="preserve">  币种：</w:t>
      </w:r>
      <w:sdt>
        <w:sdtPr>
          <w:rPr>
            <w:rFonts w:hint="eastAsia" w:ascii="宋体" w:hAnsi="宋体"/>
            <w:color w:val="000000" w:themeColor="text1"/>
            <w:szCs w:val="21"/>
            <w14:textFill>
              <w14:solidFill>
                <w14:schemeClr w14:val="tx1"/>
              </w14:solidFill>
            </w14:textFill>
          </w:rPr>
          <w:alias w:val="币种：财务附注：所有权或使用权受到限制的资产"/>
          <w:tag w:val="_GBC_3384ecfbee774a528f8956ac7bda492a"/>
          <w:id w:val="733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ascii="宋体" w:hAnsi="宋体"/>
            <w:color w:val="000000" w:themeColor="text1"/>
            <w:szCs w:val="21"/>
            <w14:textFill>
              <w14:solidFill>
                <w14:schemeClr w14:val="tx1"/>
              </w14:solidFill>
            </w14:textFill>
          </w:rPr>
        </w:sdtEndPr>
        <w:sdtContent>
          <w:r>
            <w:rPr>
              <w:rFonts w:hint="eastAsia" w:ascii="宋体" w:hAnsi="宋体"/>
              <w:color w:val="000000" w:themeColor="text1"/>
              <w:szCs w:val="21"/>
              <w14:textFill>
                <w14:solidFill>
                  <w14:schemeClr w14:val="tx1"/>
                </w14:solidFill>
              </w14:textFill>
            </w:rPr>
            <w:t>人民币</w:t>
          </w:r>
        </w:sdtContent>
      </w:sdt>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593"/>
        <w:gridCol w:w="1550"/>
        <w:gridCol w:w="687"/>
        <w:gridCol w:w="2368"/>
        <w:gridCol w:w="1658"/>
        <w:gridCol w:w="1604"/>
        <w:gridCol w:w="796"/>
        <w:gridCol w:w="2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restart"/>
            <w:vAlign w:val="center"/>
          </w:tcPr>
          <w:sdt>
            <w:sdtPr>
              <w:tag w:val="_PLD_85915b25a498409faaeec94754cc91ce"/>
              <w:id w:val="7331"/>
            </w:sdtPr>
            <w:sdtContent>
              <w:p>
                <w:pPr>
                  <w:widowControl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sdtContent>
          </w:sdt>
        </w:tc>
        <w:tc>
          <w:tcPr>
            <w:tcW w:w="6198" w:type="dxa"/>
            <w:gridSpan w:val="4"/>
            <w:vAlign w:val="center"/>
          </w:tcPr>
          <w:sdt>
            <w:sdtPr>
              <w:tag w:val="_PLD_bcba7b22c1f8467fb1ed1a4a9e7f7dae"/>
              <w:id w:val="7332"/>
            </w:sdtPr>
            <w:sdtContent>
              <w:p>
                <w:pPr>
                  <w:widowControl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期末</w:t>
                </w:r>
              </w:p>
            </w:sdtContent>
          </w:sdt>
        </w:tc>
        <w:tc>
          <w:tcPr>
            <w:tcW w:w="6469" w:type="dxa"/>
            <w:gridSpan w:val="4"/>
            <w:vAlign w:val="center"/>
          </w:tcPr>
          <w:sdt>
            <w:sdtPr>
              <w:tag w:val="_PLD_e062301463624f04b097cb249cdb774e"/>
              <w:id w:val="7333"/>
            </w:sdtPr>
            <w:sdtContent>
              <w:p>
                <w:pPr>
                  <w:widowControl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期初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vMerge w:val="continue"/>
            <w:vAlign w:val="center"/>
          </w:tcPr>
          <w:p>
            <w:pPr>
              <w:widowControl w:val="0"/>
              <w:jc w:val="both"/>
              <w:rPr>
                <w:color w:val="000000" w:themeColor="text1"/>
                <w14:textFill>
                  <w14:solidFill>
                    <w14:schemeClr w14:val="tx1"/>
                  </w14:solidFill>
                </w14:textFill>
              </w:rPr>
            </w:pPr>
          </w:p>
        </w:tc>
        <w:tc>
          <w:tcPr>
            <w:tcW w:w="1593" w:type="dxa"/>
            <w:vAlign w:val="center"/>
          </w:tcPr>
          <w:sdt>
            <w:sdtPr>
              <w:tag w:val="_PLD_83e681f7f54f4bd9bfe88e1c973e1b43"/>
              <w:id w:val="7334"/>
            </w:sdtPr>
            <w:sdtContent>
              <w:p>
                <w:pPr>
                  <w:widowControl w:val="0"/>
                  <w:jc w:val="center"/>
                  <w:rPr>
                    <w:color w:val="000000" w:themeColor="text1"/>
                    <w14:textFill>
                      <w14:solidFill>
                        <w14:schemeClr w14:val="tx1"/>
                      </w14:solidFill>
                    </w14:textFill>
                  </w:rPr>
                </w:pPr>
                <w:r>
                  <w:rPr>
                    <w:color w:val="000000" w:themeColor="text1"/>
                    <w14:textFill>
                      <w14:solidFill>
                        <w14:schemeClr w14:val="tx1"/>
                      </w14:solidFill>
                    </w14:textFill>
                  </w:rPr>
                  <w:t>账面余额</w:t>
                </w:r>
              </w:p>
            </w:sdtContent>
          </w:sdt>
        </w:tc>
        <w:tc>
          <w:tcPr>
            <w:tcW w:w="1550" w:type="dxa"/>
            <w:vAlign w:val="center"/>
          </w:tcPr>
          <w:sdt>
            <w:sdtPr>
              <w:tag w:val="_PLD_2a265c047cf94f85a8553f5e0b2b7388"/>
              <w:id w:val="7335"/>
            </w:sdtPr>
            <w:sdtContent>
              <w:p>
                <w:pPr>
                  <w:widowControl w:val="0"/>
                  <w:jc w:val="center"/>
                  <w:rPr>
                    <w:color w:val="000000" w:themeColor="text1"/>
                    <w14:textFill>
                      <w14:solidFill>
                        <w14:schemeClr w14:val="tx1"/>
                      </w14:solidFill>
                    </w14:textFill>
                  </w:rPr>
                </w:pPr>
                <w:r>
                  <w:rPr>
                    <w:color w:val="000000" w:themeColor="text1"/>
                    <w14:textFill>
                      <w14:solidFill>
                        <w14:schemeClr w14:val="tx1"/>
                      </w14:solidFill>
                    </w14:textFill>
                  </w:rPr>
                  <w:t>账面价值</w:t>
                </w:r>
              </w:p>
            </w:sdtContent>
          </w:sdt>
        </w:tc>
        <w:tc>
          <w:tcPr>
            <w:tcW w:w="687" w:type="dxa"/>
            <w:vAlign w:val="center"/>
          </w:tcPr>
          <w:sdt>
            <w:sdtPr>
              <w:tag w:val="_PLD_5b6c4747a96541ecafc3956c6df7be1e"/>
              <w:id w:val="7336"/>
            </w:sdtPr>
            <w:sdtContent>
              <w:p>
                <w:pPr>
                  <w:widowControl w:val="0"/>
                  <w:jc w:val="center"/>
                  <w:rPr>
                    <w:color w:val="000000" w:themeColor="text1"/>
                    <w14:textFill>
                      <w14:solidFill>
                        <w14:schemeClr w14:val="tx1"/>
                      </w14:solidFill>
                    </w14:textFill>
                  </w:rPr>
                </w:pPr>
                <w:r>
                  <w:rPr>
                    <w:color w:val="000000" w:themeColor="text1"/>
                    <w14:textFill>
                      <w14:solidFill>
                        <w14:schemeClr w14:val="tx1"/>
                      </w14:solidFill>
                    </w14:textFill>
                  </w:rPr>
                  <w:t>受限类型</w:t>
                </w:r>
              </w:p>
            </w:sdtContent>
          </w:sdt>
        </w:tc>
        <w:tc>
          <w:tcPr>
            <w:tcW w:w="2368" w:type="dxa"/>
            <w:vAlign w:val="center"/>
          </w:tcPr>
          <w:sdt>
            <w:sdtPr>
              <w:tag w:val="_PLD_0fdc8d5500aa413592588c79ae47d121"/>
              <w:id w:val="7337"/>
            </w:sdtPr>
            <w:sdtContent>
              <w:p>
                <w:pPr>
                  <w:widowControl w:val="0"/>
                  <w:jc w:val="center"/>
                  <w:rPr>
                    <w:color w:val="000000" w:themeColor="text1"/>
                    <w14:textFill>
                      <w14:solidFill>
                        <w14:schemeClr w14:val="tx1"/>
                      </w14:solidFill>
                    </w14:textFill>
                  </w:rPr>
                </w:pPr>
                <w:r>
                  <w:rPr>
                    <w:color w:val="000000" w:themeColor="text1"/>
                    <w14:textFill>
                      <w14:solidFill>
                        <w14:schemeClr w14:val="tx1"/>
                      </w14:solidFill>
                    </w14:textFill>
                  </w:rPr>
                  <w:t>受限情况</w:t>
                </w:r>
              </w:p>
            </w:sdtContent>
          </w:sdt>
        </w:tc>
        <w:tc>
          <w:tcPr>
            <w:tcW w:w="1658" w:type="dxa"/>
            <w:vAlign w:val="center"/>
          </w:tcPr>
          <w:sdt>
            <w:sdtPr>
              <w:tag w:val="_PLD_19a6e2039b054e27ae63e997e8202099"/>
              <w:id w:val="7338"/>
            </w:sdtPr>
            <w:sdtContent>
              <w:p>
                <w:pPr>
                  <w:widowControl w:val="0"/>
                  <w:jc w:val="center"/>
                  <w:rPr>
                    <w:color w:val="000000" w:themeColor="text1"/>
                    <w14:textFill>
                      <w14:solidFill>
                        <w14:schemeClr w14:val="tx1"/>
                      </w14:solidFill>
                    </w14:textFill>
                  </w:rPr>
                </w:pPr>
                <w:r>
                  <w:rPr>
                    <w:color w:val="000000" w:themeColor="text1"/>
                    <w14:textFill>
                      <w14:solidFill>
                        <w14:schemeClr w14:val="tx1"/>
                      </w14:solidFill>
                    </w14:textFill>
                  </w:rPr>
                  <w:t>账面余额</w:t>
                </w:r>
              </w:p>
            </w:sdtContent>
          </w:sdt>
        </w:tc>
        <w:tc>
          <w:tcPr>
            <w:tcW w:w="1604" w:type="dxa"/>
            <w:vAlign w:val="center"/>
          </w:tcPr>
          <w:sdt>
            <w:sdtPr>
              <w:tag w:val="_PLD_c874887424044a5dbc1a1644f585ae7e"/>
              <w:id w:val="7339"/>
            </w:sdtPr>
            <w:sdtContent>
              <w:p>
                <w:pPr>
                  <w:widowControl w:val="0"/>
                  <w:jc w:val="center"/>
                  <w:rPr>
                    <w:color w:val="000000" w:themeColor="text1"/>
                    <w14:textFill>
                      <w14:solidFill>
                        <w14:schemeClr w14:val="tx1"/>
                      </w14:solidFill>
                    </w14:textFill>
                  </w:rPr>
                </w:pPr>
                <w:r>
                  <w:rPr>
                    <w:color w:val="000000" w:themeColor="text1"/>
                    <w14:textFill>
                      <w14:solidFill>
                        <w14:schemeClr w14:val="tx1"/>
                      </w14:solidFill>
                    </w14:textFill>
                  </w:rPr>
                  <w:t>账面价值</w:t>
                </w:r>
              </w:p>
            </w:sdtContent>
          </w:sdt>
        </w:tc>
        <w:tc>
          <w:tcPr>
            <w:tcW w:w="796" w:type="dxa"/>
            <w:vAlign w:val="center"/>
          </w:tcPr>
          <w:sdt>
            <w:sdtPr>
              <w:tag w:val="_PLD_92198303043b4f9e9d277fb8a7835f44"/>
              <w:id w:val="7340"/>
            </w:sdtPr>
            <w:sdtContent>
              <w:p>
                <w:pPr>
                  <w:widowControl w:val="0"/>
                  <w:jc w:val="center"/>
                  <w:rPr>
                    <w:color w:val="000000" w:themeColor="text1"/>
                    <w14:textFill>
                      <w14:solidFill>
                        <w14:schemeClr w14:val="tx1"/>
                      </w14:solidFill>
                    </w14:textFill>
                  </w:rPr>
                </w:pPr>
                <w:r>
                  <w:rPr>
                    <w:color w:val="000000" w:themeColor="text1"/>
                    <w14:textFill>
                      <w14:solidFill>
                        <w14:schemeClr w14:val="tx1"/>
                      </w14:solidFill>
                    </w14:textFill>
                  </w:rPr>
                  <w:t>受限类型</w:t>
                </w:r>
              </w:p>
            </w:sdtContent>
          </w:sdt>
        </w:tc>
        <w:tc>
          <w:tcPr>
            <w:tcW w:w="2411" w:type="dxa"/>
            <w:vAlign w:val="center"/>
          </w:tcPr>
          <w:sdt>
            <w:sdtPr>
              <w:tag w:val="_PLD_4ea3dd881caf4532ad39a52fb85dd9ad"/>
              <w:id w:val="7341"/>
            </w:sdtPr>
            <w:sdtContent>
              <w:p>
                <w:pPr>
                  <w:widowControl w:val="0"/>
                  <w:jc w:val="center"/>
                  <w:rPr>
                    <w:color w:val="000000" w:themeColor="text1"/>
                    <w14:textFill>
                      <w14:solidFill>
                        <w14:schemeClr w14:val="tx1"/>
                      </w14:solidFill>
                    </w14:textFill>
                  </w:rPr>
                </w:pPr>
                <w:r>
                  <w:rPr>
                    <w:color w:val="000000" w:themeColor="text1"/>
                    <w14:textFill>
                      <w14:solidFill>
                        <w14:schemeClr w14:val="tx1"/>
                      </w14:solidFill>
                    </w14:textFill>
                  </w:rPr>
                  <w:t>受限情况</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widowControl w:val="0"/>
              <w:jc w:val="left"/>
              <w:rPr>
                <w:color w:val="000000" w:themeColor="text1"/>
                <w14:textFill>
                  <w14:solidFill>
                    <w14:schemeClr w14:val="tx1"/>
                  </w14:solidFill>
                </w14:textFill>
              </w:rPr>
            </w:pPr>
            <w:r>
              <w:rPr>
                <w:color w:val="000000" w:themeColor="text1"/>
                <w14:textFill>
                  <w14:solidFill>
                    <w14:schemeClr w14:val="tx1"/>
                  </w14:solidFill>
                </w14:textFill>
              </w:rPr>
              <w:t>货币资金</w:t>
            </w:r>
          </w:p>
        </w:tc>
        <w:tc>
          <w:tcPr>
            <w:tcW w:w="1593" w:type="dxa"/>
            <w:vAlign w:val="center"/>
          </w:tcPr>
          <w:p>
            <w:pPr>
              <w:widowControl w:val="0"/>
              <w:jc w:val="right"/>
            </w:pPr>
            <w:r>
              <w:rPr>
                <w:rFonts w:hint="eastAsia"/>
                <w:color w:val="auto"/>
              </w:rPr>
              <w:t>2,736,963.01</w:t>
            </w:r>
          </w:p>
        </w:tc>
        <w:tc>
          <w:tcPr>
            <w:tcW w:w="1550" w:type="dxa"/>
            <w:vAlign w:val="center"/>
          </w:tcPr>
          <w:p>
            <w:pPr>
              <w:widowControl w:val="0"/>
              <w:jc w:val="right"/>
            </w:pPr>
            <w:r>
              <w:rPr>
                <w:rFonts w:hint="eastAsia"/>
                <w:color w:val="auto"/>
              </w:rPr>
              <w:t>2,736,963.01</w:t>
            </w:r>
          </w:p>
        </w:tc>
        <w:tc>
          <w:tcPr>
            <w:tcW w:w="687" w:type="dxa"/>
            <w:vAlign w:val="center"/>
          </w:tcPr>
          <w:sdt>
            <w:sdtPr>
              <w:rPr>
                <w:color w:val="000000" w:themeColor="text1"/>
                <w14:textFill>
                  <w14:solidFill>
                    <w14:schemeClr w14:val="tx1"/>
                  </w14:solidFill>
                </w14:textFill>
              </w:rPr>
              <w:alias w:val="所有权或使用权受到限制的资产中货币资金受限类型"/>
              <w:tag w:val="_GBC_9841e4835e734adc89ec5aaef8e9e22f"/>
              <w:id w:val="7342"/>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rPr>
                <w:color w:val="000000" w:themeColor="text1"/>
                <w14:textFill>
                  <w14:solidFill>
                    <w14:schemeClr w14:val="tx1"/>
                  </w14:solidFill>
                </w14:textFill>
              </w:rPr>
            </w:sdtEndPr>
            <w:sdtContent>
              <w:p>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质押</w:t>
                </w:r>
              </w:p>
            </w:sdtContent>
          </w:sdt>
        </w:tc>
        <w:tc>
          <w:tcPr>
            <w:tcW w:w="2368" w:type="dxa"/>
            <w:vAlign w:val="center"/>
          </w:tcPr>
          <w:p>
            <w:pPr>
              <w:widowControl w:val="0"/>
              <w:jc w:val="both"/>
            </w:pPr>
            <w:r>
              <w:rPr>
                <w:rFonts w:hint="eastAsia"/>
                <w:color w:val="auto"/>
              </w:rPr>
              <w:t>质押的定期存款、保证金</w:t>
            </w:r>
          </w:p>
        </w:tc>
        <w:tc>
          <w:tcPr>
            <w:tcW w:w="1658" w:type="dxa"/>
            <w:vAlign w:val="center"/>
          </w:tcPr>
          <w:p>
            <w:pPr>
              <w:widowControl w:val="0"/>
              <w:jc w:val="right"/>
            </w:pPr>
            <w:r>
              <w:rPr>
                <w:rFonts w:hint="eastAsia"/>
                <w:color w:val="auto"/>
              </w:rPr>
              <w:t>3,000.00</w:t>
            </w:r>
          </w:p>
        </w:tc>
        <w:tc>
          <w:tcPr>
            <w:tcW w:w="1604" w:type="dxa"/>
            <w:vAlign w:val="center"/>
          </w:tcPr>
          <w:p>
            <w:pPr>
              <w:widowControl w:val="0"/>
              <w:jc w:val="right"/>
            </w:pPr>
            <w:r>
              <w:rPr>
                <w:rFonts w:hint="eastAsia"/>
                <w:color w:val="auto"/>
              </w:rPr>
              <w:t>3,000.00</w:t>
            </w:r>
          </w:p>
        </w:tc>
        <w:tc>
          <w:tcPr>
            <w:tcW w:w="796" w:type="dxa"/>
            <w:vAlign w:val="center"/>
          </w:tcPr>
          <w:sdt>
            <w:sdtPr>
              <w:rPr>
                <w:color w:val="000000" w:themeColor="text1"/>
                <w14:textFill>
                  <w14:solidFill>
                    <w14:schemeClr w14:val="tx1"/>
                  </w14:solidFill>
                </w14:textFill>
              </w:rPr>
              <w:alias w:val="所有权或使用权受到限制的资产中货币资金受限类型"/>
              <w:tag w:val="_GBC_6f6cb50e97ca4fa8a27036ee94b76871"/>
              <w:id w:val="7343"/>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rPr>
                <w:color w:val="000000" w:themeColor="text1"/>
                <w14:textFill>
                  <w14:solidFill>
                    <w14:schemeClr w14:val="tx1"/>
                  </w14:solidFill>
                </w14:textFill>
              </w:rPr>
            </w:sdtEndPr>
            <w:sdtContent>
              <w:p>
                <w:pPr>
                  <w:widowControl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冻结</w:t>
                </w:r>
              </w:p>
            </w:sdtContent>
          </w:sdt>
        </w:tc>
        <w:tc>
          <w:tcPr>
            <w:tcW w:w="2411" w:type="dxa"/>
            <w:vAlign w:val="center"/>
          </w:tcPr>
          <w:p>
            <w:pPr>
              <w:widowControl w:val="0"/>
              <w:jc w:val="center"/>
            </w:pPr>
            <w:r>
              <w:rPr>
                <w:rFonts w:hint="eastAsia"/>
                <w:color w:val="auto"/>
              </w:rPr>
              <w:t>江苏公司ETC保证金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widowControl w:val="0"/>
              <w:jc w:val="left"/>
              <w:rPr>
                <w:color w:val="000000" w:themeColor="text1"/>
                <w14:textFill>
                  <w14:solidFill>
                    <w14:schemeClr w14:val="tx1"/>
                  </w14:solidFill>
                </w14:textFill>
              </w:rPr>
            </w:pPr>
            <w:r>
              <w:rPr>
                <w:color w:val="000000" w:themeColor="text1"/>
                <w14:textFill>
                  <w14:solidFill>
                    <w14:schemeClr w14:val="tx1"/>
                  </w14:solidFill>
                </w14:textFill>
              </w:rPr>
              <w:t>固定资产</w:t>
            </w:r>
          </w:p>
        </w:tc>
        <w:tc>
          <w:tcPr>
            <w:tcW w:w="1593" w:type="dxa"/>
            <w:vAlign w:val="center"/>
          </w:tcPr>
          <w:p>
            <w:pPr>
              <w:widowControl w:val="0"/>
              <w:jc w:val="right"/>
            </w:pPr>
            <w:r>
              <w:rPr>
                <w:rFonts w:hint="eastAsia"/>
                <w:color w:val="auto"/>
              </w:rPr>
              <w:t>154,086,881.23</w:t>
            </w:r>
          </w:p>
        </w:tc>
        <w:tc>
          <w:tcPr>
            <w:tcW w:w="1550" w:type="dxa"/>
            <w:vAlign w:val="center"/>
          </w:tcPr>
          <w:p>
            <w:pPr>
              <w:widowControl w:val="0"/>
              <w:jc w:val="right"/>
            </w:pPr>
            <w:r>
              <w:rPr>
                <w:rFonts w:hint="eastAsia"/>
                <w:color w:val="auto"/>
              </w:rPr>
              <w:t>80,971,105.13</w:t>
            </w:r>
          </w:p>
        </w:tc>
        <w:tc>
          <w:tcPr>
            <w:tcW w:w="687" w:type="dxa"/>
            <w:vAlign w:val="center"/>
          </w:tcPr>
          <w:sdt>
            <w:sdtPr>
              <w:rPr>
                <w:color w:val="000000" w:themeColor="text1"/>
                <w14:textFill>
                  <w14:solidFill>
                    <w14:schemeClr w14:val="tx1"/>
                  </w14:solidFill>
                </w14:textFill>
              </w:rPr>
              <w:alias w:val="所有权或使用权受到限制的资产中固定资产受限类型"/>
              <w:tag w:val="_GBC_3689f4a8fa9d4385a4102389ad637453"/>
              <w:id w:val="7344"/>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rPr>
                <w:color w:val="000000" w:themeColor="text1"/>
                <w14:textFill>
                  <w14:solidFill>
                    <w14:schemeClr w14:val="tx1"/>
                  </w14:solidFill>
                </w14:textFill>
              </w:rPr>
            </w:sdtEndPr>
            <w:sdtContent>
              <w:p>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抵押</w:t>
                </w:r>
              </w:p>
            </w:sdtContent>
          </w:sdt>
        </w:tc>
        <w:tc>
          <w:tcPr>
            <w:tcW w:w="2368" w:type="dxa"/>
            <w:vAlign w:val="center"/>
          </w:tcPr>
          <w:p>
            <w:pPr>
              <w:widowControl w:val="0"/>
              <w:jc w:val="both"/>
            </w:pPr>
            <w:r>
              <w:rPr>
                <w:rFonts w:hint="eastAsia"/>
                <w:color w:val="auto"/>
              </w:rPr>
              <w:t>银行借款抵押</w:t>
            </w:r>
          </w:p>
        </w:tc>
        <w:tc>
          <w:tcPr>
            <w:tcW w:w="1658" w:type="dxa"/>
            <w:vAlign w:val="center"/>
          </w:tcPr>
          <w:p>
            <w:pPr>
              <w:widowControl w:val="0"/>
              <w:jc w:val="right"/>
            </w:pPr>
            <w:r>
              <w:rPr>
                <w:rFonts w:hint="eastAsia"/>
                <w:color w:val="auto"/>
              </w:rPr>
              <w:t>154,086,881.23</w:t>
            </w:r>
          </w:p>
        </w:tc>
        <w:tc>
          <w:tcPr>
            <w:tcW w:w="1604" w:type="dxa"/>
            <w:vAlign w:val="center"/>
          </w:tcPr>
          <w:p>
            <w:pPr>
              <w:widowControl w:val="0"/>
              <w:jc w:val="right"/>
            </w:pPr>
            <w:r>
              <w:rPr>
                <w:rFonts w:hint="eastAsia"/>
                <w:color w:val="auto"/>
              </w:rPr>
              <w:t>84,580,108.25</w:t>
            </w:r>
          </w:p>
        </w:tc>
        <w:tc>
          <w:tcPr>
            <w:tcW w:w="796" w:type="dxa"/>
            <w:vAlign w:val="center"/>
          </w:tcPr>
          <w:sdt>
            <w:sdtPr>
              <w:rPr>
                <w:color w:val="000000" w:themeColor="text1"/>
                <w14:textFill>
                  <w14:solidFill>
                    <w14:schemeClr w14:val="tx1"/>
                  </w14:solidFill>
                </w14:textFill>
              </w:rPr>
              <w:alias w:val="所有权或使用权受到限制的资产中固定资产受限类型"/>
              <w:tag w:val="_GBC_687f93b2528b4690b2b92cf23ad6f417"/>
              <w:id w:val="7345"/>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rPr>
                <w:color w:val="000000" w:themeColor="text1"/>
                <w14:textFill>
                  <w14:solidFill>
                    <w14:schemeClr w14:val="tx1"/>
                  </w14:solidFill>
                </w14:textFill>
              </w:rPr>
            </w:sdtEndPr>
            <w:sdtContent>
              <w:p>
                <w:pPr>
                  <w:widowControl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抵押</w:t>
                </w:r>
              </w:p>
            </w:sdtContent>
          </w:sdt>
        </w:tc>
        <w:tc>
          <w:tcPr>
            <w:tcW w:w="2411" w:type="dxa"/>
            <w:vAlign w:val="center"/>
          </w:tcPr>
          <w:p>
            <w:pPr>
              <w:widowControl w:val="0"/>
              <w:jc w:val="center"/>
            </w:pPr>
            <w:r>
              <w:rPr>
                <w:rFonts w:hint="eastAsia"/>
                <w:color w:val="auto"/>
              </w:rPr>
              <w:t>银行借款抵押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bottom w:val="single" w:color="auto" w:sz="4" w:space="0"/>
            </w:tcBorders>
            <w:vAlign w:val="center"/>
          </w:tcPr>
          <w:p>
            <w:pPr>
              <w:widowControl w:val="0"/>
              <w:jc w:val="left"/>
              <w:rPr>
                <w:color w:val="000000" w:themeColor="text1"/>
                <w14:textFill>
                  <w14:solidFill>
                    <w14:schemeClr w14:val="tx1"/>
                  </w14:solidFill>
                </w14:textFill>
              </w:rPr>
            </w:pPr>
            <w:r>
              <w:rPr>
                <w:color w:val="000000" w:themeColor="text1"/>
                <w14:textFill>
                  <w14:solidFill>
                    <w14:schemeClr w14:val="tx1"/>
                  </w14:solidFill>
                </w14:textFill>
              </w:rPr>
              <w:t>无形资产</w:t>
            </w:r>
          </w:p>
        </w:tc>
        <w:tc>
          <w:tcPr>
            <w:tcW w:w="1593" w:type="dxa"/>
            <w:vAlign w:val="center"/>
          </w:tcPr>
          <w:p>
            <w:pPr>
              <w:widowControl w:val="0"/>
              <w:jc w:val="right"/>
            </w:pPr>
            <w:r>
              <w:rPr>
                <w:rFonts w:hint="eastAsia"/>
                <w:color w:val="auto"/>
              </w:rPr>
              <w:t>31,783,047.60</w:t>
            </w:r>
          </w:p>
        </w:tc>
        <w:tc>
          <w:tcPr>
            <w:tcW w:w="1550" w:type="dxa"/>
            <w:vAlign w:val="center"/>
          </w:tcPr>
          <w:p>
            <w:pPr>
              <w:widowControl w:val="0"/>
              <w:jc w:val="right"/>
            </w:pPr>
            <w:r>
              <w:rPr>
                <w:rFonts w:hint="eastAsia"/>
                <w:color w:val="auto"/>
              </w:rPr>
              <w:t>20,513,307.99</w:t>
            </w:r>
          </w:p>
        </w:tc>
        <w:tc>
          <w:tcPr>
            <w:tcW w:w="687" w:type="dxa"/>
            <w:vAlign w:val="center"/>
          </w:tcPr>
          <w:sdt>
            <w:sdtPr>
              <w:rPr>
                <w:color w:val="000000" w:themeColor="text1"/>
                <w14:textFill>
                  <w14:solidFill>
                    <w14:schemeClr w14:val="tx1"/>
                  </w14:solidFill>
                </w14:textFill>
              </w:rPr>
              <w:alias w:val="所有权或使用权受到限制的资产中无形资产受限类型"/>
              <w:tag w:val="_GBC_ed0c1abe0de84d359e970630f4d34fdd"/>
              <w:id w:val="7346"/>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rPr>
                <w:color w:val="000000" w:themeColor="text1"/>
                <w14:textFill>
                  <w14:solidFill>
                    <w14:schemeClr w14:val="tx1"/>
                  </w14:solidFill>
                </w14:textFill>
              </w:rPr>
            </w:sdtEndPr>
            <w:sdtContent>
              <w:p>
                <w:pPr>
                  <w:widowControl w:val="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抵押</w:t>
                </w:r>
              </w:p>
            </w:sdtContent>
          </w:sdt>
        </w:tc>
        <w:tc>
          <w:tcPr>
            <w:tcW w:w="2368" w:type="dxa"/>
            <w:vAlign w:val="center"/>
          </w:tcPr>
          <w:p>
            <w:pPr>
              <w:widowControl w:val="0"/>
              <w:jc w:val="both"/>
            </w:pPr>
            <w:r>
              <w:rPr>
                <w:rFonts w:hint="eastAsia"/>
                <w:color w:val="auto"/>
              </w:rPr>
              <w:t>银行借款抵押</w:t>
            </w:r>
          </w:p>
        </w:tc>
        <w:tc>
          <w:tcPr>
            <w:tcW w:w="1658" w:type="dxa"/>
            <w:vAlign w:val="center"/>
          </w:tcPr>
          <w:p>
            <w:pPr>
              <w:widowControl w:val="0"/>
              <w:jc w:val="right"/>
            </w:pPr>
            <w:r>
              <w:rPr>
                <w:rFonts w:hint="eastAsia"/>
                <w:color w:val="auto"/>
              </w:rPr>
              <w:t>31,783,047.60</w:t>
            </w:r>
          </w:p>
        </w:tc>
        <w:tc>
          <w:tcPr>
            <w:tcW w:w="1604" w:type="dxa"/>
            <w:vAlign w:val="center"/>
          </w:tcPr>
          <w:p>
            <w:pPr>
              <w:widowControl w:val="0"/>
              <w:jc w:val="right"/>
            </w:pPr>
            <w:r>
              <w:rPr>
                <w:rFonts w:hint="eastAsia"/>
                <w:color w:val="auto"/>
              </w:rPr>
              <w:t>21,127,172.55</w:t>
            </w:r>
          </w:p>
        </w:tc>
        <w:tc>
          <w:tcPr>
            <w:tcW w:w="796" w:type="dxa"/>
            <w:vAlign w:val="center"/>
          </w:tcPr>
          <w:sdt>
            <w:sdtPr>
              <w:rPr>
                <w:color w:val="000000" w:themeColor="text1"/>
                <w14:textFill>
                  <w14:solidFill>
                    <w14:schemeClr w14:val="tx1"/>
                  </w14:solidFill>
                </w14:textFill>
              </w:rPr>
              <w:alias w:val="所有权或使用权受到限制的资产中无形资产受限类型"/>
              <w:tag w:val="_GBC_2180e0fd3c984389b43deab755ac22dd"/>
              <w:id w:val="7347"/>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EndPr>
              <w:rPr>
                <w:color w:val="000000" w:themeColor="text1"/>
                <w14:textFill>
                  <w14:solidFill>
                    <w14:schemeClr w14:val="tx1"/>
                  </w14:solidFill>
                </w14:textFill>
              </w:rPr>
            </w:sdtEndPr>
            <w:sdtContent>
              <w:p>
                <w:pPr>
                  <w:widowControl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抵押</w:t>
                </w:r>
              </w:p>
            </w:sdtContent>
          </w:sdt>
        </w:tc>
        <w:tc>
          <w:tcPr>
            <w:tcW w:w="2411" w:type="dxa"/>
            <w:vAlign w:val="center"/>
          </w:tcPr>
          <w:p>
            <w:pPr>
              <w:widowControl w:val="0"/>
              <w:jc w:val="center"/>
            </w:pPr>
            <w:r>
              <w:rPr>
                <w:rFonts w:hint="eastAsia"/>
                <w:color w:val="auto"/>
              </w:rPr>
              <w:t>银行借款抵押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widowControl w:val="0"/>
              <w:jc w:val="center"/>
              <w:rPr>
                <w:color w:val="000000" w:themeColor="text1"/>
                <w14:textFill>
                  <w14:solidFill>
                    <w14:schemeClr w14:val="tx1"/>
                  </w14:solidFill>
                </w14:textFill>
              </w:rPr>
            </w:pPr>
            <w:r>
              <w:rPr>
                <w:color w:val="000000" w:themeColor="text1"/>
                <w14:textFill>
                  <w14:solidFill>
                    <w14:schemeClr w14:val="tx1"/>
                  </w14:solidFill>
                </w14:textFill>
              </w:rPr>
              <w:t>合计</w:t>
            </w:r>
          </w:p>
        </w:tc>
        <w:tc>
          <w:tcPr>
            <w:tcW w:w="1593" w:type="dxa"/>
            <w:vAlign w:val="center"/>
          </w:tcPr>
          <w:p>
            <w:pPr>
              <w:widowControl w:val="0"/>
              <w:jc w:val="right"/>
            </w:pPr>
            <w:r>
              <w:rPr>
                <w:rFonts w:hint="eastAsia"/>
                <w:color w:val="auto"/>
              </w:rPr>
              <w:t>188,606,891.84</w:t>
            </w:r>
          </w:p>
        </w:tc>
        <w:tc>
          <w:tcPr>
            <w:tcW w:w="1550" w:type="dxa"/>
            <w:vAlign w:val="center"/>
          </w:tcPr>
          <w:p>
            <w:pPr>
              <w:widowControl w:val="0"/>
              <w:jc w:val="right"/>
            </w:pPr>
            <w:r>
              <w:rPr>
                <w:rFonts w:hint="eastAsia"/>
                <w:color w:val="auto"/>
              </w:rPr>
              <w:t>104,221,376.13</w:t>
            </w:r>
          </w:p>
        </w:tc>
        <w:tc>
          <w:tcPr>
            <w:tcW w:w="687" w:type="dxa"/>
            <w:vAlign w:val="center"/>
          </w:tcPr>
          <w:p>
            <w:pPr>
              <w:widowControl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2368" w:type="dxa"/>
            <w:vAlign w:val="center"/>
          </w:tcPr>
          <w:p>
            <w:pPr>
              <w:widowControl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658" w:type="dxa"/>
            <w:vAlign w:val="center"/>
          </w:tcPr>
          <w:p>
            <w:pPr>
              <w:widowControl w:val="0"/>
              <w:jc w:val="right"/>
            </w:pPr>
            <w:r>
              <w:rPr>
                <w:rFonts w:hint="eastAsia"/>
                <w:color w:val="auto"/>
              </w:rPr>
              <w:t>185,872,928.83</w:t>
            </w:r>
          </w:p>
        </w:tc>
        <w:tc>
          <w:tcPr>
            <w:tcW w:w="1604" w:type="dxa"/>
            <w:vAlign w:val="center"/>
          </w:tcPr>
          <w:p>
            <w:pPr>
              <w:widowControl w:val="0"/>
              <w:jc w:val="right"/>
            </w:pPr>
            <w:r>
              <w:rPr>
                <w:rFonts w:hint="eastAsia"/>
                <w:color w:val="auto"/>
              </w:rPr>
              <w:t>105,710,280.80</w:t>
            </w:r>
          </w:p>
        </w:tc>
        <w:tc>
          <w:tcPr>
            <w:tcW w:w="796" w:type="dxa"/>
            <w:vAlign w:val="center"/>
          </w:tcPr>
          <w:p>
            <w:pPr>
              <w:widowControl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2411" w:type="dxa"/>
            <w:vAlign w:val="center"/>
          </w:tcPr>
          <w:p>
            <w:pPr>
              <w:widowControl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bl>
    <w:p>
      <w:pPr>
        <w:rPr>
          <w:color w:val="000000" w:themeColor="text1"/>
          <w14:textFill>
            <w14:solidFill>
              <w14:schemeClr w14:val="tx1"/>
            </w14:solidFill>
          </w14:textFill>
        </w:rPr>
      </w:pPr>
    </w:p>
    <w:p>
      <w:pPr>
        <w:spacing w:before="60" w:after="60"/>
        <w:rPr>
          <w:color w:val="000000" w:themeColor="text1"/>
          <w14:textFill>
            <w14:solidFill>
              <w14:schemeClr w14:val="tx1"/>
            </w14:solidFill>
          </w14:textFill>
        </w:rPr>
      </w:pPr>
      <w:r>
        <w:rPr>
          <w:rFonts w:hint="eastAsia"/>
          <w:color w:val="000000" w:themeColor="text1"/>
          <w14:textFill>
            <w14:solidFill>
              <w14:schemeClr w14:val="tx1"/>
            </w14:solidFill>
          </w14:textFill>
        </w:rPr>
        <w:t>其他说明：</w:t>
      </w:r>
    </w:p>
    <w:sdt>
      <w:sdtPr>
        <w:rPr>
          <w:color w:val="000000" w:themeColor="text1"/>
          <w14:textFill>
            <w14:solidFill>
              <w14:schemeClr w14:val="tx1"/>
            </w14:solidFill>
          </w14:textFill>
        </w:rPr>
        <w:alias w:val="所有权或使用权受到限制的资产的其他说明"/>
        <w:tag w:val="_GBC_cb6598cbee3c4c8881c3583f4da2f049"/>
        <w:id w:val="7348"/>
        <w:placeholder>
          <w:docPart w:val="GBC22222222222222222222222222222"/>
        </w:placeholder>
      </w:sdtPr>
      <w:sdtEndPr>
        <w:rPr>
          <w:rFonts w:ascii="Times New Roman" w:hAnsi="Times New Roman" w:eastAsia="宋体"/>
          <w:color w:val="000000" w:themeColor="text1"/>
          <w:sz w:val="21"/>
          <w14:textFill>
            <w14:solidFill>
              <w14:schemeClr w14:val="tx1"/>
            </w14:solidFill>
          </w14:textFill>
        </w:rPr>
      </w:sdtEndPr>
      <w:sdtContent>
        <w:p>
          <w:pPr>
            <w:rPr>
              <w:rFonts w:ascii="Times New Roman" w:hAnsi="Times New Roman" w:eastAsia="宋体"/>
              <w:sz w:val="21"/>
            </w:rPr>
          </w:pPr>
          <w:r>
            <w:rPr>
              <w:rFonts w:hint="eastAsia" w:ascii="Times New Roman" w:hAnsi="Times New Roman" w:eastAsia="宋体"/>
              <w:sz w:val="21"/>
              <w:szCs w:val="21"/>
            </w:rPr>
            <w:t>期末受到限制的</w:t>
          </w:r>
          <w:r>
            <w:rPr>
              <w:rFonts w:ascii="Times New Roman" w:hAnsi="Times New Roman" w:eastAsia="宋体"/>
              <w:sz w:val="21"/>
            </w:rPr>
            <w:t>货币资金</w:t>
          </w:r>
          <w:r>
            <w:rPr>
              <w:rFonts w:ascii="Times New Roman" w:hAnsi="Times New Roman" w:eastAsia="宋体"/>
              <w:sz w:val="21"/>
              <w:szCs w:val="21"/>
            </w:rPr>
            <w:t>2,736,963.01</w:t>
          </w:r>
          <w:r>
            <w:rPr>
              <w:rFonts w:hint="eastAsia" w:ascii="Times New Roman" w:hAnsi="Times New Roman" w:eastAsia="宋体"/>
              <w:sz w:val="21"/>
              <w:szCs w:val="21"/>
            </w:rPr>
            <w:t>元，其中：质押的定期存款2,400,000.00元、保函保证金333,963.01元、ETC保证金3,000.00元。</w:t>
          </w:r>
        </w:p>
      </w:sdtContent>
    </w:sdt>
    <w:bookmarkEnd w:id="321"/>
    <w:p>
      <w:pPr>
        <w:rPr>
          <w:rFonts w:ascii="Times New Roman" w:hAnsi="Times New Roman" w:eastAsia="宋体"/>
          <w:sz w:val="21"/>
          <w:szCs w:val="21"/>
        </w:rPr>
        <w:sectPr>
          <w:pgSz w:w="16838" w:h="11906" w:orient="landscape"/>
          <w:pgMar w:top="1276" w:right="1440" w:bottom="1797" w:left="1525" w:header="856" w:footer="992" w:gutter="0"/>
          <w:cols w:space="425" w:num="1"/>
          <w:docGrid w:linePitch="312" w:charSpace="0"/>
        </w:sectPr>
      </w:pPr>
    </w:p>
    <w:p>
      <w:pPr>
        <w:pStyle w:val="17"/>
      </w:pPr>
    </w:p>
    <w:p>
      <w:pPr>
        <w:pStyle w:val="4"/>
        <w:numPr>
          <w:ilvl w:val="0"/>
          <w:numId w:val="62"/>
        </w:numPr>
        <w:tabs>
          <w:tab w:val="left" w:pos="504"/>
        </w:tabs>
        <w:rPr>
          <w:rFonts w:hint="eastAsia" w:ascii="宋体" w:hAnsi="宋体"/>
          <w:szCs w:val="21"/>
        </w:rPr>
      </w:pPr>
      <w:r>
        <w:rPr>
          <w:rFonts w:hint="eastAsia" w:ascii="宋体" w:hAnsi="宋体"/>
          <w:szCs w:val="21"/>
        </w:rPr>
        <w:t>短期借款</w:t>
      </w:r>
    </w:p>
    <w:p>
      <w:pPr>
        <w:pStyle w:val="5"/>
        <w:numPr>
          <w:ilvl w:val="0"/>
          <w:numId w:val="87"/>
        </w:numPr>
        <w:ind w:left="426" w:hanging="426"/>
        <w:rPr>
          <w:rFonts w:hint="eastAsia"/>
        </w:rPr>
      </w:pPr>
      <w:r>
        <w:rPr>
          <w:rFonts w:hint="eastAsia"/>
        </w:rPr>
        <w:t>短期借款分类</w:t>
      </w:r>
    </w:p>
    <w:sdt>
      <w:sdtPr>
        <w:alias w:val="是否适用：短期借款分类[双击切换]"/>
        <w:tag w:val="_GBC_d7624f1054024527b72d59c4122e81cb"/>
        <w:id w:val="7349"/>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短期借款分类"/>
          <w:tag w:val="_GBC_8d30fbb8785645499f9234dccd6e5b81"/>
          <w:id w:val="735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短期借款分类"/>
          <w:tag w:val="_GBC_f7294c19819e4515b1d98b3d42f8d07c"/>
          <w:id w:val="735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2868"/>
        <w:gridCol w:w="3002"/>
        <w:gridCol w:w="3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2868" w:type="dxa"/>
            <w:vAlign w:val="center"/>
          </w:tcPr>
          <w:sdt>
            <w:sdtPr>
              <w:tag w:val="_PLD_7d518e78e06f4dc9b46aae7b6b47fd01"/>
              <w:id w:val="7352"/>
            </w:sdtPr>
            <w:sdtContent>
              <w:p>
                <w:pPr>
                  <w:autoSpaceDE w:val="0"/>
                  <w:autoSpaceDN w:val="0"/>
                  <w:adjustRightInd w:val="0"/>
                  <w:snapToGrid w:val="0"/>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项目</w:t>
                </w:r>
              </w:p>
            </w:sdtContent>
          </w:sdt>
        </w:tc>
        <w:tc>
          <w:tcPr>
            <w:tcW w:w="3002" w:type="dxa"/>
            <w:vAlign w:val="center"/>
          </w:tcPr>
          <w:sdt>
            <w:sdtPr>
              <w:tag w:val="_PLD_cda187315847461e8ed854d1807d3b14"/>
              <w:id w:val="7353"/>
            </w:sdtPr>
            <w:sdtContent>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期末余额</w:t>
                </w:r>
              </w:p>
            </w:sdtContent>
          </w:sdt>
        </w:tc>
        <w:tc>
          <w:tcPr>
            <w:tcW w:w="3020" w:type="dxa"/>
            <w:vAlign w:val="center"/>
          </w:tcPr>
          <w:sdt>
            <w:sdtPr>
              <w:tag w:val="_PLD_805e4b849be14c0ab0ca7f324971119b"/>
              <w:id w:val="7354"/>
            </w:sdtPr>
            <w:sdtContent>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2868" w:type="dxa"/>
            <w:vAlign w:val="center"/>
          </w:tcPr>
          <w:p>
            <w:pPr>
              <w:autoSpaceDE w:val="0"/>
              <w:autoSpaceDN w:val="0"/>
              <w:adjustRightInd w:val="0"/>
              <w:snapToGrid w:val="0"/>
              <w:spacing w:line="240" w:lineRule="atLeast"/>
              <w:jc w:val="both"/>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质押借款</w:t>
            </w:r>
          </w:p>
        </w:tc>
        <w:tc>
          <w:tcPr>
            <w:tcW w:w="3002" w:type="dxa"/>
            <w:vAlign w:val="center"/>
          </w:tcPr>
          <w:p>
            <w:pPr>
              <w:autoSpaceDE w:val="0"/>
              <w:autoSpaceDN w:val="0"/>
              <w:adjustRightInd w:val="0"/>
              <w:snapToGrid w:val="0"/>
              <w:spacing w:line="240" w:lineRule="atLeast"/>
              <w:ind w:right="180"/>
              <w:jc w:val="right"/>
              <w:rPr>
                <w:szCs w:val="21"/>
              </w:rPr>
            </w:pPr>
            <w:r>
              <w:rPr>
                <w:rFonts w:hint="eastAsia"/>
                <w:color w:val="auto"/>
                <w:szCs w:val="21"/>
              </w:rPr>
              <w:t>2,000,000.00</w:t>
            </w:r>
          </w:p>
        </w:tc>
        <w:tc>
          <w:tcPr>
            <w:tcW w:w="3020" w:type="dxa"/>
            <w:vAlign w:val="center"/>
          </w:tcPr>
          <w:p>
            <w:pPr>
              <w:autoSpaceDE w:val="0"/>
              <w:autoSpaceDN w:val="0"/>
              <w:adjustRightInd w:val="0"/>
              <w:snapToGrid w:val="0"/>
              <w:spacing w:line="240" w:lineRule="atLeast"/>
              <w:ind w:right="180"/>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2868" w:type="dxa"/>
            <w:vAlign w:val="center"/>
          </w:tcPr>
          <w:p>
            <w:pPr>
              <w:autoSpaceDE w:val="0"/>
              <w:autoSpaceDN w:val="0"/>
              <w:adjustRightInd w:val="0"/>
              <w:snapToGrid w:val="0"/>
              <w:spacing w:line="240" w:lineRule="atLeast"/>
              <w:jc w:val="both"/>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抵押借款</w:t>
            </w:r>
          </w:p>
        </w:tc>
        <w:tc>
          <w:tcPr>
            <w:tcW w:w="3002" w:type="dxa"/>
            <w:vAlign w:val="center"/>
          </w:tcPr>
          <w:p>
            <w:pPr>
              <w:autoSpaceDE w:val="0"/>
              <w:autoSpaceDN w:val="0"/>
              <w:adjustRightInd w:val="0"/>
              <w:snapToGrid w:val="0"/>
              <w:spacing w:line="240" w:lineRule="atLeast"/>
              <w:ind w:right="180"/>
              <w:jc w:val="right"/>
              <w:rPr>
                <w:szCs w:val="21"/>
              </w:rPr>
            </w:pPr>
            <w:r>
              <w:rPr>
                <w:rFonts w:hint="eastAsia"/>
                <w:color w:val="auto"/>
                <w:szCs w:val="21"/>
              </w:rPr>
              <w:t>35,000,000.00</w:t>
            </w:r>
          </w:p>
        </w:tc>
        <w:tc>
          <w:tcPr>
            <w:tcW w:w="3020" w:type="dxa"/>
            <w:vAlign w:val="center"/>
          </w:tcPr>
          <w:p>
            <w:pPr>
              <w:autoSpaceDE w:val="0"/>
              <w:autoSpaceDN w:val="0"/>
              <w:adjustRightInd w:val="0"/>
              <w:snapToGrid w:val="0"/>
              <w:spacing w:line="240" w:lineRule="atLeast"/>
              <w:ind w:right="180"/>
              <w:jc w:val="right"/>
              <w:rPr>
                <w:szCs w:val="21"/>
              </w:rPr>
            </w:pPr>
            <w:r>
              <w:rPr>
                <w:rFonts w:hint="eastAsia"/>
                <w:color w:val="auto"/>
                <w:szCs w:val="21"/>
              </w:rPr>
              <w:t>35,000,000.00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2868" w:type="dxa"/>
            <w:vAlign w:val="center"/>
          </w:tcPr>
          <w:p>
            <w:pPr>
              <w:autoSpaceDE w:val="0"/>
              <w:autoSpaceDN w:val="0"/>
              <w:adjustRightInd w:val="0"/>
              <w:snapToGrid w:val="0"/>
              <w:spacing w:line="240" w:lineRule="atLeast"/>
              <w:jc w:val="both"/>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保证借款</w:t>
            </w:r>
          </w:p>
        </w:tc>
        <w:tc>
          <w:tcPr>
            <w:tcW w:w="3002" w:type="dxa"/>
            <w:vAlign w:val="center"/>
          </w:tcPr>
          <w:p>
            <w:pPr>
              <w:autoSpaceDE w:val="0"/>
              <w:autoSpaceDN w:val="0"/>
              <w:adjustRightInd w:val="0"/>
              <w:snapToGrid w:val="0"/>
              <w:spacing w:line="240" w:lineRule="atLeast"/>
              <w:ind w:right="180"/>
              <w:jc w:val="right"/>
              <w:rPr>
                <w:szCs w:val="21"/>
              </w:rPr>
            </w:pPr>
            <w:r>
              <w:rPr>
                <w:rFonts w:hint="eastAsia"/>
                <w:color w:val="auto"/>
                <w:szCs w:val="21"/>
              </w:rPr>
              <w:t>35,000,000.00</w:t>
            </w:r>
          </w:p>
        </w:tc>
        <w:tc>
          <w:tcPr>
            <w:tcW w:w="3020" w:type="dxa"/>
            <w:vAlign w:val="center"/>
          </w:tcPr>
          <w:p>
            <w:pPr>
              <w:autoSpaceDE w:val="0"/>
              <w:autoSpaceDN w:val="0"/>
              <w:adjustRightInd w:val="0"/>
              <w:snapToGrid w:val="0"/>
              <w:spacing w:line="240" w:lineRule="atLeast"/>
              <w:ind w:right="180"/>
              <w:jc w:val="right"/>
              <w:rPr>
                <w:szCs w:val="21"/>
              </w:rPr>
            </w:pPr>
            <w:r>
              <w:rPr>
                <w:rFonts w:hint="eastAsia"/>
                <w:color w:val="auto"/>
                <w:szCs w:val="21"/>
              </w:rPr>
              <w:t>25,000,000.00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37" w:hRule="atLeast"/>
        </w:trPr>
        <w:tc>
          <w:tcPr>
            <w:tcW w:w="2868" w:type="dxa"/>
            <w:vAlign w:val="center"/>
          </w:tcPr>
          <w:p>
            <w:pPr>
              <w:autoSpaceDE w:val="0"/>
              <w:autoSpaceDN w:val="0"/>
              <w:adjustRightInd w:val="0"/>
              <w:snapToGrid w:val="0"/>
              <w:spacing w:line="240" w:lineRule="atLeast"/>
              <w:jc w:val="both"/>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信用借款</w:t>
            </w:r>
          </w:p>
        </w:tc>
        <w:tc>
          <w:tcPr>
            <w:tcW w:w="3002" w:type="dxa"/>
            <w:vAlign w:val="center"/>
          </w:tcPr>
          <w:p>
            <w:pPr>
              <w:autoSpaceDE w:val="0"/>
              <w:autoSpaceDN w:val="0"/>
              <w:adjustRightInd w:val="0"/>
              <w:snapToGrid w:val="0"/>
              <w:spacing w:line="240" w:lineRule="atLeast"/>
              <w:ind w:right="180"/>
              <w:jc w:val="right"/>
              <w:rPr>
                <w:szCs w:val="21"/>
              </w:rPr>
            </w:pPr>
            <w:r>
              <w:rPr>
                <w:rFonts w:hint="eastAsia"/>
                <w:color w:val="auto"/>
                <w:szCs w:val="21"/>
              </w:rPr>
              <w:t>30,000,000.00</w:t>
            </w:r>
          </w:p>
        </w:tc>
        <w:tc>
          <w:tcPr>
            <w:tcW w:w="3020" w:type="dxa"/>
            <w:vAlign w:val="center"/>
          </w:tcPr>
          <w:p>
            <w:pPr>
              <w:autoSpaceDE w:val="0"/>
              <w:autoSpaceDN w:val="0"/>
              <w:adjustRightInd w:val="0"/>
              <w:snapToGrid w:val="0"/>
              <w:spacing w:line="240" w:lineRule="atLeast"/>
              <w:ind w:right="180"/>
              <w:jc w:val="right"/>
              <w:rPr>
                <w:szCs w:val="21"/>
              </w:rPr>
            </w:pPr>
            <w:r>
              <w:rPr>
                <w:rFonts w:hint="eastAsia"/>
                <w:color w:val="auto"/>
                <w:szCs w:val="21"/>
              </w:rPr>
              <w:t>30,000,000.00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Pr>
        <w:tc>
          <w:tcPr>
            <w:tcW w:w="2868" w:type="dxa"/>
            <w:vAlign w:val="center"/>
          </w:tcPr>
          <w:p>
            <w:pPr>
              <w:autoSpaceDE w:val="0"/>
              <w:autoSpaceDN w:val="0"/>
              <w:adjustRightInd w:val="0"/>
              <w:snapToGrid w:val="0"/>
              <w:spacing w:line="240" w:lineRule="atLeas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合计</w:t>
            </w:r>
          </w:p>
        </w:tc>
        <w:tc>
          <w:tcPr>
            <w:tcW w:w="3002" w:type="dxa"/>
            <w:vAlign w:val="center"/>
          </w:tcPr>
          <w:p>
            <w:pPr>
              <w:autoSpaceDE w:val="0"/>
              <w:autoSpaceDN w:val="0"/>
              <w:adjustRightInd w:val="0"/>
              <w:snapToGrid w:val="0"/>
              <w:spacing w:line="240" w:lineRule="atLeast"/>
              <w:ind w:right="180"/>
              <w:jc w:val="right"/>
              <w:rPr>
                <w:szCs w:val="21"/>
              </w:rPr>
            </w:pPr>
            <w:r>
              <w:rPr>
                <w:rFonts w:hint="eastAsia"/>
                <w:color w:val="auto"/>
                <w:szCs w:val="21"/>
              </w:rPr>
              <w:t>102,000,000.00</w:t>
            </w:r>
          </w:p>
        </w:tc>
        <w:tc>
          <w:tcPr>
            <w:tcW w:w="3020" w:type="dxa"/>
            <w:vAlign w:val="center"/>
          </w:tcPr>
          <w:p>
            <w:pPr>
              <w:autoSpaceDE w:val="0"/>
              <w:autoSpaceDN w:val="0"/>
              <w:adjustRightInd w:val="0"/>
              <w:snapToGrid w:val="0"/>
              <w:spacing w:line="240" w:lineRule="atLeast"/>
              <w:ind w:right="180"/>
              <w:jc w:val="right"/>
              <w:rPr>
                <w:szCs w:val="21"/>
              </w:rPr>
            </w:pPr>
            <w:r>
              <w:rPr>
                <w:rFonts w:hint="eastAsia"/>
                <w:color w:val="auto"/>
                <w:szCs w:val="21"/>
              </w:rPr>
              <w:t>90,000,000.00</w:t>
            </w:r>
          </w:p>
        </w:tc>
      </w:tr>
    </w:tbl>
    <w:p>
      <w:pPr>
        <w:snapToGrid w:val="0"/>
        <w:spacing w:line="240" w:lineRule="atLeas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短期借款分类的说明：</w:t>
      </w:r>
    </w:p>
    <w:sdt>
      <w:sdtPr>
        <w:rPr>
          <w:szCs w:val="21"/>
        </w:rPr>
        <w:alias w:val="短期借款分类的说明"/>
        <w:tag w:val="_GBC_39c88fc069c44763b7ed661bff072142"/>
        <w:id w:val="7355"/>
        <w:placeholder>
          <w:docPart w:val="GBC22222222222222222222222222222"/>
        </w:placeholder>
      </w:sdtPr>
      <w:sdtEndPr>
        <w:rPr>
          <w:rFonts w:ascii="Times New Roman" w:hAnsi="Times New Roman"/>
          <w:sz w:val="21"/>
          <w:szCs w:val="21"/>
        </w:rPr>
      </w:sdtEndPr>
      <w:sdtContent>
        <w:p>
          <w:pPr>
            <w:keepNext w:val="0"/>
            <w:keepLines w:val="0"/>
            <w:pageBreakBefore w:val="0"/>
            <w:widowControl/>
            <w:kinsoku/>
            <w:wordWrap/>
            <w:overflowPunct/>
            <w:topLinePunct w:val="0"/>
            <w:autoSpaceDE/>
            <w:autoSpaceDN/>
            <w:bidi w:val="0"/>
            <w:adjustRightInd/>
            <w:snapToGrid w:val="0"/>
            <w:spacing w:line="400" w:lineRule="exact"/>
            <w:ind w:left="0" w:firstLine="420" w:firstLineChars="200"/>
            <w:textAlignment w:val="auto"/>
            <w:rPr>
              <w:rFonts w:ascii="Times New Roman" w:hAnsi="Times New Roman"/>
              <w:sz w:val="21"/>
              <w:szCs w:val="21"/>
            </w:rPr>
          </w:pPr>
          <w:r>
            <w:rPr>
              <w:rFonts w:hint="eastAsia" w:ascii="Times New Roman" w:hAnsi="Times New Roman" w:eastAsia="宋体"/>
              <w:sz w:val="21"/>
              <w:szCs w:val="21"/>
            </w:rPr>
            <w:t>注：（1）公司子公司两面针（江苏）实业有限公司以存单质押的方式从中国农业银行股份有限公司扬州润扬支行借款200万元。</w:t>
          </w:r>
        </w:p>
        <w:p>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（2）公司与中国工商银行股份有限公司柳州支行</w:t>
          </w:r>
          <w:r>
            <w:rPr>
              <w:rFonts w:hint="eastAsia"/>
              <w:sz w:val="21"/>
              <w:szCs w:val="21"/>
              <w:lang w:val="en-US" w:eastAsia="zh-CN"/>
            </w:rPr>
            <w:t>龙城</w:t>
          </w:r>
          <w:r>
            <w:rPr>
              <w:rFonts w:hint="eastAsia" w:ascii="Times New Roman" w:hAnsi="Times New Roman" w:eastAsia="宋体"/>
              <w:sz w:val="21"/>
              <w:szCs w:val="21"/>
            </w:rPr>
            <w:t>支行签订《最高额抵押合同》，自2024年6月13日至2029年6月30日期间，在人民币9,320万元的最高本金余额内借款。公司抵押房屋建筑物（柳房权证字第D0205393号、柳房权证字第D0155913号）账面原值为90,498,034.69元、账面价值为59,257,776.09元，土地使用权（柳国用[2005]第117099号）账面原值31,783,047.60元、账面价值为20,513,307.71元；公司本年实际借款2,000万元。</w:t>
          </w:r>
        </w:p>
        <w:p>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Times New Roman" w:hAnsi="Times New Roman"/>
              <w:sz w:val="21"/>
              <w:szCs w:val="21"/>
            </w:rPr>
          </w:pPr>
          <w:r>
            <w:rPr>
              <w:rFonts w:hint="eastAsia" w:ascii="Times New Roman" w:hAnsi="Times New Roman" w:eastAsia="宋体"/>
              <w:sz w:val="21"/>
              <w:szCs w:val="21"/>
            </w:rPr>
            <w:t>公司与中国银行股份有限公司柳州分行签订《最高额抵押合同》，自2022年11月24日至2025年10月23日期间，在人民币5,073.69万元的最高本金余额内借款。公司抵押房屋建筑物（柳房权证字第1028651号、柳房权证字第1028654号、柳房权证字第1028656号、柳房权证字第1044071号、柳房权证字第1106801号、柳房权证字第A0067718号）的账面原值为63,155,787.13元、账面价值为21,630,068.79元；土地使用权（柳国用[94公]字第03472号），该土地使用权价值早期在固定资产核算，无法分拆出其账面价值；公司本年实际借款1,500万元。</w:t>
          </w:r>
        </w:p>
        <w:p>
          <w:pPr>
            <w:keepNext w:val="0"/>
            <w:keepLines w:val="0"/>
            <w:pageBreakBefore w:val="0"/>
            <w:widowControl/>
            <w:kinsoku/>
            <w:wordWrap/>
            <w:overflowPunct/>
            <w:topLinePunct w:val="0"/>
            <w:autoSpaceDE/>
            <w:autoSpaceDN/>
            <w:bidi w:val="0"/>
            <w:adjustRightInd/>
            <w:snapToGrid w:val="0"/>
            <w:spacing w:line="400" w:lineRule="exact"/>
            <w:ind w:left="0" w:firstLine="420" w:firstLineChars="200"/>
            <w:textAlignment w:val="auto"/>
            <w:rPr>
              <w:rFonts w:ascii="Times New Roman" w:hAnsi="Times New Roman"/>
              <w:sz w:val="21"/>
              <w:szCs w:val="21"/>
            </w:rPr>
          </w:pPr>
          <w:r>
            <w:rPr>
              <w:rFonts w:hint="eastAsia" w:ascii="Times New Roman" w:hAnsi="Times New Roman" w:eastAsia="宋体"/>
              <w:sz w:val="21"/>
              <w:szCs w:val="21"/>
            </w:rPr>
            <w:t>（3）本公司为子公司广西两面针亿康药业股份有限公司3,500万元借款提供保证担保，其中：向柳州银行股份有限公司柳北支行提供担保2,500万元，向中国银行股份有限公司柳州分行提供担保1,000万元。</w:t>
          </w:r>
        </w:p>
        <w:p>
          <w:pPr>
            <w:keepNext w:val="0"/>
            <w:keepLines w:val="0"/>
            <w:pageBreakBefore w:val="0"/>
            <w:widowControl/>
            <w:kinsoku/>
            <w:wordWrap/>
            <w:overflowPunct/>
            <w:topLinePunct w:val="0"/>
            <w:autoSpaceDE/>
            <w:autoSpaceDN/>
            <w:bidi w:val="0"/>
            <w:adjustRightInd/>
            <w:snapToGrid w:val="0"/>
            <w:spacing w:line="400" w:lineRule="exact"/>
            <w:ind w:left="0" w:firstLine="420" w:firstLineChars="200"/>
            <w:textAlignment w:val="auto"/>
            <w:rPr>
              <w:rFonts w:ascii="Times New Roman" w:hAnsi="Times New Roman"/>
              <w:sz w:val="21"/>
              <w:szCs w:val="21"/>
            </w:rPr>
          </w:pPr>
          <w:r>
            <w:rPr>
              <w:rFonts w:hint="eastAsia" w:ascii="Times New Roman" w:hAnsi="Times New Roman" w:eastAsia="宋体"/>
              <w:sz w:val="21"/>
              <w:szCs w:val="21"/>
            </w:rPr>
            <w:t>（4）公司以信用方式分别从桂林银行股份有限公司柳州分行借款1,000万元、从招商银行股份有限公司柳州分行借款2,000万元。</w:t>
          </w:r>
        </w:p>
      </w:sdtContent>
    </w:sdt>
    <w:p>
      <w:pPr>
        <w:snapToGrid w:val="0"/>
        <w:spacing w:line="240" w:lineRule="atLeast"/>
        <w:rPr>
          <w:color w:val="000000" w:themeColor="text1"/>
          <w:szCs w:val="21"/>
          <w14:textFill>
            <w14:solidFill>
              <w14:schemeClr w14:val="tx1"/>
            </w14:solidFill>
          </w14:textFill>
        </w:rPr>
      </w:pPr>
    </w:p>
    <w:p>
      <w:pPr>
        <w:pStyle w:val="5"/>
        <w:numPr>
          <w:ilvl w:val="0"/>
          <w:numId w:val="87"/>
        </w:numPr>
        <w:ind w:left="426" w:hanging="426"/>
        <w:rPr>
          <w:rFonts w:hint="eastAsia"/>
        </w:rPr>
      </w:pPr>
      <w:r>
        <w:rPr>
          <w:rFonts w:hint="eastAsia"/>
        </w:rPr>
        <w:t>已逾期未偿还的短期借款情况</w:t>
      </w:r>
    </w:p>
    <w:sdt>
      <w:sdtPr>
        <w:alias w:val="是否适用：已逾期未偿还的短期借款情况[双击切换]"/>
        <w:tag w:val="_GBC_b92057263cbf4b81a96df7b9d664c576"/>
        <w:id w:val="7356"/>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t>其中重要的已逾期未偿还的短期借款情况如下：</w:t>
      </w:r>
    </w:p>
    <w:sdt>
      <w:sdtPr>
        <w:alias w:val="是否适用：其中重要的已逾期未偿还的短期借款情况[双击切换]"/>
        <w:tag w:val="_GBC_7c9437a678604c0382802a3e97f4d126"/>
        <w:id w:val="7357"/>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rPr>
          <w:szCs w:val="21"/>
        </w:rPr>
      </w:pPr>
      <w:r>
        <w:rPr>
          <w:rFonts w:hint="eastAsia"/>
          <w:szCs w:val="21"/>
        </w:rPr>
        <w:t>其他说明：</w:t>
      </w:r>
    </w:p>
    <w:sdt>
      <w:sdtPr>
        <w:rPr>
          <w:szCs w:val="21"/>
        </w:rPr>
        <w:alias w:val="是否适用：短期借款的说明[双击切换]"/>
        <w:tag w:val="_GBC_c52256f82238457bbb4708bc99652730"/>
        <w:id w:val="7358"/>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4"/>
        <w:numPr>
          <w:ilvl w:val="0"/>
          <w:numId w:val="62"/>
        </w:numPr>
        <w:tabs>
          <w:tab w:val="left" w:pos="504"/>
        </w:tabs>
        <w:rPr>
          <w:szCs w:val="21"/>
        </w:rPr>
      </w:pPr>
      <w:bookmarkStart w:id="322" w:name="_Hlk533422954"/>
      <w:bookmarkStart w:id="323" w:name="_Hlk533670147"/>
      <w:r>
        <w:rPr>
          <w:rFonts w:hint="eastAsia"/>
          <w:szCs w:val="21"/>
        </w:rPr>
        <w:t>交易性金融负债</w:t>
      </w:r>
    </w:p>
    <w:sdt>
      <w:sdtPr>
        <w:rPr>
          <w:szCs w:val="21"/>
        </w:rPr>
        <w:alias w:val="是否适用：交易性金融负债[双击切换]"/>
        <w:tag w:val="_GBC_c7e98597070f45a4a30160e35e818445"/>
        <w:id w:val="7359"/>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r>
        <w:rPr>
          <w:rFonts w:hint="eastAsia"/>
        </w:rPr>
        <w:t>其他</w:t>
      </w:r>
      <w:r>
        <w:t>说明</w:t>
      </w:r>
      <w:r>
        <w:rPr>
          <w:rFonts w:hint="eastAsia"/>
        </w:rPr>
        <w:t>：</w:t>
      </w:r>
    </w:p>
    <w:sdt>
      <w:sdtPr>
        <w:rPr>
          <w:szCs w:val="21"/>
        </w:rPr>
        <w:alias w:val="是否适用：交易性金融负债的说明[双击切换]"/>
        <w:tag w:val="_GBC_995f4c24d1994336b676a94c12f11d69"/>
        <w:id w:val="7360"/>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bookmarkEnd w:id="322"/>
    <w:bookmarkEnd w:id="323"/>
    <w:p>
      <w:pPr>
        <w:pStyle w:val="4"/>
        <w:numPr>
          <w:ilvl w:val="0"/>
          <w:numId w:val="62"/>
        </w:numPr>
        <w:tabs>
          <w:tab w:val="left" w:pos="504"/>
        </w:tabs>
        <w:rPr>
          <w:szCs w:val="21"/>
        </w:rPr>
      </w:pPr>
      <w:r>
        <w:rPr>
          <w:rFonts w:hint="eastAsia"/>
          <w:szCs w:val="21"/>
        </w:rPr>
        <w:t>衍生</w:t>
      </w:r>
      <w:r>
        <w:rPr>
          <w:rFonts w:hint="eastAsia"/>
        </w:rPr>
        <w:t>金融</w:t>
      </w:r>
      <w:r>
        <w:rPr>
          <w:rFonts w:hint="eastAsia"/>
          <w:szCs w:val="21"/>
        </w:rPr>
        <w:t>负债</w:t>
      </w:r>
    </w:p>
    <w:p>
      <w:pPr>
        <w:rPr>
          <w:szCs w:val="21"/>
        </w:rPr>
      </w:pPr>
      <w:sdt>
        <w:sdtPr>
          <w:rPr>
            <w:szCs w:val="21"/>
          </w:rPr>
          <w:alias w:val="是否适用：衍生金融负债[双击切换]"/>
          <w:tag w:val="_GBC_9a70de9cca174edeb1bce62f4a47d15c"/>
          <w:id w:val="7361"/>
          <w:placeholder>
            <w:docPart w:val="GBC22222222222222222222222222222"/>
          </w:placeholder>
        </w:sdtPr>
        <w:sdtEndPr>
          <w:rPr>
            <w:szCs w:val="21"/>
          </w:rPr>
        </w:sdtEndPr>
        <w:sdtContent>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sdtContent>
      </w:sdt>
    </w:p>
    <w:p>
      <w:pPr>
        <w:rPr>
          <w:szCs w:val="21"/>
        </w:rPr>
      </w:pPr>
    </w:p>
    <w:p>
      <w:pPr>
        <w:pStyle w:val="4"/>
        <w:numPr>
          <w:ilvl w:val="0"/>
          <w:numId w:val="62"/>
        </w:numPr>
        <w:tabs>
          <w:tab w:val="left" w:pos="504"/>
        </w:tabs>
        <w:rPr>
          <w:szCs w:val="21"/>
        </w:rPr>
      </w:pPr>
      <w:r>
        <w:rPr>
          <w:rFonts w:hint="eastAsia"/>
        </w:rPr>
        <w:t>应付票据</w:t>
      </w:r>
    </w:p>
    <w:p>
      <w:pPr>
        <w:pStyle w:val="5"/>
        <w:numPr>
          <w:ilvl w:val="0"/>
          <w:numId w:val="88"/>
        </w:numPr>
        <w:ind w:left="426" w:hanging="426"/>
        <w:rPr>
          <w:rFonts w:hint="eastAsia"/>
        </w:rPr>
      </w:pPr>
      <w:r>
        <w:rPr>
          <w:rFonts w:hint="eastAsia"/>
        </w:rPr>
        <w:t>应付票据列示</w:t>
      </w:r>
    </w:p>
    <w:sdt>
      <w:sdtPr>
        <w:alias w:val="是否适用：应付票据[双击切换]"/>
        <w:tag w:val="_GBC_c0116f9cd6f34dcfa483a1f112dac85a"/>
        <w:id w:val="7362"/>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bookmarkStart w:id="324" w:name="_Hlk24103817"/>
      <w:bookmarkEnd w:id="324"/>
    </w:p>
    <w:sdt>
      <w:sdtPr>
        <w:tag w:val="_PLD_803a5a61b71c4998bc6e913dece1991d"/>
        <w:id w:val="7363"/>
      </w:sdtPr>
      <w:sdtContent>
        <w:p>
          <w:pPr>
            <w:pStyle w:val="4"/>
            <w:numPr>
              <w:ilvl w:val="0"/>
              <w:numId w:val="62"/>
            </w:numPr>
            <w:tabs>
              <w:tab w:val="left" w:pos="504"/>
            </w:tabs>
          </w:pPr>
          <w:r>
            <w:rPr>
              <w:rFonts w:hint="eastAsia"/>
            </w:rPr>
            <w:t>应付账款</w:t>
          </w:r>
        </w:p>
      </w:sdtContent>
    </w:sdt>
    <w:p>
      <w:pPr>
        <w:pStyle w:val="5"/>
        <w:numPr>
          <w:ilvl w:val="0"/>
          <w:numId w:val="89"/>
        </w:numPr>
        <w:ind w:left="426" w:hanging="426"/>
        <w:rPr>
          <w:rFonts w:hint="eastAsia"/>
        </w:rPr>
      </w:pPr>
      <w:r>
        <w:rPr>
          <w:rFonts w:hint="eastAsia"/>
        </w:rPr>
        <w:t>应付账款列示</w:t>
      </w:r>
    </w:p>
    <w:sdt>
      <w:sdtPr>
        <w:alias w:val="是否适用：应付账款列示[双击切换]"/>
        <w:tag w:val="_GBC_dfb190a9e762454c9f89eb6be64b6eae"/>
        <w:id w:val="736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应付账款情况"/>
          <w:tag w:val="_GBC_c14fe17937b74139aa7e100941fb21e9"/>
          <w:id w:val="736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应付账款情况"/>
          <w:tag w:val="_GBC_946604b552a44d368399e078594b3226"/>
          <w:id w:val="736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1"/>
        <w:gridCol w:w="2866"/>
        <w:gridCol w:w="3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1" w:type="dxa"/>
            <w:vAlign w:val="center"/>
          </w:tcPr>
          <w:sdt>
            <w:sdtPr>
              <w:tag w:val="_PLD_8270d78e97cf4a1cb18154c5c5dafe58"/>
              <w:id w:val="7367"/>
            </w:sdtPr>
            <w:sdtContent>
              <w:p>
                <w:pPr>
                  <w:jc w:val="center"/>
                  <w:rPr>
                    <w:szCs w:val="21"/>
                  </w:rPr>
                </w:pPr>
                <w:r>
                  <w:rPr>
                    <w:rFonts w:hint="eastAsia"/>
                    <w:szCs w:val="21"/>
                  </w:rPr>
                  <w:t>项目</w:t>
                </w:r>
              </w:p>
            </w:sdtContent>
          </w:sdt>
        </w:tc>
        <w:tc>
          <w:tcPr>
            <w:tcW w:w="2866" w:type="dxa"/>
            <w:vAlign w:val="center"/>
          </w:tcPr>
          <w:sdt>
            <w:sdtPr>
              <w:tag w:val="_PLD_56127cd5754c44aaacae0a1320139a7a"/>
              <w:id w:val="7368"/>
            </w:sdtPr>
            <w:sdtContent>
              <w:p>
                <w:pPr>
                  <w:jc w:val="center"/>
                  <w:rPr>
                    <w:szCs w:val="21"/>
                  </w:rPr>
                </w:pPr>
                <w:r>
                  <w:rPr>
                    <w:rFonts w:hint="eastAsia"/>
                    <w:szCs w:val="21"/>
                  </w:rPr>
                  <w:t>期末余额</w:t>
                </w:r>
              </w:p>
            </w:sdtContent>
          </w:sdt>
        </w:tc>
        <w:tc>
          <w:tcPr>
            <w:tcW w:w="3340" w:type="dxa"/>
            <w:vAlign w:val="center"/>
          </w:tcPr>
          <w:sdt>
            <w:sdtPr>
              <w:tag w:val="_PLD_27c6d2ca479446539fe00ab23ee1dc13"/>
              <w:id w:val="7369"/>
            </w:sdtPr>
            <w:sdtContent>
              <w:p>
                <w:pPr>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1" w:type="dxa"/>
            <w:vAlign w:val="center"/>
          </w:tcPr>
          <w:p>
            <w:pPr>
              <w:rPr>
                <w:szCs w:val="21"/>
              </w:rPr>
            </w:pPr>
            <w:r>
              <w:rPr>
                <w:rFonts w:hint="eastAsia"/>
                <w:color w:val="auto"/>
                <w:szCs w:val="21"/>
              </w:rPr>
              <w:t>1年以内（含1年）</w:t>
            </w:r>
          </w:p>
        </w:tc>
        <w:tc>
          <w:tcPr>
            <w:tcW w:w="2866" w:type="dxa"/>
            <w:vAlign w:val="center"/>
          </w:tcPr>
          <w:p>
            <w:pPr>
              <w:jc w:val="right"/>
              <w:rPr>
                <w:szCs w:val="21"/>
              </w:rPr>
            </w:pPr>
            <w:r>
              <w:rPr>
                <w:rFonts w:hint="eastAsia"/>
                <w:color w:val="auto"/>
                <w:szCs w:val="21"/>
              </w:rPr>
              <w:t>261,768,624.12</w:t>
            </w:r>
          </w:p>
        </w:tc>
        <w:tc>
          <w:tcPr>
            <w:tcW w:w="3340" w:type="dxa"/>
            <w:vAlign w:val="center"/>
          </w:tcPr>
          <w:p>
            <w:pPr>
              <w:jc w:val="right"/>
              <w:rPr>
                <w:szCs w:val="21"/>
              </w:rPr>
            </w:pPr>
            <w:r>
              <w:rPr>
                <w:rFonts w:hint="eastAsia"/>
                <w:color w:val="auto"/>
                <w:szCs w:val="21"/>
              </w:rPr>
              <w:t>232,552,057.04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1" w:type="dxa"/>
            <w:vAlign w:val="center"/>
          </w:tcPr>
          <w:p>
            <w:pPr>
              <w:rPr>
                <w:szCs w:val="21"/>
              </w:rPr>
            </w:pPr>
            <w:r>
              <w:rPr>
                <w:rFonts w:hint="eastAsia"/>
                <w:color w:val="auto"/>
                <w:szCs w:val="21"/>
              </w:rPr>
              <w:t>1年以上</w:t>
            </w:r>
          </w:p>
        </w:tc>
        <w:tc>
          <w:tcPr>
            <w:tcW w:w="2866" w:type="dxa"/>
            <w:vAlign w:val="center"/>
          </w:tcPr>
          <w:p>
            <w:pPr>
              <w:jc w:val="right"/>
              <w:rPr>
                <w:szCs w:val="21"/>
              </w:rPr>
            </w:pPr>
            <w:r>
              <w:rPr>
                <w:rFonts w:hint="eastAsia"/>
                <w:color w:val="auto"/>
                <w:szCs w:val="21"/>
              </w:rPr>
              <w:t>16,109,336.47</w:t>
            </w:r>
          </w:p>
        </w:tc>
        <w:tc>
          <w:tcPr>
            <w:tcW w:w="3340" w:type="dxa"/>
            <w:vAlign w:val="center"/>
          </w:tcPr>
          <w:p>
            <w:pPr>
              <w:jc w:val="right"/>
              <w:rPr>
                <w:szCs w:val="21"/>
              </w:rPr>
            </w:pPr>
            <w:r>
              <w:rPr>
                <w:rFonts w:hint="eastAsia"/>
                <w:color w:val="auto"/>
                <w:szCs w:val="21"/>
              </w:rPr>
              <w:t>24,563,141.79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1"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合计</w:t>
            </w:r>
          </w:p>
        </w:tc>
        <w:tc>
          <w:tcPr>
            <w:tcW w:w="2866" w:type="dxa"/>
            <w:vAlign w:val="center"/>
          </w:tcPr>
          <w:p>
            <w:pPr>
              <w:jc w:val="right"/>
              <w:rPr>
                <w:szCs w:val="21"/>
              </w:rPr>
            </w:pPr>
            <w:r>
              <w:rPr>
                <w:rFonts w:hint="eastAsia"/>
                <w:color w:val="auto"/>
              </w:rPr>
              <w:t>277,877,960.59</w:t>
            </w:r>
          </w:p>
        </w:tc>
        <w:tc>
          <w:tcPr>
            <w:tcW w:w="3340" w:type="dxa"/>
            <w:vAlign w:val="center"/>
          </w:tcPr>
          <w:p>
            <w:pPr>
              <w:jc w:val="right"/>
              <w:rPr>
                <w:szCs w:val="21"/>
              </w:rPr>
            </w:pPr>
            <w:r>
              <w:rPr>
                <w:rFonts w:hint="eastAsia"/>
                <w:color w:val="auto"/>
              </w:rPr>
              <w:t>257,115,198.83</w:t>
            </w:r>
          </w:p>
        </w:tc>
      </w:tr>
    </w:tbl>
    <w:p/>
    <w:p>
      <w:pPr>
        <w:pStyle w:val="5"/>
        <w:numPr>
          <w:ilvl w:val="0"/>
          <w:numId w:val="89"/>
        </w:numPr>
        <w:ind w:left="426" w:hanging="426"/>
        <w:rPr>
          <w:rFonts w:hint="eastAsia"/>
        </w:rPr>
      </w:pPr>
      <w:r>
        <w:rPr>
          <w:rFonts w:hint="eastAsia"/>
        </w:rPr>
        <w:t>账龄超过</w:t>
      </w:r>
      <w:r>
        <w:t>1年</w:t>
      </w:r>
      <w:r>
        <w:rPr>
          <w:rFonts w:hint="eastAsia"/>
        </w:rPr>
        <w:t>或逾期</w:t>
      </w:r>
      <w:r>
        <w:t>的重要应付账款</w:t>
      </w:r>
    </w:p>
    <w:sdt>
      <w:sdtPr>
        <w:alias w:val="是否适用：账龄超过1年的重要应付账款[双击切换]"/>
        <w:tag w:val="_GBC_0eff470980a54dc3a4ea5996ab7721ce"/>
        <w:id w:val="737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财务附注：重要的账龄超过1年的应付账款"/>
          <w:tag w:val="_GBC_400afb873eea4650b57e850422f00616"/>
          <w:id w:val="737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财务附注：重要的账龄超过1年的应付账款"/>
          <w:tag w:val="_GBC_e8618ecbab754a8a9213d0e97303efbc"/>
          <w:id w:val="737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8"/>
        <w:gridCol w:w="2850"/>
        <w:gridCol w:w="4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2078" w:type="dxa"/>
            <w:vAlign w:val="center"/>
          </w:tcPr>
          <w:sdt>
            <w:sdtPr>
              <w:tag w:val="_PLD_fdad43e863d14167af7eeaf4873d2a72"/>
              <w:id w:val="7373"/>
            </w:sdtPr>
            <w:sdtContent>
              <w:p>
                <w:pPr>
                  <w:jc w:val="center"/>
                  <w:rPr>
                    <w:szCs w:val="21"/>
                  </w:rPr>
                </w:pPr>
                <w:r>
                  <w:rPr>
                    <w:rFonts w:hint="eastAsia"/>
                    <w:szCs w:val="21"/>
                  </w:rPr>
                  <w:t>项目</w:t>
                </w:r>
              </w:p>
            </w:sdtContent>
          </w:sdt>
        </w:tc>
        <w:tc>
          <w:tcPr>
            <w:tcW w:w="2850" w:type="dxa"/>
            <w:vAlign w:val="center"/>
          </w:tcPr>
          <w:sdt>
            <w:sdtPr>
              <w:tag w:val="_PLD_cd3e87440a294e4685cb5994a6fce19b"/>
              <w:id w:val="7374"/>
            </w:sdtPr>
            <w:sdtContent>
              <w:p>
                <w:pPr>
                  <w:jc w:val="center"/>
                  <w:rPr>
                    <w:szCs w:val="21"/>
                  </w:rPr>
                </w:pPr>
                <w:r>
                  <w:rPr>
                    <w:rFonts w:hint="eastAsia"/>
                    <w:szCs w:val="21"/>
                  </w:rPr>
                  <w:t>期末余额</w:t>
                </w:r>
              </w:p>
            </w:sdtContent>
          </w:sdt>
        </w:tc>
        <w:tc>
          <w:tcPr>
            <w:tcW w:w="4119" w:type="dxa"/>
            <w:vAlign w:val="center"/>
          </w:tcPr>
          <w:sdt>
            <w:sdtPr>
              <w:tag w:val="_PLD_3948dc08dbd84dbd875d1bd042c28c03"/>
              <w:id w:val="7375"/>
            </w:sdtPr>
            <w:sdtContent>
              <w:p>
                <w:pPr>
                  <w:jc w:val="center"/>
                  <w:rPr>
                    <w:szCs w:val="21"/>
                  </w:rPr>
                </w:pPr>
                <w:r>
                  <w:rPr>
                    <w:rFonts w:hint="eastAsia"/>
                    <w:szCs w:val="21"/>
                  </w:rPr>
                  <w:t>未偿还或结转的原因</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tcBorders>
              <w:bottom w:val="single" w:color="auto" w:sz="4" w:space="0"/>
            </w:tcBorders>
            <w:vAlign w:val="center"/>
          </w:tcPr>
          <w:p>
            <w:pPr>
              <w:rPr>
                <w:szCs w:val="21"/>
              </w:rPr>
            </w:pPr>
            <w:r>
              <w:rPr>
                <w:rFonts w:hint="eastAsia"/>
                <w:color w:val="auto"/>
              </w:rPr>
              <w:t>单位1</w:t>
            </w:r>
          </w:p>
        </w:tc>
        <w:tc>
          <w:tcPr>
            <w:tcW w:w="2850" w:type="dxa"/>
            <w:vAlign w:val="center"/>
          </w:tcPr>
          <w:p>
            <w:pPr>
              <w:jc w:val="right"/>
              <w:rPr>
                <w:szCs w:val="21"/>
              </w:rPr>
            </w:pPr>
            <w:r>
              <w:rPr>
                <w:rFonts w:hint="eastAsia"/>
                <w:color w:val="auto"/>
              </w:rPr>
              <w:t>3,020,822.94</w:t>
            </w:r>
          </w:p>
        </w:tc>
        <w:tc>
          <w:tcPr>
            <w:tcW w:w="4119" w:type="dxa"/>
            <w:vAlign w:val="center"/>
          </w:tcPr>
          <w:p>
            <w:pPr>
              <w:rPr>
                <w:szCs w:val="21"/>
              </w:rPr>
            </w:pPr>
            <w:r>
              <w:rPr>
                <w:rFonts w:hint="eastAsia"/>
                <w:color w:val="auto"/>
              </w:rPr>
              <w:t>安徽芳草日化股份有限公司2006年改制成安徽两面针•芳草日化有限公司时遗留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tcBorders>
              <w:bottom w:val="single" w:color="auto" w:sz="4" w:space="0"/>
            </w:tcBorders>
            <w:vAlign w:val="center"/>
          </w:tcPr>
          <w:p>
            <w:pPr>
              <w:rPr>
                <w:szCs w:val="21"/>
              </w:rPr>
            </w:pPr>
            <w:r>
              <w:rPr>
                <w:rFonts w:hint="eastAsia"/>
                <w:color w:val="auto"/>
              </w:rPr>
              <w:t>单位2</w:t>
            </w:r>
          </w:p>
        </w:tc>
        <w:tc>
          <w:tcPr>
            <w:tcW w:w="2850" w:type="dxa"/>
            <w:vAlign w:val="center"/>
          </w:tcPr>
          <w:p>
            <w:pPr>
              <w:jc w:val="right"/>
              <w:rPr>
                <w:szCs w:val="21"/>
              </w:rPr>
            </w:pPr>
            <w:r>
              <w:rPr>
                <w:rFonts w:hint="eastAsia"/>
                <w:color w:val="auto"/>
              </w:rPr>
              <w:t>2,498,215.13</w:t>
            </w:r>
          </w:p>
        </w:tc>
        <w:tc>
          <w:tcPr>
            <w:tcW w:w="4119" w:type="dxa"/>
            <w:vAlign w:val="center"/>
          </w:tcPr>
          <w:p>
            <w:pPr>
              <w:rPr>
                <w:szCs w:val="21"/>
              </w:rPr>
            </w:pPr>
            <w:r>
              <w:rPr>
                <w:rFonts w:hint="eastAsia"/>
                <w:color w:val="auto"/>
              </w:rPr>
              <w:t>2010年及2010年前发生的购包装盒欠款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vAlign w:val="center"/>
          </w:tcPr>
          <w:p>
            <w:pPr>
              <w:jc w:val="center"/>
              <w:rPr>
                <w:szCs w:val="21"/>
              </w:rPr>
            </w:pPr>
            <w:r>
              <w:rPr>
                <w:rFonts w:hint="eastAsia"/>
                <w:szCs w:val="21"/>
              </w:rPr>
              <w:t>合计</w:t>
            </w:r>
          </w:p>
        </w:tc>
        <w:tc>
          <w:tcPr>
            <w:tcW w:w="2850" w:type="dxa"/>
            <w:vAlign w:val="center"/>
          </w:tcPr>
          <w:p>
            <w:pPr>
              <w:jc w:val="right"/>
              <w:rPr>
                <w:szCs w:val="21"/>
              </w:rPr>
            </w:pPr>
            <w:r>
              <w:rPr>
                <w:rFonts w:hint="eastAsia"/>
                <w:color w:val="auto"/>
              </w:rPr>
              <w:t>5,519,038.07</w:t>
            </w:r>
          </w:p>
        </w:tc>
        <w:tc>
          <w:tcPr>
            <w:tcW w:w="4119" w:type="dxa"/>
            <w:vAlign w:val="center"/>
          </w:tcPr>
          <w:p>
            <w:pPr>
              <w:jc w:val="center"/>
              <w:rPr>
                <w:szCs w:val="21"/>
              </w:rPr>
            </w:pPr>
            <w:r>
              <w:rPr>
                <w:rFonts w:hint="eastAsia"/>
                <w:szCs w:val="21"/>
              </w:rPr>
              <w:t>/</w:t>
            </w:r>
          </w:p>
        </w:tc>
      </w:tr>
    </w:tbl>
    <w:p/>
    <w:p>
      <w:pPr>
        <w:rPr>
          <w:szCs w:val="21"/>
        </w:rPr>
      </w:pPr>
      <w:r>
        <w:rPr>
          <w:rFonts w:hint="eastAsia"/>
        </w:rPr>
        <w:t>其他</w:t>
      </w:r>
      <w:r>
        <w:rPr>
          <w:rFonts w:hint="eastAsia"/>
          <w:szCs w:val="21"/>
        </w:rPr>
        <w:t>说明：</w:t>
      </w:r>
    </w:p>
    <w:sdt>
      <w:sdtPr>
        <w:rPr>
          <w:szCs w:val="21"/>
        </w:rPr>
        <w:alias w:val="是否适用：应付账款的其他说明[双击切换]"/>
        <w:tag w:val="_GBC_5dc0587a83084b71961a20293aaa95fb"/>
        <w:id w:val="7376"/>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snapToGrid w:val="0"/>
        <w:spacing w:line="240" w:lineRule="atLeast"/>
        <w:rPr>
          <w:szCs w:val="21"/>
        </w:rPr>
      </w:pPr>
    </w:p>
    <w:p>
      <w:pPr>
        <w:pStyle w:val="4"/>
        <w:numPr>
          <w:ilvl w:val="0"/>
          <w:numId w:val="62"/>
        </w:numPr>
        <w:tabs>
          <w:tab w:val="left" w:pos="504"/>
        </w:tabs>
        <w:rPr>
          <w:rFonts w:hint="eastAsia" w:ascii="宋体" w:hAnsi="宋体"/>
          <w:szCs w:val="21"/>
        </w:rPr>
      </w:pPr>
      <w:r>
        <w:rPr>
          <w:rFonts w:hint="eastAsia" w:ascii="宋体" w:hAnsi="宋体"/>
          <w:szCs w:val="21"/>
        </w:rPr>
        <w:t>预收款项</w:t>
      </w:r>
    </w:p>
    <w:p>
      <w:pPr>
        <w:pStyle w:val="5"/>
        <w:numPr>
          <w:ilvl w:val="0"/>
          <w:numId w:val="90"/>
        </w:numPr>
        <w:rPr>
          <w:rFonts w:hint="eastAsia"/>
        </w:rPr>
      </w:pPr>
      <w:r>
        <w:rPr>
          <w:rFonts w:hint="eastAsia"/>
        </w:rPr>
        <w:t>预收款项列示</w:t>
      </w:r>
    </w:p>
    <w:sdt>
      <w:sdtPr>
        <w:alias w:val="是否适用：预收账款项列示[双击切换]"/>
        <w:tag w:val="_GBC_87fabe8d5b22400ca19233d7f82c54fc"/>
        <w:id w:val="7377"/>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
        <w:numPr>
          <w:ilvl w:val="0"/>
          <w:numId w:val="90"/>
        </w:numPr>
        <w:rPr>
          <w:rFonts w:hint="eastAsia"/>
        </w:rPr>
      </w:pPr>
      <w:r>
        <w:rPr>
          <w:rFonts w:hint="eastAsia"/>
        </w:rPr>
        <w:t>账龄超过</w:t>
      </w:r>
      <w:r>
        <w:t>1年的重要预收款项</w:t>
      </w:r>
    </w:p>
    <w:sdt>
      <w:sdtPr>
        <w:alias w:val="是否适用：账龄超过1年的重要预收款项[双击切换]"/>
        <w:tag w:val="_GBC_79146ea4ecd2426b824d2bcf21203a69"/>
        <w:id w:val="7378"/>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tabs>
          <w:tab w:val="left" w:pos="8280"/>
          <w:tab w:val="left" w:pos="9720"/>
        </w:tabs>
        <w:ind w:right="25" w:rightChars="12"/>
        <w:rPr>
          <w:rFonts w:cstheme="minorBidi"/>
          <w:szCs w:val="21"/>
        </w:rPr>
      </w:pPr>
    </w:p>
    <w:p>
      <w:pPr>
        <w:pStyle w:val="5"/>
        <w:numPr>
          <w:ilvl w:val="0"/>
          <w:numId w:val="90"/>
        </w:numPr>
        <w:ind w:left="450" w:hanging="450"/>
        <w:rPr>
          <w:rFonts w:hint="eastAsia"/>
        </w:rPr>
      </w:pPr>
      <w:r>
        <w:rPr>
          <w:rFonts w:hint="eastAsia"/>
        </w:rPr>
        <w:t>报告期内账面价值发生重大变动的金额和原因</w:t>
      </w:r>
    </w:p>
    <w:sdt>
      <w:sdtPr>
        <w:rPr>
          <w:szCs w:val="21"/>
        </w:rPr>
        <w:alias w:val="是否适用：预收款项账面价值发生重大变动的金额和原因?[双击切换]"/>
        <w:tag w:val="_GBC_080f20e9d1b64963a38dcdee1ed191a2"/>
        <w:id w:val="7379"/>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tabs>
          <w:tab w:val="left" w:pos="8280"/>
          <w:tab w:val="left" w:pos="9720"/>
        </w:tabs>
        <w:ind w:right="25" w:rightChars="12"/>
        <w:rPr>
          <w:szCs w:val="21"/>
        </w:rPr>
      </w:pPr>
    </w:p>
    <w:p>
      <w:r>
        <w:rPr>
          <w:rFonts w:hint="eastAsia"/>
        </w:rPr>
        <w:t>其他说明：</w:t>
      </w:r>
    </w:p>
    <w:sdt>
      <w:sdtPr>
        <w:alias w:val="是否适用：预收账款的其他说明[双击切换]"/>
        <w:tag w:val="_GBC_c0e961ba454e4e2cb91293bde731349d"/>
        <w:id w:val="738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rFonts w:cstheme="minorBidi"/>
          <w:color w:val="000000" w:themeColor="text1"/>
          <w:kern w:val="2"/>
          <w:szCs w:val="21"/>
          <w14:textFill>
            <w14:solidFill>
              <w14:schemeClr w14:val="tx1"/>
            </w14:solidFill>
          </w14:textFill>
        </w:rPr>
      </w:pPr>
    </w:p>
    <w:sdt>
      <w:sdtPr>
        <w:tag w:val="_PLD_7fd429effe934091953188ccc14ff07e"/>
        <w:id w:val="7381"/>
      </w:sdtPr>
      <w:sdtEndPr>
        <w:rPr>
          <w:rFonts w:ascii="Calibri" w:hAnsi="Calibri" w:cs="Times New Roman"/>
          <w:b/>
          <w:bCs/>
          <w:kern w:val="2"/>
        </w:rPr>
      </w:sdtEndPr>
      <w:sdtContent>
        <w:p>
          <w:pPr>
            <w:pStyle w:val="4"/>
            <w:numPr>
              <w:ilvl w:val="0"/>
              <w:numId w:val="62"/>
            </w:numPr>
            <w:tabs>
              <w:tab w:val="left" w:pos="504"/>
            </w:tabs>
            <w:rPr>
              <w:szCs w:val="21"/>
            </w:rPr>
          </w:pPr>
          <w:r>
            <w:rPr>
              <w:rFonts w:hint="eastAsia"/>
              <w:szCs w:val="21"/>
            </w:rPr>
            <w:t>合同负债</w:t>
          </w:r>
        </w:p>
      </w:sdtContent>
    </w:sdt>
    <w:p>
      <w:pPr>
        <w:pStyle w:val="5"/>
        <w:numPr>
          <w:ilvl w:val="0"/>
          <w:numId w:val="91"/>
        </w:numPr>
        <w:rPr>
          <w:rFonts w:hint="eastAsia"/>
        </w:rPr>
      </w:pPr>
      <w:r>
        <w:rPr>
          <w:rFonts w:hint="eastAsia"/>
        </w:rPr>
        <w:t>合同负债情况</w:t>
      </w:r>
    </w:p>
    <w:sdt>
      <w:sdtPr>
        <w:alias w:val="是否适用：合同负债情况[双击切换]"/>
        <w:tag w:val="_GBC_257112066c884c67acfede3a1536844a"/>
        <w:id w:val="7382"/>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ind w:left="360"/>
        <w:jc w:val="right"/>
      </w:pPr>
      <w:r>
        <w:rPr>
          <w:rFonts w:hint="eastAsia"/>
        </w:rPr>
        <w:t>单位：</w:t>
      </w:r>
      <w:sdt>
        <w:sdtPr>
          <w:rPr>
            <w:rFonts w:hint="eastAsia"/>
          </w:rPr>
          <w:alias w:val="单位：合同负债情况"/>
          <w:tag w:val="_GBC_ea58ca5e76b74f328a4691ca7c6cc941"/>
          <w:id w:val="738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合同负债情况"/>
          <w:tag w:val="_GBC_58f1908d1f4c48699237bf8c7f3604da"/>
          <w:id w:val="738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7"/>
        <w:gridCol w:w="3078"/>
        <w:gridCol w:w="3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7" w:type="dxa"/>
            <w:vAlign w:val="center"/>
          </w:tcPr>
          <w:sdt>
            <w:sdtPr>
              <w:tag w:val="_PLD_c331ae60cae44b02b2a16eccd02434b1"/>
              <w:id w:val="7385"/>
            </w:sdtPr>
            <w:sdtContent>
              <w:p>
                <w:pPr>
                  <w:jc w:val="center"/>
                  <w:rPr>
                    <w:szCs w:val="21"/>
                  </w:rPr>
                </w:pPr>
                <w:r>
                  <w:rPr>
                    <w:rFonts w:hint="eastAsia"/>
                    <w:szCs w:val="21"/>
                  </w:rPr>
                  <w:t>项目</w:t>
                </w:r>
              </w:p>
            </w:sdtContent>
          </w:sdt>
        </w:tc>
        <w:tc>
          <w:tcPr>
            <w:tcW w:w="3078" w:type="dxa"/>
            <w:vAlign w:val="center"/>
          </w:tcPr>
          <w:sdt>
            <w:sdtPr>
              <w:tag w:val="_PLD_1619b2dd861a497cbc814256ed0e2957"/>
              <w:id w:val="7386"/>
            </w:sdtPr>
            <w:sdtContent>
              <w:p>
                <w:pPr>
                  <w:autoSpaceDE w:val="0"/>
                  <w:autoSpaceDN w:val="0"/>
                  <w:adjustRightInd w:val="0"/>
                  <w:snapToGrid w:val="0"/>
                  <w:spacing w:line="240" w:lineRule="atLeast"/>
                  <w:jc w:val="center"/>
                  <w:rPr>
                    <w:szCs w:val="21"/>
                  </w:rPr>
                </w:pPr>
                <w:r>
                  <w:rPr>
                    <w:rFonts w:hint="eastAsia"/>
                    <w:szCs w:val="21"/>
                  </w:rPr>
                  <w:t>期末余额</w:t>
                </w:r>
              </w:p>
            </w:sdtContent>
          </w:sdt>
        </w:tc>
        <w:tc>
          <w:tcPr>
            <w:tcW w:w="3073" w:type="dxa"/>
            <w:vAlign w:val="center"/>
          </w:tcPr>
          <w:sdt>
            <w:sdtPr>
              <w:tag w:val="_PLD_6341013bed194ee78619c433ebd01fda"/>
              <w:id w:val="7387"/>
            </w:sdtPr>
            <w:sdtContent>
              <w:p>
                <w:pPr>
                  <w:autoSpaceDE w:val="0"/>
                  <w:autoSpaceDN w:val="0"/>
                  <w:adjustRightInd w:val="0"/>
                  <w:snapToGrid w:val="0"/>
                  <w:spacing w:line="240" w:lineRule="atLeast"/>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7" w:type="dxa"/>
            <w:vAlign w:val="center"/>
          </w:tcPr>
          <w:p>
            <w:pPr>
              <w:rPr>
                <w:szCs w:val="21"/>
              </w:rPr>
            </w:pPr>
            <w:r>
              <w:rPr>
                <w:rFonts w:hint="eastAsia"/>
                <w:color w:val="auto"/>
              </w:rPr>
              <w:t>预收销售款</w:t>
            </w:r>
          </w:p>
        </w:tc>
        <w:tc>
          <w:tcPr>
            <w:tcW w:w="3078" w:type="dxa"/>
            <w:vAlign w:val="center"/>
          </w:tcPr>
          <w:p>
            <w:pPr>
              <w:jc w:val="right"/>
              <w:rPr>
                <w:szCs w:val="21"/>
              </w:rPr>
            </w:pPr>
            <w:r>
              <w:rPr>
                <w:rFonts w:hint="eastAsia"/>
                <w:color w:val="auto"/>
              </w:rPr>
              <w:t>31,648,995.68</w:t>
            </w:r>
          </w:p>
        </w:tc>
        <w:tc>
          <w:tcPr>
            <w:tcW w:w="3073" w:type="dxa"/>
            <w:vAlign w:val="center"/>
          </w:tcPr>
          <w:p>
            <w:pPr>
              <w:jc w:val="right"/>
              <w:rPr>
                <w:szCs w:val="21"/>
              </w:rPr>
            </w:pPr>
            <w:r>
              <w:rPr>
                <w:rFonts w:hint="eastAsia"/>
                <w:color w:val="auto"/>
              </w:rPr>
              <w:t>41,490,985.33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7" w:type="dxa"/>
            <w:vAlign w:val="center"/>
          </w:tcPr>
          <w:p>
            <w:pPr>
              <w:jc w:val="center"/>
              <w:rPr>
                <w:color w:val="000000"/>
                <w:szCs w:val="21"/>
              </w:rPr>
            </w:pPr>
            <w:r>
              <w:rPr>
                <w:rFonts w:hint="eastAsia"/>
                <w:color w:val="000000"/>
                <w:szCs w:val="21"/>
              </w:rPr>
              <w:t>合计</w:t>
            </w:r>
          </w:p>
        </w:tc>
        <w:tc>
          <w:tcPr>
            <w:tcW w:w="3078" w:type="dxa"/>
            <w:vAlign w:val="center"/>
          </w:tcPr>
          <w:p>
            <w:pPr>
              <w:jc w:val="right"/>
              <w:rPr>
                <w:szCs w:val="21"/>
              </w:rPr>
            </w:pPr>
            <w:r>
              <w:rPr>
                <w:rFonts w:hint="eastAsia"/>
                <w:color w:val="auto"/>
              </w:rPr>
              <w:t>31,648,995.68</w:t>
            </w:r>
          </w:p>
        </w:tc>
        <w:tc>
          <w:tcPr>
            <w:tcW w:w="3073" w:type="dxa"/>
            <w:vAlign w:val="center"/>
          </w:tcPr>
          <w:p>
            <w:pPr>
              <w:jc w:val="right"/>
              <w:rPr>
                <w:szCs w:val="21"/>
              </w:rPr>
            </w:pPr>
            <w:r>
              <w:rPr>
                <w:rFonts w:hint="eastAsia"/>
                <w:color w:val="auto"/>
              </w:rPr>
              <w:t>41,490,985.33</w:t>
            </w:r>
          </w:p>
        </w:tc>
      </w:tr>
    </w:tbl>
    <w:p/>
    <w:p>
      <w:pPr>
        <w:pStyle w:val="5"/>
        <w:numPr>
          <w:ilvl w:val="0"/>
          <w:numId w:val="91"/>
        </w:numPr>
        <w:ind w:left="450" w:hanging="450"/>
        <w:rPr>
          <w:rFonts w:hint="eastAsia"/>
        </w:rPr>
      </w:pPr>
      <w:r>
        <w:rPr>
          <w:rFonts w:hint="eastAsia"/>
        </w:rPr>
        <w:t>账龄超过</w:t>
      </w:r>
      <w:r>
        <w:t>1年的重要合同负债</w:t>
      </w:r>
    </w:p>
    <w:sdt>
      <w:sdtPr>
        <w:alias w:val="是否适用：账龄超过1年的重要合同负债明细[双击切换]"/>
        <w:tag w:val="_GBC_743f27908aba47b4a5755e98b31475ae"/>
        <w:id w:val="7388"/>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
        <w:numPr>
          <w:ilvl w:val="0"/>
          <w:numId w:val="91"/>
        </w:numPr>
        <w:rPr>
          <w:rFonts w:hint="eastAsia"/>
        </w:rPr>
      </w:pPr>
      <w:r>
        <w:rPr>
          <w:rFonts w:hint="eastAsia"/>
        </w:rPr>
        <w:t>报告期内账面价值发生重大变动的金额和原因</w:t>
      </w:r>
    </w:p>
    <w:sdt>
      <w:sdtPr>
        <w:rPr>
          <w:szCs w:val="21"/>
        </w:rPr>
        <w:alias w:val="是否适用：合同负债账面价值发生重大变动[双击切换]"/>
        <w:tag w:val="_GBC_267fd365085f4836b846799edc8c3765"/>
        <w:id w:val="7389"/>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rPr>
          <w:szCs w:val="21"/>
        </w:rPr>
      </w:pPr>
      <w:r>
        <w:rPr>
          <w:rFonts w:hint="eastAsia"/>
          <w:szCs w:val="21"/>
        </w:rPr>
        <w:t>其他说明：</w:t>
      </w:r>
    </w:p>
    <w:sdt>
      <w:sdtPr>
        <w:rPr>
          <w:szCs w:val="21"/>
        </w:rPr>
        <w:alias w:val="是否适用：合同负债其他说明[双击切换]"/>
        <w:tag w:val="_GBC_1c99003b181f47ebb73e6452f4bfa446"/>
        <w:id w:val="7390"/>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Pr>
        <w:pStyle w:val="4"/>
        <w:numPr>
          <w:ilvl w:val="0"/>
          <w:numId w:val="62"/>
        </w:numPr>
        <w:tabs>
          <w:tab w:val="left" w:pos="504"/>
        </w:tabs>
        <w:rPr>
          <w:rFonts w:hint="eastAsia" w:ascii="宋体" w:hAnsi="宋体"/>
          <w:szCs w:val="21"/>
        </w:rPr>
      </w:pPr>
      <w:r>
        <w:rPr>
          <w:rFonts w:hint="eastAsia" w:ascii="宋体" w:hAnsi="宋体"/>
          <w:szCs w:val="21"/>
        </w:rPr>
        <w:t>应付职工薪酬</w:t>
      </w:r>
    </w:p>
    <w:p>
      <w:pPr>
        <w:pStyle w:val="5"/>
        <w:numPr>
          <w:ilvl w:val="0"/>
          <w:numId w:val="92"/>
        </w:numPr>
        <w:rPr>
          <w:rFonts w:hint="eastAsia"/>
        </w:rPr>
      </w:pPr>
      <w:r>
        <w:rPr>
          <w:rFonts w:hint="eastAsia"/>
        </w:rPr>
        <w:t>应付职工薪酬列示</w:t>
      </w:r>
    </w:p>
    <w:sdt>
      <w:sdtPr>
        <w:alias w:val="是否适用：应付职工薪酬列示[双击切换]"/>
        <w:tag w:val="_GBC_215b41e091df4b2bbb2009fd3c8040b5"/>
        <w:id w:val="7391"/>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财务附注：应付职工薪酬"/>
          <w:tag w:val="_GBC_6889c0e435324d63b7c01ed595a8e140"/>
          <w:id w:val="739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财务附注：应付职工薪酬"/>
          <w:tag w:val="_GBC_64bcd9de14a14550b941cbdaf7bdc974"/>
          <w:id w:val="73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0"/>
        <w:gridCol w:w="1610"/>
        <w:gridCol w:w="1607"/>
        <w:gridCol w:w="1610"/>
        <w:gridCol w:w="1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00" w:type="dxa"/>
            <w:vAlign w:val="center"/>
          </w:tcPr>
          <w:sdt>
            <w:sdtPr>
              <w:tag w:val="_PLD_4761dc2d96c64c3fb5d407cdbec097a2"/>
              <w:id w:val="7394"/>
            </w:sdtPr>
            <w:sdtContent>
              <w:p>
                <w:pPr>
                  <w:jc w:val="center"/>
                </w:pPr>
                <w:r>
                  <w:rPr>
                    <w:rFonts w:hint="eastAsia"/>
                  </w:rPr>
                  <w:t>项目</w:t>
                </w:r>
              </w:p>
            </w:sdtContent>
          </w:sdt>
        </w:tc>
        <w:tc>
          <w:tcPr>
            <w:tcW w:w="1610" w:type="dxa"/>
            <w:vAlign w:val="center"/>
          </w:tcPr>
          <w:sdt>
            <w:sdtPr>
              <w:tag w:val="_PLD_f666739d3c0f4f9891bd8f4974d101ec"/>
              <w:id w:val="7395"/>
            </w:sdtPr>
            <w:sdtContent>
              <w:p>
                <w:pPr>
                  <w:jc w:val="center"/>
                </w:pPr>
                <w:r>
                  <w:rPr>
                    <w:rFonts w:hint="eastAsia"/>
                  </w:rPr>
                  <w:t>期初余额</w:t>
                </w:r>
              </w:p>
            </w:sdtContent>
          </w:sdt>
        </w:tc>
        <w:tc>
          <w:tcPr>
            <w:tcW w:w="1607" w:type="dxa"/>
            <w:vAlign w:val="center"/>
          </w:tcPr>
          <w:sdt>
            <w:sdtPr>
              <w:tag w:val="_PLD_cc701d3a5a44484d862c996437df1e7d"/>
              <w:id w:val="7396"/>
            </w:sdtPr>
            <w:sdtContent>
              <w:p>
                <w:pPr>
                  <w:jc w:val="center"/>
                </w:pPr>
                <w:r>
                  <w:rPr>
                    <w:rFonts w:hint="eastAsia"/>
                  </w:rPr>
                  <w:t>本期增加</w:t>
                </w:r>
              </w:p>
            </w:sdtContent>
          </w:sdt>
        </w:tc>
        <w:tc>
          <w:tcPr>
            <w:tcW w:w="1610" w:type="dxa"/>
            <w:vAlign w:val="center"/>
          </w:tcPr>
          <w:sdt>
            <w:sdtPr>
              <w:tag w:val="_PLD_0e8f833fca684ce592b0cba6d04c75ef"/>
              <w:id w:val="7397"/>
            </w:sdtPr>
            <w:sdtContent>
              <w:p>
                <w:pPr>
                  <w:jc w:val="center"/>
                </w:pPr>
                <w:r>
                  <w:rPr>
                    <w:rFonts w:hint="eastAsia"/>
                  </w:rPr>
                  <w:t>本期减少</w:t>
                </w:r>
              </w:p>
            </w:sdtContent>
          </w:sdt>
        </w:tc>
        <w:tc>
          <w:tcPr>
            <w:tcW w:w="1619" w:type="dxa"/>
            <w:vAlign w:val="center"/>
          </w:tcPr>
          <w:sdt>
            <w:sdtPr>
              <w:tag w:val="_PLD_c39a265e94994f0480d13abd59d3eb39"/>
              <w:id w:val="7398"/>
            </w:sdtPr>
            <w:sdtContent>
              <w:p>
                <w:pPr>
                  <w:jc w:val="center"/>
                </w:pPr>
                <w:r>
                  <w:rPr>
                    <w:rFonts w:hint="eastAsia"/>
                  </w:rPr>
                  <w:t>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0" w:type="dxa"/>
            <w:vAlign w:val="center"/>
          </w:tcPr>
          <w:p>
            <w:r>
              <w:rPr>
                <w:rFonts w:hint="eastAsia"/>
              </w:rPr>
              <w:t>一、短期薪酬</w:t>
            </w:r>
          </w:p>
        </w:tc>
        <w:tc>
          <w:tcPr>
            <w:tcW w:w="1610" w:type="dxa"/>
            <w:vAlign w:val="center"/>
          </w:tcPr>
          <w:p>
            <w:pPr>
              <w:jc w:val="right"/>
            </w:pPr>
            <w:r>
              <w:rPr>
                <w:rFonts w:hint="eastAsia"/>
                <w:color w:val="auto"/>
              </w:rPr>
              <w:t>3,572,707.54</w:t>
            </w:r>
          </w:p>
        </w:tc>
        <w:tc>
          <w:tcPr>
            <w:tcW w:w="1607" w:type="dxa"/>
            <w:vAlign w:val="center"/>
          </w:tcPr>
          <w:p>
            <w:pPr>
              <w:jc w:val="right"/>
              <w:rPr>
                <w:highlight w:val="none"/>
              </w:rPr>
            </w:pPr>
            <w:r>
              <w:rPr>
                <w:rFonts w:hint="eastAsia"/>
                <w:highlight w:val="none"/>
              </w:rPr>
              <w:t>163,834,451.39</w:t>
            </w:r>
          </w:p>
        </w:tc>
        <w:tc>
          <w:tcPr>
            <w:tcW w:w="1610" w:type="dxa"/>
            <w:vAlign w:val="center"/>
          </w:tcPr>
          <w:p>
            <w:pPr>
              <w:jc w:val="right"/>
              <w:rPr>
                <w:highlight w:val="none"/>
              </w:rPr>
            </w:pPr>
            <w:r>
              <w:rPr>
                <w:rFonts w:hint="eastAsia"/>
                <w:highlight w:val="none"/>
              </w:rPr>
              <w:t>163,727,795.51</w:t>
            </w:r>
          </w:p>
        </w:tc>
        <w:tc>
          <w:tcPr>
            <w:tcW w:w="1619" w:type="dxa"/>
            <w:vAlign w:val="center"/>
          </w:tcPr>
          <w:p>
            <w:pPr>
              <w:jc w:val="right"/>
              <w:rPr>
                <w:rFonts w:hint="eastAsia"/>
              </w:rPr>
            </w:pPr>
            <w:r>
              <w:rPr>
                <w:rFonts w:hint="eastAsia"/>
                <w:color w:val="auto"/>
              </w:rPr>
              <w:t>3,679,363.42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0" w:type="dxa"/>
            <w:vAlign w:val="center"/>
          </w:tcPr>
          <w:p>
            <w:r>
              <w:rPr>
                <w:rFonts w:hint="eastAsia"/>
              </w:rPr>
              <w:t>二、离职后福利-设定提存计划</w:t>
            </w:r>
          </w:p>
        </w:tc>
        <w:tc>
          <w:tcPr>
            <w:tcW w:w="1610" w:type="dxa"/>
            <w:vAlign w:val="center"/>
          </w:tcPr>
          <w:p>
            <w:pPr>
              <w:jc w:val="right"/>
            </w:pPr>
          </w:p>
        </w:tc>
        <w:tc>
          <w:tcPr>
            <w:tcW w:w="1607" w:type="dxa"/>
            <w:vAlign w:val="center"/>
          </w:tcPr>
          <w:p>
            <w:pPr>
              <w:jc w:val="right"/>
            </w:pPr>
            <w:r>
              <w:rPr>
                <w:rFonts w:hint="eastAsia"/>
                <w:color w:val="auto"/>
              </w:rPr>
              <w:t>9,738,875.23</w:t>
            </w:r>
          </w:p>
        </w:tc>
        <w:tc>
          <w:tcPr>
            <w:tcW w:w="1610" w:type="dxa"/>
            <w:vAlign w:val="center"/>
          </w:tcPr>
          <w:p>
            <w:pPr>
              <w:jc w:val="right"/>
            </w:pPr>
            <w:r>
              <w:rPr>
                <w:rFonts w:hint="eastAsia"/>
                <w:color w:val="auto"/>
              </w:rPr>
              <w:t>9,738,875.23</w:t>
            </w:r>
          </w:p>
        </w:tc>
        <w:tc>
          <w:tcPr>
            <w:tcW w:w="1619" w:type="dxa"/>
            <w:vAlign w:val="center"/>
          </w:tcPr>
          <w:p>
            <w:pPr>
              <w:jc w:val="right"/>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0" w:type="dxa"/>
            <w:vAlign w:val="center"/>
          </w:tcPr>
          <w:p>
            <w:r>
              <w:rPr>
                <w:rFonts w:hint="eastAsia"/>
              </w:rPr>
              <w:t>三、辞退福利</w:t>
            </w:r>
          </w:p>
        </w:tc>
        <w:tc>
          <w:tcPr>
            <w:tcW w:w="1610" w:type="dxa"/>
            <w:vAlign w:val="center"/>
          </w:tcPr>
          <w:p>
            <w:pPr>
              <w:jc w:val="right"/>
            </w:pPr>
            <w:r>
              <w:rPr>
                <w:rFonts w:hint="eastAsia"/>
                <w:color w:val="auto"/>
              </w:rPr>
              <w:t>867,061.00</w:t>
            </w:r>
          </w:p>
        </w:tc>
        <w:tc>
          <w:tcPr>
            <w:tcW w:w="1607" w:type="dxa"/>
            <w:vAlign w:val="center"/>
          </w:tcPr>
          <w:p>
            <w:pPr>
              <w:jc w:val="right"/>
            </w:pPr>
            <w:r>
              <w:rPr>
                <w:rFonts w:hint="eastAsia"/>
                <w:color w:val="auto"/>
              </w:rPr>
              <w:t>424,479.00　</w:t>
            </w:r>
          </w:p>
        </w:tc>
        <w:tc>
          <w:tcPr>
            <w:tcW w:w="1610" w:type="dxa"/>
            <w:vAlign w:val="center"/>
          </w:tcPr>
          <w:p>
            <w:pPr>
              <w:jc w:val="right"/>
              <w:rPr>
                <w:rFonts w:hint="eastAsia" w:eastAsia="宋体"/>
                <w:lang w:eastAsia="zh-CN"/>
              </w:rPr>
            </w:pPr>
            <w:r>
              <w:rPr>
                <w:rFonts w:hint="eastAsia"/>
                <w:color w:val="auto"/>
                <w:lang w:eastAsia="zh-CN"/>
              </w:rPr>
              <w:t>778,708.99</w:t>
            </w:r>
          </w:p>
        </w:tc>
        <w:tc>
          <w:tcPr>
            <w:tcW w:w="1619" w:type="dxa"/>
            <w:vAlign w:val="center"/>
          </w:tcPr>
          <w:p>
            <w:pPr>
              <w:jc w:val="right"/>
            </w:pPr>
            <w:r>
              <w:rPr>
                <w:rFonts w:hint="eastAsia"/>
                <w:color w:val="auto"/>
              </w:rPr>
              <w:t>512,831.01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0" w:type="dxa"/>
            <w:vAlign w:val="center"/>
          </w:tcPr>
          <w:p>
            <w:pPr>
              <w:jc w:val="center"/>
            </w:pPr>
            <w:r>
              <w:rPr>
                <w:rFonts w:hint="eastAsia"/>
              </w:rPr>
              <w:t>合计</w:t>
            </w:r>
          </w:p>
        </w:tc>
        <w:tc>
          <w:tcPr>
            <w:tcW w:w="1610" w:type="dxa"/>
            <w:vAlign w:val="center"/>
          </w:tcPr>
          <w:p>
            <w:pPr>
              <w:jc w:val="right"/>
            </w:pPr>
            <w:r>
              <w:rPr>
                <w:rFonts w:hint="eastAsia"/>
                <w:color w:val="auto"/>
              </w:rPr>
              <w:t>4,439,768.54</w:t>
            </w:r>
          </w:p>
        </w:tc>
        <w:tc>
          <w:tcPr>
            <w:tcW w:w="1607" w:type="dxa"/>
            <w:vAlign w:val="center"/>
          </w:tcPr>
          <w:p>
            <w:pPr>
              <w:jc w:val="right"/>
            </w:pPr>
            <w:r>
              <w:rPr>
                <w:rFonts w:hint="eastAsia"/>
                <w:color w:val="auto"/>
              </w:rPr>
              <w:t>173,997,805.62</w:t>
            </w:r>
          </w:p>
        </w:tc>
        <w:tc>
          <w:tcPr>
            <w:tcW w:w="1610" w:type="dxa"/>
            <w:vAlign w:val="center"/>
          </w:tcPr>
          <w:p>
            <w:pPr>
              <w:jc w:val="right"/>
            </w:pPr>
            <w:r>
              <w:rPr>
                <w:rFonts w:hint="eastAsia"/>
                <w:color w:val="auto"/>
              </w:rPr>
              <w:t>174,245,379.73</w:t>
            </w:r>
          </w:p>
        </w:tc>
        <w:tc>
          <w:tcPr>
            <w:tcW w:w="1619" w:type="dxa"/>
            <w:vAlign w:val="center"/>
          </w:tcPr>
          <w:p>
            <w:pPr>
              <w:jc w:val="right"/>
            </w:pPr>
            <w:r>
              <w:rPr>
                <w:rFonts w:hint="eastAsia"/>
                <w:color w:val="auto"/>
              </w:rPr>
              <w:t>4,192,194.43</w:t>
            </w:r>
          </w:p>
        </w:tc>
      </w:tr>
    </w:tbl>
    <w:p/>
    <w:p>
      <w:pPr>
        <w:pStyle w:val="5"/>
        <w:numPr>
          <w:ilvl w:val="0"/>
          <w:numId w:val="92"/>
        </w:numPr>
        <w:rPr>
          <w:rFonts w:hint="eastAsia"/>
        </w:rPr>
      </w:pPr>
      <w:r>
        <w:rPr>
          <w:rFonts w:hint="eastAsia"/>
        </w:rPr>
        <w:t>短期薪酬列示</w:t>
      </w:r>
    </w:p>
    <w:sdt>
      <w:sdtPr>
        <w:alias w:val="是否适用：短期薪酬列示[双击切换]"/>
        <w:tag w:val="_GBC_531fef0ef27e47ad98c1bb26abdf204f"/>
        <w:id w:val="7399"/>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短期薪酬"/>
          <w:tag w:val="_GBC_4710a4978b1b4a4bbcd5757aaf80b8d7"/>
          <w:id w:val="740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短期薪酬"/>
          <w:tag w:val="_GBC_aa08b58287754c0d8fad97e31bacb9e4"/>
          <w:id w:val="740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3"/>
        <w:gridCol w:w="1612"/>
        <w:gridCol w:w="1594"/>
        <w:gridCol w:w="1608"/>
        <w:gridCol w:w="1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3" w:type="dxa"/>
            <w:tcBorders>
              <w:top w:val="single" w:color="auto" w:sz="4" w:space="0"/>
              <w:left w:val="single" w:color="auto" w:sz="4" w:space="0"/>
              <w:bottom w:val="single" w:color="auto" w:sz="4" w:space="0"/>
              <w:right w:val="single" w:color="auto" w:sz="4" w:space="0"/>
            </w:tcBorders>
            <w:vAlign w:val="center"/>
          </w:tcPr>
          <w:sdt>
            <w:sdtPr>
              <w:tag w:val="_PLD_977153d49ca449b191bb833cd5f689b2"/>
              <w:id w:val="7402"/>
            </w:sdtPr>
            <w:sdtContent>
              <w:p>
                <w:pPr>
                  <w:autoSpaceDE w:val="0"/>
                  <w:autoSpaceDN w:val="0"/>
                  <w:adjustRightInd w:val="0"/>
                  <w:jc w:val="center"/>
                  <w:rPr>
                    <w:szCs w:val="21"/>
                  </w:rPr>
                </w:pPr>
                <w:r>
                  <w:rPr>
                    <w:rFonts w:hint="eastAsia"/>
                    <w:szCs w:val="21"/>
                  </w:rPr>
                  <w:t>项目</w:t>
                </w:r>
              </w:p>
            </w:sdtContent>
          </w:sdt>
        </w:tc>
        <w:tc>
          <w:tcPr>
            <w:tcW w:w="1612" w:type="dxa"/>
            <w:tcBorders>
              <w:top w:val="single" w:color="auto" w:sz="4" w:space="0"/>
              <w:left w:val="single" w:color="auto" w:sz="4" w:space="0"/>
              <w:bottom w:val="single" w:color="auto" w:sz="4" w:space="0"/>
              <w:right w:val="single" w:color="auto" w:sz="4" w:space="0"/>
            </w:tcBorders>
            <w:vAlign w:val="center"/>
          </w:tcPr>
          <w:sdt>
            <w:sdtPr>
              <w:tag w:val="_PLD_557c49ee2a4f40de99f948c76f4c3adc"/>
              <w:id w:val="7403"/>
            </w:sdtPr>
            <w:sdtContent>
              <w:p>
                <w:pPr>
                  <w:autoSpaceDE w:val="0"/>
                  <w:autoSpaceDN w:val="0"/>
                  <w:adjustRightInd w:val="0"/>
                  <w:jc w:val="center"/>
                  <w:rPr>
                    <w:szCs w:val="21"/>
                  </w:rPr>
                </w:pPr>
                <w:r>
                  <w:rPr>
                    <w:rFonts w:hint="eastAsia"/>
                    <w:szCs w:val="21"/>
                  </w:rPr>
                  <w:t>期初余额</w:t>
                </w:r>
              </w:p>
            </w:sdtContent>
          </w:sdt>
        </w:tc>
        <w:tc>
          <w:tcPr>
            <w:tcW w:w="1594" w:type="dxa"/>
            <w:tcBorders>
              <w:top w:val="single" w:color="auto" w:sz="4" w:space="0"/>
              <w:left w:val="single" w:color="auto" w:sz="4" w:space="0"/>
              <w:bottom w:val="single" w:color="auto" w:sz="4" w:space="0"/>
              <w:right w:val="single" w:color="auto" w:sz="4" w:space="0"/>
            </w:tcBorders>
            <w:vAlign w:val="center"/>
          </w:tcPr>
          <w:sdt>
            <w:sdtPr>
              <w:tag w:val="_PLD_98d1ab48f8084264aff0ef3a30e8ba71"/>
              <w:id w:val="7404"/>
            </w:sdtPr>
            <w:sdtContent>
              <w:p>
                <w:pPr>
                  <w:jc w:val="center"/>
                </w:pPr>
                <w:r>
                  <w:rPr>
                    <w:rFonts w:hint="eastAsia"/>
                  </w:rPr>
                  <w:t>本期增加</w:t>
                </w:r>
              </w:p>
            </w:sdtContent>
          </w:sdt>
        </w:tc>
        <w:tc>
          <w:tcPr>
            <w:tcW w:w="1608" w:type="dxa"/>
            <w:tcBorders>
              <w:top w:val="single" w:color="auto" w:sz="4" w:space="0"/>
              <w:left w:val="single" w:color="auto" w:sz="4" w:space="0"/>
              <w:bottom w:val="single" w:color="auto" w:sz="4" w:space="0"/>
              <w:right w:val="single" w:color="auto" w:sz="4" w:space="0"/>
            </w:tcBorders>
            <w:vAlign w:val="center"/>
          </w:tcPr>
          <w:sdt>
            <w:sdtPr>
              <w:tag w:val="_PLD_e35c4f26db444503b2f9a32896872169"/>
              <w:id w:val="7405"/>
            </w:sdtPr>
            <w:sdtContent>
              <w:p>
                <w:pPr>
                  <w:jc w:val="center"/>
                </w:pPr>
                <w:r>
                  <w:t>本期减少</w:t>
                </w:r>
              </w:p>
            </w:sdtContent>
          </w:sdt>
        </w:tc>
        <w:tc>
          <w:tcPr>
            <w:tcW w:w="1619" w:type="dxa"/>
            <w:tcBorders>
              <w:top w:val="single" w:color="auto" w:sz="4" w:space="0"/>
              <w:left w:val="single" w:color="auto" w:sz="4" w:space="0"/>
              <w:bottom w:val="single" w:color="auto" w:sz="4" w:space="0"/>
              <w:right w:val="single" w:color="auto" w:sz="4" w:space="0"/>
            </w:tcBorders>
            <w:vAlign w:val="center"/>
          </w:tcPr>
          <w:sdt>
            <w:sdtPr>
              <w:tag w:val="_PLD_e67d191300ac43c2b1b07c1beddfe891"/>
              <w:id w:val="7406"/>
            </w:sdtPr>
            <w:sdtContent>
              <w:p>
                <w:pPr>
                  <w:autoSpaceDE w:val="0"/>
                  <w:autoSpaceDN w:val="0"/>
                  <w:adjustRightInd w:val="0"/>
                  <w:jc w:val="center"/>
                  <w:rPr>
                    <w:szCs w:val="21"/>
                  </w:rPr>
                </w:pPr>
                <w:r>
                  <w:rPr>
                    <w:rFonts w:hint="eastAsia"/>
                    <w:szCs w:val="21"/>
                  </w:rPr>
                  <w:t>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szCs w:val="21"/>
              </w:rPr>
            </w:pPr>
            <w:r>
              <w:rPr>
                <w:rFonts w:hint="eastAsia"/>
                <w:szCs w:val="21"/>
              </w:rPr>
              <w:t>一、工资、奖金、津贴和补贴</w:t>
            </w:r>
          </w:p>
        </w:tc>
        <w:tc>
          <w:tcPr>
            <w:tcW w:w="161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color w:val="auto"/>
                <w:lang w:val="en-US" w:eastAsia="zh-CN"/>
              </w:rPr>
            </w:pPr>
            <w:r>
              <w:rPr>
                <w:rFonts w:hint="eastAsia"/>
                <w:color w:val="auto"/>
              </w:rPr>
              <w:t>3,123,265.03</w:t>
            </w:r>
          </w:p>
        </w:tc>
        <w:tc>
          <w:tcPr>
            <w:tcW w:w="159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color w:val="auto"/>
                <w:lang w:val="en-US" w:eastAsia="zh-CN"/>
              </w:rPr>
            </w:pPr>
            <w:r>
              <w:rPr>
                <w:rFonts w:hint="eastAsia"/>
                <w:color w:val="auto"/>
              </w:rPr>
              <w:t>140,704,342.02</w:t>
            </w:r>
          </w:p>
        </w:tc>
        <w:tc>
          <w:tcPr>
            <w:tcW w:w="1608"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color w:val="auto"/>
                <w:lang w:val="en-US" w:eastAsia="zh-CN"/>
              </w:rPr>
            </w:pPr>
            <w:r>
              <w:rPr>
                <w:rFonts w:hint="eastAsia"/>
                <w:color w:val="auto"/>
              </w:rPr>
              <w:t>140,650,065.11</w:t>
            </w:r>
          </w:p>
        </w:tc>
        <w:tc>
          <w:tcPr>
            <w:tcW w:w="1619"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color w:val="auto"/>
                <w:lang w:val="en-US" w:eastAsia="zh-CN"/>
              </w:rPr>
            </w:pPr>
            <w:r>
              <w:rPr>
                <w:rFonts w:hint="eastAsia"/>
                <w:color w:val="auto"/>
              </w:rPr>
              <w:t>3,177,541.94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szCs w:val="21"/>
              </w:rPr>
            </w:pPr>
            <w:r>
              <w:rPr>
                <w:rFonts w:hint="eastAsia"/>
                <w:szCs w:val="21"/>
              </w:rPr>
              <w:t>二、职工福利费</w:t>
            </w:r>
          </w:p>
        </w:tc>
        <w:tc>
          <w:tcPr>
            <w:tcW w:w="1612"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5,713,341.68</w:t>
            </w:r>
          </w:p>
        </w:tc>
        <w:tc>
          <w:tcPr>
            <w:tcW w:w="160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5,713,341.68</w:t>
            </w:r>
          </w:p>
        </w:tc>
        <w:tc>
          <w:tcPr>
            <w:tcW w:w="161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szCs w:val="21"/>
              </w:rPr>
            </w:pPr>
            <w:r>
              <w:rPr>
                <w:rFonts w:hint="eastAsia"/>
                <w:szCs w:val="21"/>
              </w:rPr>
              <w:t>三、社会保险费</w:t>
            </w:r>
          </w:p>
        </w:tc>
        <w:tc>
          <w:tcPr>
            <w:tcW w:w="1612"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8,010,861.13</w:t>
            </w:r>
          </w:p>
        </w:tc>
        <w:tc>
          <w:tcPr>
            <w:tcW w:w="160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7,882,019.13</w:t>
            </w:r>
          </w:p>
        </w:tc>
        <w:tc>
          <w:tcPr>
            <w:tcW w:w="161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128,842.00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3" w:type="dxa"/>
            <w:tcBorders>
              <w:top w:val="single" w:color="auto" w:sz="4" w:space="0"/>
              <w:left w:val="single" w:color="auto" w:sz="4" w:space="0"/>
              <w:bottom w:val="single" w:color="auto" w:sz="4" w:space="0"/>
              <w:right w:val="single" w:color="auto" w:sz="4" w:space="0"/>
            </w:tcBorders>
            <w:vAlign w:val="center"/>
          </w:tcPr>
          <w:p>
            <w:pPr>
              <w:rPr>
                <w:color w:val="008000"/>
                <w:szCs w:val="21"/>
              </w:rPr>
            </w:pPr>
            <w:r>
              <w:rPr>
                <w:rFonts w:hint="eastAsia"/>
                <w:szCs w:val="21"/>
              </w:rPr>
              <w:t>其中：</w:t>
            </w:r>
            <w:r>
              <w:rPr>
                <w:szCs w:val="21"/>
              </w:rPr>
              <w:t>医疗保险费</w:t>
            </w:r>
          </w:p>
        </w:tc>
        <w:tc>
          <w:tcPr>
            <w:tcW w:w="1612"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7,085,321.18</w:t>
            </w:r>
          </w:p>
        </w:tc>
        <w:tc>
          <w:tcPr>
            <w:tcW w:w="160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7,085,321.18</w:t>
            </w:r>
          </w:p>
        </w:tc>
        <w:tc>
          <w:tcPr>
            <w:tcW w:w="161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3" w:type="dxa"/>
            <w:tcBorders>
              <w:top w:val="single" w:color="auto" w:sz="4" w:space="0"/>
              <w:left w:val="single" w:color="auto" w:sz="4" w:space="0"/>
              <w:bottom w:val="single" w:color="auto" w:sz="4" w:space="0"/>
              <w:right w:val="single" w:color="auto" w:sz="4" w:space="0"/>
            </w:tcBorders>
            <w:vAlign w:val="center"/>
          </w:tcPr>
          <w:p>
            <w:pPr>
              <w:ind w:firstLine="630" w:firstLineChars="300"/>
              <w:rPr>
                <w:szCs w:val="21"/>
              </w:rPr>
            </w:pPr>
            <w:r>
              <w:rPr>
                <w:rFonts w:hint="eastAsia"/>
                <w:szCs w:val="21"/>
              </w:rPr>
              <w:t>工伤保险费</w:t>
            </w:r>
          </w:p>
        </w:tc>
        <w:tc>
          <w:tcPr>
            <w:tcW w:w="1612"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704,382.59</w:t>
            </w:r>
          </w:p>
        </w:tc>
        <w:tc>
          <w:tcPr>
            <w:tcW w:w="160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704,382.59</w:t>
            </w:r>
          </w:p>
        </w:tc>
        <w:tc>
          <w:tcPr>
            <w:tcW w:w="161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3" w:type="dxa"/>
            <w:tcBorders>
              <w:top w:val="single" w:color="auto" w:sz="4" w:space="0"/>
              <w:left w:val="single" w:color="auto" w:sz="4" w:space="0"/>
              <w:bottom w:val="single" w:color="auto" w:sz="4" w:space="0"/>
              <w:right w:val="single" w:color="auto" w:sz="4" w:space="0"/>
            </w:tcBorders>
            <w:vAlign w:val="center"/>
          </w:tcPr>
          <w:p>
            <w:pPr>
              <w:ind w:firstLine="630" w:firstLineChars="300"/>
              <w:rPr>
                <w:szCs w:val="21"/>
              </w:rPr>
            </w:pPr>
            <w:r>
              <w:rPr>
                <w:rFonts w:hint="eastAsia"/>
                <w:szCs w:val="21"/>
              </w:rPr>
              <w:t>生育保险费</w:t>
            </w:r>
          </w:p>
        </w:tc>
        <w:tc>
          <w:tcPr>
            <w:tcW w:w="1612"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221,157.36</w:t>
            </w:r>
          </w:p>
        </w:tc>
        <w:tc>
          <w:tcPr>
            <w:tcW w:w="160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92,315.36</w:t>
            </w:r>
          </w:p>
        </w:tc>
        <w:tc>
          <w:tcPr>
            <w:tcW w:w="161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128,842.00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szCs w:val="21"/>
              </w:rPr>
            </w:pPr>
            <w:r>
              <w:rPr>
                <w:rFonts w:hint="eastAsia"/>
                <w:szCs w:val="21"/>
              </w:rPr>
              <w:t>四、住房公积金</w:t>
            </w:r>
          </w:p>
        </w:tc>
        <w:tc>
          <w:tcPr>
            <w:tcW w:w="161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68,755.68</w:t>
            </w: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8,094,030.23</w:t>
            </w:r>
          </w:p>
        </w:tc>
        <w:tc>
          <w:tcPr>
            <w:tcW w:w="160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8,162,465.91</w:t>
            </w:r>
          </w:p>
        </w:tc>
        <w:tc>
          <w:tcPr>
            <w:tcW w:w="161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320.00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szCs w:val="21"/>
              </w:rPr>
            </w:pPr>
            <w:r>
              <w:rPr>
                <w:rFonts w:hint="eastAsia"/>
                <w:szCs w:val="21"/>
              </w:rPr>
              <w:t>五、工会经费和职工教育经费</w:t>
            </w:r>
          </w:p>
        </w:tc>
        <w:tc>
          <w:tcPr>
            <w:tcW w:w="161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380,686.83</w:t>
            </w:r>
          </w:p>
        </w:tc>
        <w:tc>
          <w:tcPr>
            <w:tcW w:w="159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1,311,876.33</w:t>
            </w:r>
          </w:p>
        </w:tc>
        <w:tc>
          <w:tcPr>
            <w:tcW w:w="160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1,319,903.68</w:t>
            </w:r>
          </w:p>
        </w:tc>
        <w:tc>
          <w:tcPr>
            <w:tcW w:w="161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372,659.48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szCs w:val="21"/>
              </w:rPr>
            </w:pPr>
            <w:r>
              <w:rPr>
                <w:rFonts w:hint="eastAsia"/>
                <w:szCs w:val="21"/>
              </w:rPr>
              <w:t>合计</w:t>
            </w:r>
          </w:p>
        </w:tc>
        <w:tc>
          <w:tcPr>
            <w:tcW w:w="161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color w:val="auto"/>
                <w:lang w:val="en-US" w:eastAsia="zh-CN"/>
              </w:rPr>
            </w:pPr>
            <w:r>
              <w:rPr>
                <w:rFonts w:hint="eastAsia"/>
                <w:color w:val="auto"/>
              </w:rPr>
              <w:t>3,572,707.54</w:t>
            </w:r>
          </w:p>
        </w:tc>
        <w:tc>
          <w:tcPr>
            <w:tcW w:w="159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eastAsia="宋体"/>
                <w:color w:val="auto"/>
                <w:lang w:val="en-US" w:eastAsia="zh-CN"/>
              </w:rPr>
            </w:pPr>
            <w:r>
              <w:rPr>
                <w:rFonts w:hint="eastAsia"/>
                <w:color w:val="auto"/>
                <w:lang w:eastAsia="zh-CN"/>
              </w:rPr>
              <w:t>163,834,451.39</w:t>
            </w:r>
          </w:p>
        </w:tc>
        <w:tc>
          <w:tcPr>
            <w:tcW w:w="1608"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eastAsia="宋体"/>
                <w:color w:val="auto"/>
                <w:lang w:val="en-US" w:eastAsia="zh-CN"/>
              </w:rPr>
            </w:pPr>
            <w:r>
              <w:rPr>
                <w:rFonts w:hint="eastAsia"/>
                <w:color w:val="auto"/>
                <w:lang w:eastAsia="zh-CN"/>
              </w:rPr>
              <w:t>163,727,795.51</w:t>
            </w:r>
          </w:p>
        </w:tc>
        <w:tc>
          <w:tcPr>
            <w:tcW w:w="1619"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color w:val="auto"/>
                <w:lang w:val="en-US" w:eastAsia="zh-CN"/>
              </w:rPr>
            </w:pPr>
            <w:r>
              <w:rPr>
                <w:rFonts w:hint="eastAsia"/>
                <w:color w:val="auto"/>
              </w:rPr>
              <w:t>3,679,363.42</w:t>
            </w:r>
          </w:p>
        </w:tc>
      </w:tr>
    </w:tbl>
    <w:p>
      <w:pPr>
        <w:rPr>
          <w:color w:val="000000" w:themeColor="text1"/>
          <w:szCs w:val="21"/>
          <w14:textFill>
            <w14:solidFill>
              <w14:schemeClr w14:val="tx1"/>
            </w14:solidFill>
          </w14:textFill>
        </w:rPr>
      </w:pPr>
    </w:p>
    <w:p>
      <w:pPr>
        <w:pStyle w:val="5"/>
        <w:numPr>
          <w:ilvl w:val="0"/>
          <w:numId w:val="92"/>
        </w:numPr>
        <w:rPr>
          <w:rFonts w:hint="eastAsia"/>
        </w:rPr>
      </w:pPr>
      <w:r>
        <w:rPr>
          <w:rFonts w:hint="eastAsia"/>
        </w:rPr>
        <w:t>设定提存计划列示</w:t>
      </w:r>
    </w:p>
    <w:p>
      <w:sdt>
        <w:sdtPr>
          <w:alias w:val="是否适用：设定提存计划列示[双击切换]"/>
          <w:tag w:val="_GBC_b10b1dbaca2d418ba8658bab8f732ec8"/>
          <w:id w:val="7407"/>
          <w:placeholder>
            <w:docPart w:val="GBC22222222222222222222222222222"/>
          </w:placeholder>
        </w:sdtPr>
        <w:sdtContent>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pPr>
        <w:jc w:val="right"/>
      </w:pPr>
      <w:r>
        <w:rPr>
          <w:rFonts w:hint="eastAsia"/>
        </w:rPr>
        <w:t>单位：</w:t>
      </w:r>
      <w:sdt>
        <w:sdtPr>
          <w:rPr>
            <w:rFonts w:hint="eastAsia"/>
          </w:rPr>
          <w:alias w:val="单位：财务附注：设定提存计划列示"/>
          <w:tag w:val="_GBC_925094ba622346ba8857a40cf7e6f1b2"/>
          <w:id w:val="740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财务附注：设定提存计划列示"/>
          <w:tag w:val="_GBC_e3e3da384da84c8f92edb23d37c13690"/>
          <w:id w:val="740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6"/>
        <w:gridCol w:w="1623"/>
        <w:gridCol w:w="1608"/>
        <w:gridCol w:w="1637"/>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6" w:type="dxa"/>
            <w:vAlign w:val="center"/>
          </w:tcPr>
          <w:sdt>
            <w:sdtPr>
              <w:tag w:val="_PLD_5a05fd1b5f8842ba9ae6094f6792dfbe"/>
              <w:id w:val="7410"/>
            </w:sdtPr>
            <w:sdtContent>
              <w:p>
                <w:pPr>
                  <w:jc w:val="center"/>
                </w:pPr>
                <w:r>
                  <w:rPr>
                    <w:rFonts w:hint="eastAsia"/>
                  </w:rPr>
                  <w:t>项目</w:t>
                </w:r>
              </w:p>
            </w:sdtContent>
          </w:sdt>
        </w:tc>
        <w:tc>
          <w:tcPr>
            <w:tcW w:w="1623" w:type="dxa"/>
            <w:vAlign w:val="center"/>
          </w:tcPr>
          <w:sdt>
            <w:sdtPr>
              <w:tag w:val="_PLD_fae7d76d85e4429d925f3d30ff27566f"/>
              <w:id w:val="7411"/>
            </w:sdtPr>
            <w:sdtContent>
              <w:p>
                <w:pPr>
                  <w:jc w:val="center"/>
                </w:pPr>
                <w:r>
                  <w:rPr>
                    <w:rFonts w:hint="eastAsia"/>
                  </w:rPr>
                  <w:t>期初余额</w:t>
                </w:r>
              </w:p>
            </w:sdtContent>
          </w:sdt>
        </w:tc>
        <w:tc>
          <w:tcPr>
            <w:tcW w:w="1608" w:type="dxa"/>
            <w:vAlign w:val="center"/>
          </w:tcPr>
          <w:sdt>
            <w:sdtPr>
              <w:tag w:val="_PLD_cd3c897871944aa0a1ea524d70e51704"/>
              <w:id w:val="7412"/>
            </w:sdtPr>
            <w:sdtContent>
              <w:p>
                <w:pPr>
                  <w:jc w:val="center"/>
                </w:pPr>
                <w:r>
                  <w:rPr>
                    <w:rFonts w:hint="eastAsia"/>
                  </w:rPr>
                  <w:t>本期增加</w:t>
                </w:r>
              </w:p>
            </w:sdtContent>
          </w:sdt>
        </w:tc>
        <w:tc>
          <w:tcPr>
            <w:tcW w:w="1637" w:type="dxa"/>
            <w:vAlign w:val="center"/>
          </w:tcPr>
          <w:sdt>
            <w:sdtPr>
              <w:tag w:val="_PLD_5ef10b06a3d24730bad93c45f119182f"/>
              <w:id w:val="7413"/>
            </w:sdtPr>
            <w:sdtContent>
              <w:p>
                <w:pPr>
                  <w:jc w:val="center"/>
                </w:pPr>
                <w:r>
                  <w:rPr>
                    <w:rFonts w:hint="eastAsia"/>
                  </w:rPr>
                  <w:t>本期减少</w:t>
                </w:r>
              </w:p>
            </w:sdtContent>
          </w:sdt>
        </w:tc>
        <w:tc>
          <w:tcPr>
            <w:tcW w:w="1592" w:type="dxa"/>
            <w:vAlign w:val="center"/>
          </w:tcPr>
          <w:sdt>
            <w:sdtPr>
              <w:tag w:val="_PLD_13d5e5df016d4921aa56218755dfb8f4"/>
              <w:id w:val="7414"/>
            </w:sdtPr>
            <w:sdtContent>
              <w:p>
                <w:pPr>
                  <w:jc w:val="center"/>
                </w:pPr>
                <w:r>
                  <w:rPr>
                    <w:rFonts w:hint="eastAsia"/>
                  </w:rPr>
                  <w:t>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6" w:type="dxa"/>
            <w:vAlign w:val="center"/>
          </w:tcPr>
          <w:p>
            <w:r>
              <w:rPr>
                <w:rFonts w:hint="eastAsia"/>
              </w:rPr>
              <w:t>1、基本养老保险</w:t>
            </w:r>
          </w:p>
        </w:tc>
        <w:tc>
          <w:tcPr>
            <w:tcW w:w="1623" w:type="dxa"/>
            <w:vAlign w:val="center"/>
          </w:tcPr>
          <w:p>
            <w:pPr>
              <w:jc w:val="right"/>
            </w:pPr>
          </w:p>
        </w:tc>
        <w:tc>
          <w:tcPr>
            <w:tcW w:w="1608" w:type="dxa"/>
            <w:vAlign w:val="center"/>
          </w:tcPr>
          <w:p>
            <w:pPr>
              <w:jc w:val="right"/>
            </w:pPr>
            <w:r>
              <w:rPr>
                <w:rFonts w:hint="eastAsia"/>
                <w:color w:val="auto"/>
              </w:rPr>
              <w:t>9,293,178.51</w:t>
            </w:r>
          </w:p>
        </w:tc>
        <w:tc>
          <w:tcPr>
            <w:tcW w:w="1637" w:type="dxa"/>
            <w:vAlign w:val="center"/>
          </w:tcPr>
          <w:p>
            <w:pPr>
              <w:jc w:val="right"/>
            </w:pPr>
            <w:r>
              <w:rPr>
                <w:rFonts w:hint="eastAsia"/>
                <w:color w:val="auto"/>
              </w:rPr>
              <w:t>9,293,178.51</w:t>
            </w:r>
          </w:p>
        </w:tc>
        <w:tc>
          <w:tcPr>
            <w:tcW w:w="1592" w:type="dxa"/>
            <w:vAlign w:val="center"/>
          </w:tcPr>
          <w:p>
            <w:pPr>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6" w:type="dxa"/>
            <w:vAlign w:val="center"/>
          </w:tcPr>
          <w:p>
            <w:r>
              <w:rPr>
                <w:rFonts w:hint="eastAsia"/>
              </w:rPr>
              <w:t>2、失业保险费</w:t>
            </w:r>
          </w:p>
        </w:tc>
        <w:tc>
          <w:tcPr>
            <w:tcW w:w="1623" w:type="dxa"/>
            <w:vAlign w:val="center"/>
          </w:tcPr>
          <w:p>
            <w:pPr>
              <w:jc w:val="right"/>
            </w:pPr>
          </w:p>
        </w:tc>
        <w:tc>
          <w:tcPr>
            <w:tcW w:w="1608" w:type="dxa"/>
            <w:vAlign w:val="center"/>
          </w:tcPr>
          <w:p>
            <w:pPr>
              <w:jc w:val="right"/>
            </w:pPr>
            <w:r>
              <w:rPr>
                <w:rFonts w:hint="eastAsia"/>
                <w:color w:val="auto"/>
              </w:rPr>
              <w:t>445,696.72</w:t>
            </w:r>
          </w:p>
        </w:tc>
        <w:tc>
          <w:tcPr>
            <w:tcW w:w="1637" w:type="dxa"/>
            <w:vAlign w:val="center"/>
          </w:tcPr>
          <w:p>
            <w:pPr>
              <w:jc w:val="right"/>
            </w:pPr>
            <w:r>
              <w:rPr>
                <w:rFonts w:hint="eastAsia"/>
                <w:color w:val="auto"/>
              </w:rPr>
              <w:t>445,696.72</w:t>
            </w:r>
          </w:p>
        </w:tc>
        <w:tc>
          <w:tcPr>
            <w:tcW w:w="1592" w:type="dxa"/>
            <w:vAlign w:val="center"/>
          </w:tcPr>
          <w:p>
            <w:pPr>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6" w:type="dxa"/>
            <w:vAlign w:val="center"/>
          </w:tcPr>
          <w:p>
            <w:pPr>
              <w:jc w:val="center"/>
            </w:pPr>
            <w:r>
              <w:rPr>
                <w:rFonts w:hint="eastAsia"/>
              </w:rPr>
              <w:t>合计</w:t>
            </w:r>
          </w:p>
        </w:tc>
        <w:tc>
          <w:tcPr>
            <w:tcW w:w="1623" w:type="dxa"/>
            <w:vAlign w:val="center"/>
          </w:tcPr>
          <w:p>
            <w:pPr>
              <w:jc w:val="right"/>
            </w:pPr>
          </w:p>
        </w:tc>
        <w:tc>
          <w:tcPr>
            <w:tcW w:w="1608" w:type="dxa"/>
            <w:vAlign w:val="center"/>
          </w:tcPr>
          <w:p>
            <w:pPr>
              <w:jc w:val="right"/>
            </w:pPr>
            <w:r>
              <w:rPr>
                <w:rFonts w:hint="eastAsia"/>
                <w:color w:val="auto"/>
              </w:rPr>
              <w:t>9,738,875.23</w:t>
            </w:r>
          </w:p>
        </w:tc>
        <w:tc>
          <w:tcPr>
            <w:tcW w:w="1637" w:type="dxa"/>
            <w:vAlign w:val="center"/>
          </w:tcPr>
          <w:p>
            <w:pPr>
              <w:jc w:val="right"/>
            </w:pPr>
            <w:r>
              <w:rPr>
                <w:rFonts w:hint="eastAsia"/>
                <w:color w:val="auto"/>
              </w:rPr>
              <w:t>9,738,875.23</w:t>
            </w:r>
          </w:p>
        </w:tc>
        <w:tc>
          <w:tcPr>
            <w:tcW w:w="1592" w:type="dxa"/>
            <w:vAlign w:val="center"/>
          </w:tcPr>
          <w:p>
            <w:pPr>
              <w:jc w:val="right"/>
            </w:pPr>
          </w:p>
        </w:tc>
      </w:tr>
    </w:tbl>
    <w:p>
      <w:pPr>
        <w:autoSpaceDE w:val="0"/>
        <w:autoSpaceDN w:val="0"/>
        <w:adjustRightInd w:val="0"/>
        <w:rPr>
          <w:szCs w:val="21"/>
        </w:rPr>
      </w:pPr>
    </w:p>
    <w:p>
      <w:pPr>
        <w:autoSpaceDE w:val="0"/>
        <w:autoSpaceDN w:val="0"/>
        <w:adjustRightInd w:val="0"/>
        <w:rPr>
          <w:szCs w:val="21"/>
        </w:rPr>
      </w:pPr>
      <w:r>
        <w:rPr>
          <w:rFonts w:hint="eastAsia"/>
          <w:szCs w:val="21"/>
        </w:rPr>
        <w:t>其他说明：</w:t>
      </w:r>
    </w:p>
    <w:sdt>
      <w:sdtPr>
        <w:rPr>
          <w:szCs w:val="21"/>
        </w:rPr>
        <w:alias w:val="是否适用：应付职工薪酬的说明[双击切换]"/>
        <w:tag w:val="_GBC_140070104764414eae4680364e4d0b62"/>
        <w:id w:val="7415"/>
        <w:placeholder>
          <w:docPart w:val="GBC22222222222222222222222222222"/>
        </w:placeholder>
      </w:sdtPr>
      <w:sdtEndPr>
        <w:rPr>
          <w:szCs w:val="21"/>
        </w:rPr>
      </w:sdtEndPr>
      <w:sdtContent>
        <w:p>
          <w:pPr>
            <w:autoSpaceDE w:val="0"/>
            <w:autoSpaceDN w:val="0"/>
            <w:adjustRightInd w:val="0"/>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autoSpaceDE w:val="0"/>
        <w:autoSpaceDN w:val="0"/>
        <w:adjustRightInd w:val="0"/>
        <w:rPr>
          <w:szCs w:val="21"/>
        </w:rPr>
      </w:pPr>
    </w:p>
    <w:p>
      <w:pPr>
        <w:pStyle w:val="4"/>
        <w:numPr>
          <w:ilvl w:val="0"/>
          <w:numId w:val="62"/>
        </w:numPr>
        <w:tabs>
          <w:tab w:val="left" w:pos="504"/>
        </w:tabs>
        <w:rPr>
          <w:rFonts w:hint="eastAsia" w:ascii="宋体" w:hAnsi="宋体"/>
          <w:szCs w:val="21"/>
        </w:rPr>
      </w:pPr>
      <w:r>
        <w:rPr>
          <w:rFonts w:hint="eastAsia" w:ascii="宋体" w:hAnsi="宋体"/>
          <w:szCs w:val="21"/>
        </w:rPr>
        <w:t>应交税费</w:t>
      </w:r>
    </w:p>
    <w:sdt>
      <w:sdtPr>
        <w:alias w:val="是否适用：应交税费[双击切换]"/>
        <w:tag w:val="_GBC_2ed6216b8f4c4523a1de5c2628cc02a2"/>
        <w:id w:val="7416"/>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应交税费"/>
          <w:tag w:val="_GBC_9fe49c1b8a984180ae11c305f9fe5484"/>
          <w:id w:val="741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应交税费"/>
          <w:tag w:val="_GBC_aefdac676d8d4584b84883b8a3980e21"/>
          <w:id w:val="741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1"/>
        <w:gridCol w:w="3006"/>
        <w:gridCol w:w="3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31" w:type="dxa"/>
            <w:vAlign w:val="center"/>
          </w:tcPr>
          <w:sdt>
            <w:sdtPr>
              <w:tag w:val="_PLD_6c8ac0907441450eac644085301d6804"/>
              <w:id w:val="7419"/>
            </w:sdtPr>
            <w:sdtContent>
              <w:p>
                <w:pPr>
                  <w:ind w:right="105"/>
                  <w:jc w:val="center"/>
                  <w:rPr>
                    <w:szCs w:val="21"/>
                  </w:rPr>
                </w:pPr>
                <w:r>
                  <w:rPr>
                    <w:rFonts w:hint="eastAsia"/>
                    <w:szCs w:val="21"/>
                  </w:rPr>
                  <w:t>项目</w:t>
                </w:r>
              </w:p>
            </w:sdtContent>
          </w:sdt>
        </w:tc>
        <w:tc>
          <w:tcPr>
            <w:tcW w:w="3006" w:type="dxa"/>
            <w:vAlign w:val="center"/>
          </w:tcPr>
          <w:sdt>
            <w:sdtPr>
              <w:tag w:val="_PLD_8dab1e5e153c4b93a2d18673e1365591"/>
              <w:id w:val="7420"/>
            </w:sdtPr>
            <w:sdtContent>
              <w:p>
                <w:pPr>
                  <w:jc w:val="center"/>
                  <w:rPr>
                    <w:szCs w:val="21"/>
                  </w:rPr>
                </w:pPr>
                <w:r>
                  <w:rPr>
                    <w:rFonts w:hint="eastAsia"/>
                    <w:szCs w:val="21"/>
                  </w:rPr>
                  <w:t>期末余额</w:t>
                </w:r>
              </w:p>
            </w:sdtContent>
          </w:sdt>
        </w:tc>
        <w:tc>
          <w:tcPr>
            <w:tcW w:w="3011" w:type="dxa"/>
            <w:vAlign w:val="center"/>
          </w:tcPr>
          <w:sdt>
            <w:sdtPr>
              <w:tag w:val="_PLD_9793c5ba001a43cb914658d949d3dcec"/>
              <w:id w:val="7421"/>
            </w:sdtPr>
            <w:sdtContent>
              <w:p>
                <w:pPr>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31" w:type="dxa"/>
            <w:vAlign w:val="center"/>
          </w:tcPr>
          <w:p>
            <w:pPr>
              <w:ind w:right="105"/>
              <w:rPr>
                <w:szCs w:val="21"/>
              </w:rPr>
            </w:pPr>
            <w:r>
              <w:rPr>
                <w:rFonts w:hint="eastAsia"/>
                <w:szCs w:val="21"/>
              </w:rPr>
              <w:t>增值税</w:t>
            </w:r>
          </w:p>
        </w:tc>
        <w:tc>
          <w:tcPr>
            <w:tcW w:w="3006" w:type="dxa"/>
            <w:vAlign w:val="center"/>
          </w:tcPr>
          <w:p>
            <w:pPr>
              <w:ind w:right="73"/>
              <w:jc w:val="right"/>
              <w:rPr>
                <w:szCs w:val="21"/>
              </w:rPr>
            </w:pPr>
            <w:r>
              <w:rPr>
                <w:rFonts w:hint="eastAsia"/>
                <w:color w:val="auto"/>
                <w:szCs w:val="21"/>
              </w:rPr>
              <w:t>1,375,892.07</w:t>
            </w:r>
          </w:p>
        </w:tc>
        <w:tc>
          <w:tcPr>
            <w:tcW w:w="3011" w:type="dxa"/>
            <w:vAlign w:val="center"/>
          </w:tcPr>
          <w:p>
            <w:pPr>
              <w:jc w:val="right"/>
              <w:rPr>
                <w:szCs w:val="21"/>
              </w:rPr>
            </w:pPr>
            <w:r>
              <w:rPr>
                <w:rFonts w:hint="eastAsia"/>
                <w:color w:val="auto"/>
                <w:szCs w:val="21"/>
              </w:rPr>
              <w:t>2,428,815.57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31" w:type="dxa"/>
            <w:vAlign w:val="center"/>
          </w:tcPr>
          <w:sdt>
            <w:sdtPr>
              <w:tag w:val="_PLD_4d030b955a614622b69aba22ad95922f"/>
              <w:id w:val="7422"/>
            </w:sdtPr>
            <w:sdtContent>
              <w:p>
                <w:pPr>
                  <w:ind w:right="105"/>
                  <w:rPr>
                    <w:szCs w:val="21"/>
                  </w:rPr>
                </w:pPr>
                <w:r>
                  <w:rPr>
                    <w:rFonts w:hint="eastAsia"/>
                    <w:szCs w:val="21"/>
                  </w:rPr>
                  <w:t>房产税</w:t>
                </w:r>
              </w:p>
            </w:sdtContent>
          </w:sdt>
        </w:tc>
        <w:tc>
          <w:tcPr>
            <w:tcW w:w="3006" w:type="dxa"/>
            <w:vAlign w:val="center"/>
          </w:tcPr>
          <w:p>
            <w:pPr>
              <w:ind w:right="73"/>
              <w:jc w:val="right"/>
              <w:rPr>
                <w:szCs w:val="21"/>
              </w:rPr>
            </w:pPr>
            <w:r>
              <w:rPr>
                <w:rFonts w:hint="eastAsia"/>
                <w:color w:val="auto"/>
                <w:szCs w:val="21"/>
              </w:rPr>
              <w:t>437,085.37</w:t>
            </w:r>
          </w:p>
        </w:tc>
        <w:tc>
          <w:tcPr>
            <w:tcW w:w="3011" w:type="dxa"/>
            <w:vAlign w:val="center"/>
          </w:tcPr>
          <w:p>
            <w:pPr>
              <w:jc w:val="right"/>
              <w:rPr>
                <w:szCs w:val="21"/>
              </w:rPr>
            </w:pPr>
            <w:r>
              <w:rPr>
                <w:rFonts w:hint="eastAsia"/>
                <w:color w:val="auto"/>
                <w:szCs w:val="21"/>
              </w:rPr>
              <w:t>470,243.92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31" w:type="dxa"/>
            <w:vAlign w:val="center"/>
          </w:tcPr>
          <w:sdt>
            <w:sdtPr>
              <w:tag w:val="_PLD_0bfcdc96571247378beda4baa3cf54fe"/>
              <w:id w:val="7423"/>
            </w:sdtPr>
            <w:sdtContent>
              <w:p>
                <w:pPr>
                  <w:ind w:right="105"/>
                  <w:rPr>
                    <w:szCs w:val="21"/>
                  </w:rPr>
                </w:pPr>
                <w:r>
                  <w:rPr>
                    <w:rFonts w:hint="eastAsia"/>
                    <w:szCs w:val="21"/>
                  </w:rPr>
                  <w:t>个人所得税</w:t>
                </w:r>
              </w:p>
            </w:sdtContent>
          </w:sdt>
        </w:tc>
        <w:tc>
          <w:tcPr>
            <w:tcW w:w="3006" w:type="dxa"/>
            <w:vAlign w:val="center"/>
          </w:tcPr>
          <w:p>
            <w:pPr>
              <w:ind w:right="73"/>
              <w:jc w:val="right"/>
              <w:rPr>
                <w:szCs w:val="21"/>
              </w:rPr>
            </w:pPr>
            <w:r>
              <w:rPr>
                <w:rFonts w:hint="eastAsia"/>
                <w:color w:val="auto"/>
                <w:szCs w:val="21"/>
              </w:rPr>
              <w:t>302,127.22</w:t>
            </w:r>
          </w:p>
        </w:tc>
        <w:tc>
          <w:tcPr>
            <w:tcW w:w="3011" w:type="dxa"/>
            <w:vAlign w:val="center"/>
          </w:tcPr>
          <w:p>
            <w:pPr>
              <w:jc w:val="right"/>
              <w:rPr>
                <w:szCs w:val="21"/>
              </w:rPr>
            </w:pPr>
            <w:r>
              <w:rPr>
                <w:rFonts w:hint="eastAsia"/>
                <w:color w:val="auto"/>
                <w:szCs w:val="21"/>
              </w:rPr>
              <w:t>324,982.97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31" w:type="dxa"/>
            <w:vAlign w:val="center"/>
          </w:tcPr>
          <w:p>
            <w:pPr>
              <w:ind w:right="105"/>
              <w:rPr>
                <w:szCs w:val="21"/>
              </w:rPr>
            </w:pPr>
            <w:r>
              <w:rPr>
                <w:rFonts w:hint="eastAsia"/>
                <w:szCs w:val="21"/>
              </w:rPr>
              <w:t>企业所得税</w:t>
            </w:r>
          </w:p>
        </w:tc>
        <w:tc>
          <w:tcPr>
            <w:tcW w:w="3006" w:type="dxa"/>
            <w:vAlign w:val="center"/>
          </w:tcPr>
          <w:p>
            <w:pPr>
              <w:ind w:right="73"/>
              <w:jc w:val="right"/>
              <w:rPr>
                <w:szCs w:val="21"/>
              </w:rPr>
            </w:pPr>
            <w:r>
              <w:rPr>
                <w:rFonts w:hint="eastAsia"/>
                <w:color w:val="auto"/>
                <w:szCs w:val="21"/>
              </w:rPr>
              <w:t>1,217,186.61</w:t>
            </w:r>
          </w:p>
        </w:tc>
        <w:tc>
          <w:tcPr>
            <w:tcW w:w="3011" w:type="dxa"/>
            <w:vAlign w:val="center"/>
          </w:tcPr>
          <w:p>
            <w:pPr>
              <w:jc w:val="right"/>
              <w:rPr>
                <w:szCs w:val="21"/>
              </w:rPr>
            </w:pPr>
            <w:r>
              <w:rPr>
                <w:rFonts w:hint="eastAsia"/>
                <w:color w:val="auto"/>
                <w:szCs w:val="21"/>
              </w:rPr>
              <w:t>1,976,700.29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31" w:type="dxa"/>
            <w:vAlign w:val="center"/>
          </w:tcPr>
          <w:sdt>
            <w:sdtPr>
              <w:tag w:val="_PLD_286bae1276454142bcbbbd304c37de69"/>
              <w:id w:val="7424"/>
            </w:sdtPr>
            <w:sdtContent>
              <w:p>
                <w:pPr>
                  <w:ind w:right="105"/>
                  <w:rPr>
                    <w:szCs w:val="21"/>
                  </w:rPr>
                </w:pPr>
                <w:r>
                  <w:rPr>
                    <w:rFonts w:hint="eastAsia"/>
                    <w:szCs w:val="21"/>
                  </w:rPr>
                  <w:t>教育税附加</w:t>
                </w:r>
              </w:p>
            </w:sdtContent>
          </w:sdt>
        </w:tc>
        <w:tc>
          <w:tcPr>
            <w:tcW w:w="3006" w:type="dxa"/>
            <w:vAlign w:val="center"/>
          </w:tcPr>
          <w:p>
            <w:pPr>
              <w:ind w:right="73"/>
              <w:jc w:val="right"/>
              <w:rPr>
                <w:szCs w:val="21"/>
              </w:rPr>
            </w:pPr>
            <w:r>
              <w:rPr>
                <w:rFonts w:hint="eastAsia"/>
                <w:color w:val="auto"/>
                <w:szCs w:val="21"/>
              </w:rPr>
              <w:t>136,961.10</w:t>
            </w:r>
          </w:p>
        </w:tc>
        <w:tc>
          <w:tcPr>
            <w:tcW w:w="3011" w:type="dxa"/>
            <w:vAlign w:val="center"/>
          </w:tcPr>
          <w:p>
            <w:pPr>
              <w:jc w:val="right"/>
              <w:rPr>
                <w:szCs w:val="21"/>
              </w:rPr>
            </w:pPr>
            <w:r>
              <w:rPr>
                <w:rFonts w:hint="eastAsia"/>
                <w:color w:val="auto"/>
                <w:szCs w:val="21"/>
              </w:rPr>
              <w:t>151,365.88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31" w:type="dxa"/>
            <w:vAlign w:val="center"/>
          </w:tcPr>
          <w:p>
            <w:pPr>
              <w:ind w:right="105"/>
              <w:rPr>
                <w:szCs w:val="21"/>
              </w:rPr>
            </w:pPr>
            <w:r>
              <w:rPr>
                <w:rFonts w:hint="eastAsia"/>
                <w:szCs w:val="21"/>
              </w:rPr>
              <w:t>城市维护建设税</w:t>
            </w:r>
          </w:p>
        </w:tc>
        <w:tc>
          <w:tcPr>
            <w:tcW w:w="3006" w:type="dxa"/>
            <w:vAlign w:val="center"/>
          </w:tcPr>
          <w:p>
            <w:pPr>
              <w:ind w:right="73"/>
              <w:jc w:val="right"/>
              <w:rPr>
                <w:szCs w:val="21"/>
              </w:rPr>
            </w:pPr>
            <w:r>
              <w:rPr>
                <w:rFonts w:hint="eastAsia"/>
                <w:color w:val="auto"/>
                <w:szCs w:val="21"/>
              </w:rPr>
              <w:t>198,882.15</w:t>
            </w:r>
          </w:p>
        </w:tc>
        <w:tc>
          <w:tcPr>
            <w:tcW w:w="3011" w:type="dxa"/>
            <w:vAlign w:val="center"/>
          </w:tcPr>
          <w:p>
            <w:pPr>
              <w:jc w:val="right"/>
              <w:rPr>
                <w:szCs w:val="21"/>
              </w:rPr>
            </w:pPr>
            <w:r>
              <w:rPr>
                <w:rFonts w:hint="eastAsia"/>
                <w:color w:val="auto"/>
                <w:szCs w:val="21"/>
              </w:rPr>
              <w:t>189,035.02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31" w:type="dxa"/>
            <w:vAlign w:val="center"/>
          </w:tcPr>
          <w:p>
            <w:pPr>
              <w:ind w:right="105"/>
              <w:rPr>
                <w:rFonts w:hint="eastAsia"/>
                <w:szCs w:val="21"/>
              </w:rPr>
            </w:pPr>
            <w:r>
              <w:rPr>
                <w:rFonts w:hint="eastAsia"/>
                <w:color w:val="auto"/>
                <w:szCs w:val="21"/>
              </w:rPr>
              <w:t>土地使用税</w:t>
            </w:r>
          </w:p>
        </w:tc>
        <w:tc>
          <w:tcPr>
            <w:tcW w:w="3006" w:type="dxa"/>
            <w:vAlign w:val="center"/>
          </w:tcPr>
          <w:p>
            <w:pPr>
              <w:ind w:right="73"/>
              <w:jc w:val="right"/>
              <w:rPr>
                <w:szCs w:val="21"/>
              </w:rPr>
            </w:pPr>
            <w:r>
              <w:rPr>
                <w:rFonts w:hint="eastAsia"/>
                <w:color w:val="auto"/>
                <w:szCs w:val="21"/>
              </w:rPr>
              <w:t>99,755.41</w:t>
            </w:r>
          </w:p>
        </w:tc>
        <w:tc>
          <w:tcPr>
            <w:tcW w:w="3011" w:type="dxa"/>
            <w:vAlign w:val="center"/>
          </w:tcPr>
          <w:p>
            <w:pPr>
              <w:jc w:val="right"/>
              <w:rPr>
                <w:szCs w:val="21"/>
              </w:rPr>
            </w:pPr>
            <w:r>
              <w:rPr>
                <w:rFonts w:hint="eastAsia"/>
                <w:color w:val="auto"/>
                <w:szCs w:val="21"/>
              </w:rPr>
              <w:t>99,755.41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31" w:type="dxa"/>
            <w:vAlign w:val="center"/>
          </w:tcPr>
          <w:p>
            <w:pPr>
              <w:ind w:right="105"/>
              <w:rPr>
                <w:rFonts w:hint="eastAsia"/>
                <w:szCs w:val="21"/>
              </w:rPr>
            </w:pPr>
            <w:r>
              <w:rPr>
                <w:rFonts w:hint="eastAsia"/>
                <w:color w:val="auto"/>
                <w:szCs w:val="21"/>
              </w:rPr>
              <w:t>环境保护税</w:t>
            </w:r>
          </w:p>
        </w:tc>
        <w:tc>
          <w:tcPr>
            <w:tcW w:w="3006" w:type="dxa"/>
            <w:vAlign w:val="center"/>
          </w:tcPr>
          <w:p>
            <w:pPr>
              <w:ind w:right="73"/>
              <w:jc w:val="right"/>
              <w:rPr>
                <w:szCs w:val="21"/>
              </w:rPr>
            </w:pPr>
            <w:r>
              <w:rPr>
                <w:rFonts w:hint="eastAsia"/>
                <w:color w:val="auto"/>
                <w:szCs w:val="21"/>
              </w:rPr>
              <w:t>925.08</w:t>
            </w:r>
          </w:p>
        </w:tc>
        <w:tc>
          <w:tcPr>
            <w:tcW w:w="3011" w:type="dxa"/>
            <w:vAlign w:val="center"/>
          </w:tcPr>
          <w:p>
            <w:pPr>
              <w:jc w:val="right"/>
              <w:rPr>
                <w:szCs w:val="21"/>
              </w:rPr>
            </w:pPr>
            <w:r>
              <w:rPr>
                <w:rFonts w:hint="eastAsia"/>
                <w:color w:val="auto"/>
                <w:szCs w:val="21"/>
              </w:rPr>
              <w:t>925.08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31" w:type="dxa"/>
            <w:vAlign w:val="center"/>
          </w:tcPr>
          <w:p>
            <w:pPr>
              <w:ind w:right="105"/>
              <w:rPr>
                <w:rFonts w:hint="eastAsia"/>
                <w:szCs w:val="21"/>
              </w:rPr>
            </w:pPr>
            <w:r>
              <w:rPr>
                <w:rFonts w:hint="eastAsia"/>
                <w:color w:val="auto"/>
                <w:szCs w:val="21"/>
              </w:rPr>
              <w:t>其他税费</w:t>
            </w:r>
          </w:p>
        </w:tc>
        <w:tc>
          <w:tcPr>
            <w:tcW w:w="3006" w:type="dxa"/>
            <w:vAlign w:val="center"/>
          </w:tcPr>
          <w:p>
            <w:pPr>
              <w:ind w:right="73"/>
              <w:jc w:val="right"/>
              <w:rPr>
                <w:szCs w:val="21"/>
              </w:rPr>
            </w:pPr>
            <w:r>
              <w:rPr>
                <w:rFonts w:hint="eastAsia"/>
                <w:color w:val="auto"/>
                <w:szCs w:val="21"/>
              </w:rPr>
              <w:t>397,944.57</w:t>
            </w:r>
          </w:p>
        </w:tc>
        <w:tc>
          <w:tcPr>
            <w:tcW w:w="3011" w:type="dxa"/>
            <w:vAlign w:val="center"/>
          </w:tcPr>
          <w:p>
            <w:pPr>
              <w:jc w:val="right"/>
              <w:rPr>
                <w:szCs w:val="21"/>
              </w:rPr>
            </w:pPr>
            <w:r>
              <w:rPr>
                <w:rFonts w:hint="eastAsia"/>
                <w:color w:val="auto"/>
                <w:szCs w:val="21"/>
              </w:rPr>
              <w:t>247,860.84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31" w:type="dxa"/>
            <w:vAlign w:val="center"/>
          </w:tcPr>
          <w:p>
            <w:pPr>
              <w:ind w:right="105"/>
              <w:jc w:val="center"/>
              <w:rPr>
                <w:szCs w:val="21"/>
              </w:rPr>
            </w:pPr>
            <w:r>
              <w:rPr>
                <w:rFonts w:hint="eastAsia"/>
                <w:szCs w:val="21"/>
              </w:rPr>
              <w:t>合计</w:t>
            </w:r>
          </w:p>
        </w:tc>
        <w:tc>
          <w:tcPr>
            <w:tcW w:w="3006" w:type="dxa"/>
            <w:vAlign w:val="center"/>
          </w:tcPr>
          <w:p>
            <w:pPr>
              <w:ind w:right="73"/>
              <w:jc w:val="right"/>
              <w:rPr>
                <w:szCs w:val="21"/>
              </w:rPr>
            </w:pPr>
            <w:r>
              <w:rPr>
                <w:rFonts w:hint="eastAsia"/>
                <w:color w:val="auto"/>
                <w:szCs w:val="21"/>
              </w:rPr>
              <w:t>4,166,759.58</w:t>
            </w:r>
          </w:p>
        </w:tc>
        <w:tc>
          <w:tcPr>
            <w:tcW w:w="3011" w:type="dxa"/>
            <w:vAlign w:val="center"/>
          </w:tcPr>
          <w:p>
            <w:pPr>
              <w:jc w:val="right"/>
              <w:rPr>
                <w:szCs w:val="21"/>
              </w:rPr>
            </w:pPr>
            <w:r>
              <w:rPr>
                <w:rFonts w:hint="eastAsia"/>
                <w:color w:val="auto"/>
                <w:szCs w:val="21"/>
              </w:rPr>
              <w:t>5,889,684.98</w:t>
            </w:r>
          </w:p>
        </w:tc>
      </w:tr>
    </w:tbl>
    <w:p>
      <w:pPr>
        <w:rPr>
          <w:szCs w:val="21"/>
        </w:rPr>
      </w:pPr>
      <w:r>
        <w:rPr>
          <w:rFonts w:hint="eastAsia"/>
          <w:szCs w:val="21"/>
        </w:rPr>
        <w:t>其他说明：</w:t>
      </w:r>
    </w:p>
    <w:sdt>
      <w:sdtPr>
        <w:rPr>
          <w:szCs w:val="21"/>
        </w:rPr>
        <w:alias w:val="应交税金的说明"/>
        <w:tag w:val="_GBC_e365cc8f407645ca84ccf91263d3cc28"/>
        <w:id w:val="7425"/>
        <w:placeholder>
          <w:docPart w:val="GBC22222222222222222222222222222"/>
        </w:placeholder>
      </w:sdtPr>
      <w:sdtEndPr>
        <w:rPr>
          <w:szCs w:val="21"/>
        </w:rPr>
      </w:sdtEndPr>
      <w:sdtContent>
        <w:p>
          <w:pPr>
            <w:rPr>
              <w:szCs w:val="21"/>
            </w:rPr>
          </w:pPr>
          <w:r>
            <w:rPr>
              <w:rFonts w:hint="eastAsia"/>
              <w:szCs w:val="21"/>
            </w:rPr>
            <w:t>无</w:t>
          </w:r>
        </w:p>
      </w:sdtContent>
    </w:sdt>
    <w:p>
      <w:pPr>
        <w:rPr>
          <w:szCs w:val="21"/>
        </w:rPr>
      </w:pPr>
    </w:p>
    <w:p>
      <w:pPr>
        <w:pStyle w:val="4"/>
        <w:numPr>
          <w:ilvl w:val="0"/>
          <w:numId w:val="62"/>
        </w:numPr>
        <w:tabs>
          <w:tab w:val="left" w:pos="504"/>
        </w:tabs>
        <w:rPr>
          <w:szCs w:val="21"/>
        </w:rPr>
      </w:pPr>
      <w:r>
        <w:rPr>
          <w:rFonts w:hint="eastAsia"/>
          <w:szCs w:val="21"/>
        </w:rPr>
        <w:t>其他应付款</w:t>
      </w:r>
    </w:p>
    <w:p>
      <w:pPr>
        <w:pStyle w:val="5"/>
        <w:numPr>
          <w:ilvl w:val="0"/>
          <w:numId w:val="93"/>
        </w:numPr>
        <w:rPr>
          <w:rFonts w:hint="eastAsia"/>
        </w:rPr>
      </w:pPr>
      <w:bookmarkStart w:id="325" w:name="_Hlk532910042"/>
      <w:r>
        <w:rPr>
          <w:rFonts w:hint="eastAsia"/>
        </w:rPr>
        <w:t>项目列示</w:t>
      </w:r>
    </w:p>
    <w:sdt>
      <w:sdtPr>
        <w:alias w:val="是否适用：其他应付款分类列示[双击切换]"/>
        <w:tag w:val="_GBC_66f20e30acfe43c3b4edf860d086ad10"/>
        <w:id w:val="7426"/>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其他应付款分类列示"/>
          <w:tag w:val="_GBC_1d2c755c7a60470390b86f677f589d52"/>
          <w:id w:val="742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其他应付款分类列示"/>
          <w:tag w:val="_GBC_54becc5fdf374134a56007701ad1c4e0"/>
          <w:id w:val="74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08"/>
        <w:gridCol w:w="2863"/>
        <w:gridCol w:w="2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8" w:type="dxa"/>
            <w:vAlign w:val="center"/>
          </w:tcPr>
          <w:sdt>
            <w:sdtPr>
              <w:tag w:val="_PLD_5b32323c48c441e4832da1fe28654990"/>
              <w:id w:val="7429"/>
            </w:sdtPr>
            <w:sdtContent>
              <w:p>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sdtContent>
          </w:sdt>
        </w:tc>
        <w:tc>
          <w:tcPr>
            <w:tcW w:w="2863" w:type="dxa"/>
            <w:vAlign w:val="center"/>
          </w:tcPr>
          <w:sdt>
            <w:sdtPr>
              <w:tag w:val="_PLD_427fe40919c945eaada0e2529b497787"/>
              <w:id w:val="7430"/>
            </w:sdtPr>
            <w:sdtContent>
              <w:p>
                <w:pPr>
                  <w:jc w:val="center"/>
                  <w:rPr>
                    <w:szCs w:val="21"/>
                  </w:rPr>
                </w:pPr>
                <w:r>
                  <w:rPr>
                    <w:rFonts w:hint="eastAsia"/>
                    <w:szCs w:val="21"/>
                  </w:rPr>
                  <w:t>期末余额</w:t>
                </w:r>
              </w:p>
            </w:sdtContent>
          </w:sdt>
        </w:tc>
        <w:tc>
          <w:tcPr>
            <w:tcW w:w="2877" w:type="dxa"/>
            <w:vAlign w:val="center"/>
          </w:tcPr>
          <w:sdt>
            <w:sdtPr>
              <w:tag w:val="_PLD_963dd0fff1a644319fa667127e37c635"/>
              <w:id w:val="7431"/>
            </w:sdtPr>
            <w:sdtContent>
              <w:p>
                <w:pPr>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8" w:type="dxa"/>
            <w:vAlign w:val="center"/>
          </w:tcPr>
          <w:p>
            <w:pPr>
              <w:tabs>
                <w:tab w:val="right" w:pos="3690"/>
                <w:tab w:val="right" w:pos="5130"/>
                <w:tab w:val="right" w:pos="6030"/>
                <w:tab w:val="right" w:pos="7650"/>
                <w:tab w:val="right" w:pos="9270"/>
              </w:tabs>
              <w:adjustRightInd w:val="0"/>
              <w:snapToGrid w:val="0"/>
              <w:rPr>
                <w:szCs w:val="21"/>
              </w:rPr>
            </w:pPr>
            <w:r>
              <w:rPr>
                <w:rFonts w:hint="eastAsia"/>
                <w:szCs w:val="21"/>
              </w:rPr>
              <w:t>应付股利</w:t>
            </w:r>
          </w:p>
        </w:tc>
        <w:tc>
          <w:tcPr>
            <w:tcW w:w="2863" w:type="dxa"/>
            <w:vAlign w:val="center"/>
          </w:tcPr>
          <w:p>
            <w:pPr>
              <w:tabs>
                <w:tab w:val="right" w:pos="3690"/>
                <w:tab w:val="right" w:pos="5130"/>
                <w:tab w:val="right" w:pos="6030"/>
                <w:tab w:val="right" w:pos="7650"/>
                <w:tab w:val="right" w:pos="9270"/>
              </w:tabs>
              <w:adjustRightInd w:val="0"/>
              <w:snapToGrid w:val="0"/>
              <w:jc w:val="right"/>
              <w:rPr>
                <w:szCs w:val="21"/>
              </w:rPr>
            </w:pPr>
            <w:r>
              <w:rPr>
                <w:rFonts w:hint="eastAsia"/>
                <w:color w:val="auto"/>
              </w:rPr>
              <w:t>8,545,009.38</w:t>
            </w:r>
          </w:p>
        </w:tc>
        <w:tc>
          <w:tcPr>
            <w:tcW w:w="2877" w:type="dxa"/>
            <w:vAlign w:val="center"/>
          </w:tcPr>
          <w:p>
            <w:pPr>
              <w:tabs>
                <w:tab w:val="right" w:pos="3690"/>
                <w:tab w:val="right" w:pos="5130"/>
                <w:tab w:val="right" w:pos="6030"/>
                <w:tab w:val="right" w:pos="7650"/>
                <w:tab w:val="right" w:pos="9270"/>
              </w:tabs>
              <w:adjustRightInd w:val="0"/>
              <w:snapToGrid w:val="0"/>
              <w:jc w:val="right"/>
              <w:rPr>
                <w:szCs w:val="21"/>
              </w:rPr>
            </w:pPr>
            <w:r>
              <w:rPr>
                <w:rFonts w:hint="eastAsia"/>
                <w:color w:val="auto"/>
              </w:rPr>
              <w:t>8,541,399.93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8" w:type="dxa"/>
            <w:vAlign w:val="center"/>
          </w:tcPr>
          <w:p>
            <w:pPr>
              <w:tabs>
                <w:tab w:val="right" w:pos="3690"/>
                <w:tab w:val="right" w:pos="5130"/>
                <w:tab w:val="right" w:pos="6030"/>
                <w:tab w:val="right" w:pos="7650"/>
                <w:tab w:val="right" w:pos="9270"/>
              </w:tabs>
              <w:adjustRightInd w:val="0"/>
              <w:snapToGrid w:val="0"/>
              <w:rPr>
                <w:szCs w:val="21"/>
              </w:rPr>
            </w:pPr>
            <w:r>
              <w:rPr>
                <w:rFonts w:hint="eastAsia"/>
                <w:szCs w:val="21"/>
              </w:rPr>
              <w:t>其他应付款</w:t>
            </w:r>
          </w:p>
        </w:tc>
        <w:tc>
          <w:tcPr>
            <w:tcW w:w="2863" w:type="dxa"/>
            <w:vAlign w:val="center"/>
          </w:tcPr>
          <w:p>
            <w:pPr>
              <w:tabs>
                <w:tab w:val="right" w:pos="3690"/>
                <w:tab w:val="right" w:pos="5130"/>
                <w:tab w:val="right" w:pos="6030"/>
                <w:tab w:val="right" w:pos="7650"/>
                <w:tab w:val="right" w:pos="9270"/>
              </w:tabs>
              <w:adjustRightInd w:val="0"/>
              <w:snapToGrid w:val="0"/>
              <w:jc w:val="right"/>
              <w:rPr>
                <w:szCs w:val="21"/>
              </w:rPr>
            </w:pPr>
            <w:r>
              <w:rPr>
                <w:rFonts w:hint="eastAsia"/>
                <w:color w:val="auto"/>
              </w:rPr>
              <w:t>27,419,947.91</w:t>
            </w:r>
          </w:p>
        </w:tc>
        <w:tc>
          <w:tcPr>
            <w:tcW w:w="2877" w:type="dxa"/>
            <w:vAlign w:val="center"/>
          </w:tcPr>
          <w:p>
            <w:pPr>
              <w:tabs>
                <w:tab w:val="right" w:pos="3690"/>
                <w:tab w:val="right" w:pos="5130"/>
                <w:tab w:val="right" w:pos="6030"/>
                <w:tab w:val="right" w:pos="7650"/>
                <w:tab w:val="right" w:pos="9270"/>
              </w:tabs>
              <w:adjustRightInd w:val="0"/>
              <w:snapToGrid w:val="0"/>
              <w:jc w:val="right"/>
              <w:rPr>
                <w:szCs w:val="21"/>
              </w:rPr>
            </w:pPr>
            <w:r>
              <w:rPr>
                <w:rFonts w:hint="eastAsia"/>
                <w:color w:val="auto"/>
              </w:rPr>
              <w:t>27,508,200.58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8" w:type="dxa"/>
            <w:vAlign w:val="center"/>
          </w:tcPr>
          <w:p>
            <w:pPr>
              <w:tabs>
                <w:tab w:val="right" w:pos="3690"/>
                <w:tab w:val="right" w:pos="5130"/>
                <w:tab w:val="right" w:pos="6030"/>
                <w:tab w:val="right" w:pos="7650"/>
                <w:tab w:val="right" w:pos="9270"/>
              </w:tabs>
              <w:adjustRightInd w:val="0"/>
              <w:snapToGrid w:val="0"/>
              <w:rPr>
                <w:szCs w:val="21"/>
              </w:rPr>
            </w:pPr>
            <w:r>
              <w:rPr>
                <w:rFonts w:hint="eastAsia"/>
                <w:szCs w:val="21"/>
              </w:rPr>
              <w:t>合计</w:t>
            </w:r>
          </w:p>
        </w:tc>
        <w:tc>
          <w:tcPr>
            <w:tcW w:w="2863" w:type="dxa"/>
            <w:vAlign w:val="center"/>
          </w:tcPr>
          <w:p>
            <w:pPr>
              <w:tabs>
                <w:tab w:val="right" w:pos="3690"/>
                <w:tab w:val="right" w:pos="5130"/>
                <w:tab w:val="right" w:pos="6030"/>
                <w:tab w:val="right" w:pos="7650"/>
                <w:tab w:val="right" w:pos="9270"/>
              </w:tabs>
              <w:adjustRightInd w:val="0"/>
              <w:snapToGrid w:val="0"/>
              <w:jc w:val="right"/>
              <w:rPr>
                <w:szCs w:val="21"/>
              </w:rPr>
            </w:pPr>
            <w:r>
              <w:rPr>
                <w:rFonts w:hint="eastAsia"/>
                <w:color w:val="auto"/>
              </w:rPr>
              <w:t>35,964,957.29</w:t>
            </w:r>
          </w:p>
        </w:tc>
        <w:tc>
          <w:tcPr>
            <w:tcW w:w="2877" w:type="dxa"/>
            <w:vAlign w:val="center"/>
          </w:tcPr>
          <w:p>
            <w:pPr>
              <w:tabs>
                <w:tab w:val="right" w:pos="3690"/>
                <w:tab w:val="right" w:pos="5130"/>
                <w:tab w:val="right" w:pos="6030"/>
                <w:tab w:val="right" w:pos="7650"/>
                <w:tab w:val="right" w:pos="9270"/>
              </w:tabs>
              <w:adjustRightInd w:val="0"/>
              <w:snapToGrid w:val="0"/>
              <w:jc w:val="right"/>
              <w:rPr>
                <w:szCs w:val="21"/>
              </w:rPr>
            </w:pPr>
            <w:r>
              <w:rPr>
                <w:rFonts w:hint="eastAsia"/>
                <w:color w:val="auto"/>
              </w:rPr>
              <w:t>36,049,600.51</w:t>
            </w:r>
          </w:p>
        </w:tc>
      </w:tr>
    </w:tbl>
    <w:p/>
    <w:p>
      <w:pPr>
        <w:rPr>
          <w:szCs w:val="21"/>
        </w:rPr>
      </w:pPr>
      <w:bookmarkStart w:id="326" w:name="_Hlk155097683"/>
      <w:r>
        <w:rPr>
          <w:rFonts w:hint="eastAsia"/>
          <w:szCs w:val="21"/>
        </w:rPr>
        <w:t>其他说明：</w:t>
      </w:r>
    </w:p>
    <w:sdt>
      <w:sdtPr>
        <w:rPr>
          <w:szCs w:val="21"/>
        </w:rPr>
        <w:alias w:val="是否适用：其他应付款分类列示其他说明[双击切换]"/>
        <w:tag w:val="_GBC_9cfb2316deee44a8a3605ab376f15408"/>
        <w:id w:val="7432"/>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Pr>
        <w:pStyle w:val="5"/>
        <w:numPr>
          <w:ilvl w:val="0"/>
          <w:numId w:val="93"/>
        </w:numPr>
        <w:rPr>
          <w:rFonts w:hint="eastAsia" w:ascii="宋体" w:hAnsi="宋体" w:eastAsia="宋体" w:cs="宋体"/>
          <w:kern w:val="0"/>
          <w:szCs w:val="24"/>
        </w:rPr>
      </w:pPr>
      <w:r>
        <w:rPr>
          <w:rFonts w:hint="eastAsia" w:ascii="宋体" w:hAnsi="宋体" w:eastAsia="宋体" w:cs="宋体"/>
          <w:kern w:val="0"/>
          <w:szCs w:val="24"/>
        </w:rPr>
        <w:t>应付利息</w:t>
      </w:r>
    </w:p>
    <w:p>
      <w:r>
        <w:rPr>
          <w:rFonts w:hint="eastAsia"/>
        </w:rPr>
        <w:t>分类列示</w:t>
      </w:r>
    </w:p>
    <w:sdt>
      <w:sdtPr>
        <w:alias w:val="是否适用：应付利息[双击切换]"/>
        <w:tag w:val="_GBC_563016e83d32408f90ee8ae140b7dccd"/>
        <w:id w:val="7433"/>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rPr>
          <w:szCs w:val="21"/>
        </w:rPr>
      </w:pPr>
      <w:r>
        <w:rPr>
          <w:rFonts w:hint="eastAsia"/>
          <w:szCs w:val="21"/>
        </w:rPr>
        <w:t>逾期的重要应付利息：</w:t>
      </w:r>
    </w:p>
    <w:sdt>
      <w:sdtPr>
        <w:rPr>
          <w:szCs w:val="21"/>
        </w:rPr>
        <w:alias w:val="是否适用：重要的已逾期未支付的利息情况[双击切换]"/>
        <w:tag w:val="_GBC_e97342df449a4b51897b93180a76915c"/>
        <w:id w:val="7434"/>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spacing w:before="60" w:after="60"/>
        <w:rPr>
          <w:szCs w:val="21"/>
        </w:rPr>
      </w:pPr>
      <w:r>
        <w:rPr>
          <w:rFonts w:hint="eastAsia"/>
          <w:szCs w:val="21"/>
        </w:rPr>
        <w:t>其他说明：</w:t>
      </w:r>
    </w:p>
    <w:sdt>
      <w:sdtPr>
        <w:rPr>
          <w:szCs w:val="21"/>
        </w:rPr>
        <w:alias w:val="是否适用：应付利息说明[双击切换]"/>
        <w:tag w:val="_GBC_8e7eb675343843e89996290865d02478"/>
        <w:id w:val="7435"/>
        <w:placeholder>
          <w:docPart w:val="GBC22222222222222222222222222222"/>
        </w:placeholder>
      </w:sdtPr>
      <w:sdtEndPr>
        <w:rPr>
          <w:szCs w:val="21"/>
        </w:rPr>
      </w:sdtEndPr>
      <w:sdtContent>
        <w:p>
          <w:pPr>
            <w:spacing w:before="60" w:after="60"/>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5"/>
        <w:numPr>
          <w:ilvl w:val="0"/>
          <w:numId w:val="93"/>
        </w:numPr>
        <w:rPr>
          <w:rFonts w:hint="eastAsia" w:ascii="宋体" w:hAnsi="宋体" w:eastAsia="宋体" w:cs="宋体"/>
          <w:kern w:val="0"/>
          <w:szCs w:val="24"/>
        </w:rPr>
      </w:pPr>
      <w:r>
        <w:rPr>
          <w:rFonts w:hint="eastAsia" w:ascii="宋体" w:hAnsi="宋体" w:eastAsia="宋体" w:cs="宋体"/>
          <w:kern w:val="0"/>
          <w:szCs w:val="24"/>
        </w:rPr>
        <w:t>应付股利</w:t>
      </w:r>
    </w:p>
    <w:p>
      <w:r>
        <w:rPr>
          <w:rFonts w:hint="eastAsia"/>
        </w:rPr>
        <w:t>分类列示</w:t>
      </w:r>
    </w:p>
    <w:sdt>
      <w:sdtPr>
        <w:alias w:val="是否适用：应付股利[双击切换]"/>
        <w:tag w:val="_GBC_b5ae3881f6d849679d4053b7e1707366"/>
        <w:id w:val="7436"/>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应付股利"/>
          <w:tag w:val="_GBC_746e24ac62424d15a96488b86eb826bf"/>
          <w:id w:val="743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应付股利"/>
          <w:tag w:val="_GBC_c18d5382c5f94daeb6547452b4d37f05"/>
          <w:id w:val="743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1" w:type="dxa"/>
          <w:bottom w:w="0" w:type="dxa"/>
          <w:right w:w="31" w:type="dxa"/>
        </w:tblCellMar>
      </w:tblPr>
      <w:tblGrid>
        <w:gridCol w:w="2858"/>
        <w:gridCol w:w="3017"/>
        <w:gridCol w:w="30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2858" w:type="dxa"/>
            <w:vAlign w:val="center"/>
          </w:tcPr>
          <w:sdt>
            <w:sdtPr>
              <w:tag w:val="_PLD_88e24e44527e4710873d9194ba96a0df"/>
              <w:id w:val="7439"/>
            </w:sdtPr>
            <w:sdtContent>
              <w:p>
                <w:pPr>
                  <w:ind w:right="105"/>
                  <w:jc w:val="center"/>
                  <w:rPr>
                    <w:szCs w:val="21"/>
                  </w:rPr>
                </w:pPr>
                <w:r>
                  <w:rPr>
                    <w:rFonts w:hint="eastAsia"/>
                    <w:szCs w:val="21"/>
                  </w:rPr>
                  <w:t>项目</w:t>
                </w:r>
              </w:p>
            </w:sdtContent>
          </w:sdt>
        </w:tc>
        <w:tc>
          <w:tcPr>
            <w:tcW w:w="3017" w:type="dxa"/>
            <w:vAlign w:val="center"/>
          </w:tcPr>
          <w:sdt>
            <w:sdtPr>
              <w:tag w:val="_PLD_af903224d39d4058972c7eba8a903356"/>
              <w:id w:val="7440"/>
            </w:sdtPr>
            <w:sdtContent>
              <w:p>
                <w:pPr>
                  <w:jc w:val="center"/>
                  <w:rPr>
                    <w:szCs w:val="21"/>
                  </w:rPr>
                </w:pPr>
                <w:r>
                  <w:rPr>
                    <w:rFonts w:hint="eastAsia"/>
                    <w:szCs w:val="21"/>
                  </w:rPr>
                  <w:t>期末余额</w:t>
                </w:r>
              </w:p>
            </w:sdtContent>
          </w:sdt>
        </w:tc>
        <w:tc>
          <w:tcPr>
            <w:tcW w:w="3018" w:type="dxa"/>
            <w:vAlign w:val="center"/>
          </w:tcPr>
          <w:sdt>
            <w:sdtPr>
              <w:tag w:val="_PLD_11459cf9081a4b309da14403cad71071"/>
              <w:id w:val="7441"/>
            </w:sdtPr>
            <w:sdtContent>
              <w:p>
                <w:pPr>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2858" w:type="dxa"/>
            <w:vAlign w:val="center"/>
          </w:tcPr>
          <w:p>
            <w:pPr>
              <w:ind w:right="105"/>
              <w:rPr>
                <w:szCs w:val="21"/>
              </w:rPr>
            </w:pPr>
            <w:r>
              <w:rPr>
                <w:rFonts w:hint="eastAsia"/>
                <w:szCs w:val="21"/>
              </w:rPr>
              <w:t>普通股股利</w:t>
            </w:r>
          </w:p>
        </w:tc>
        <w:tc>
          <w:tcPr>
            <w:tcW w:w="3017" w:type="dxa"/>
            <w:vAlign w:val="center"/>
          </w:tcPr>
          <w:p>
            <w:pPr>
              <w:ind w:right="73"/>
              <w:jc w:val="right"/>
              <w:rPr>
                <w:szCs w:val="21"/>
              </w:rPr>
            </w:pPr>
            <w:r>
              <w:rPr>
                <w:rFonts w:hint="eastAsia"/>
                <w:color w:val="auto"/>
              </w:rPr>
              <w:t>8,545,009.38</w:t>
            </w:r>
          </w:p>
        </w:tc>
        <w:tc>
          <w:tcPr>
            <w:tcW w:w="3018" w:type="dxa"/>
            <w:vAlign w:val="center"/>
          </w:tcPr>
          <w:p>
            <w:pPr>
              <w:ind w:right="73"/>
              <w:jc w:val="right"/>
              <w:rPr>
                <w:szCs w:val="21"/>
              </w:rPr>
            </w:pPr>
            <w:r>
              <w:rPr>
                <w:rFonts w:hint="eastAsia"/>
                <w:color w:val="auto"/>
              </w:rPr>
              <w:t>8,541,399.93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2858" w:type="dxa"/>
            <w:vAlign w:val="center"/>
          </w:tcPr>
          <w:p>
            <w:pPr>
              <w:ind w:right="105"/>
              <w:rPr>
                <w:color w:val="000000" w:themeColor="text1"/>
                <w:szCs w:val="21"/>
                <w14:textFill>
                  <w14:solidFill>
                    <w14:schemeClr w14:val="tx1"/>
                  </w14:solidFill>
                </w14:textFill>
              </w:rPr>
            </w:pPr>
            <w:r>
              <w:rPr>
                <w:rFonts w:hint="eastAsia"/>
                <w:szCs w:val="21"/>
              </w:rPr>
              <w:t>划分为权益工具的优先股\永续债股利</w:t>
            </w:r>
          </w:p>
        </w:tc>
        <w:tc>
          <w:tcPr>
            <w:tcW w:w="3017" w:type="dxa"/>
            <w:vAlign w:val="center"/>
          </w:tcPr>
          <w:p>
            <w:pPr>
              <w:ind w:right="73"/>
              <w:jc w:val="right"/>
              <w:rPr>
                <w:szCs w:val="21"/>
              </w:rPr>
            </w:pPr>
          </w:p>
        </w:tc>
        <w:tc>
          <w:tcPr>
            <w:tcW w:w="3018" w:type="dxa"/>
            <w:vAlign w:val="center"/>
          </w:tcPr>
          <w:p>
            <w:pPr>
              <w:ind w:right="73"/>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cantSplit/>
        </w:trPr>
        <w:tc>
          <w:tcPr>
            <w:tcW w:w="2858" w:type="dxa"/>
            <w:vAlign w:val="center"/>
          </w:tcPr>
          <w:p>
            <w:pPr>
              <w:ind w:right="105"/>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合计</w:t>
            </w:r>
          </w:p>
        </w:tc>
        <w:tc>
          <w:tcPr>
            <w:tcW w:w="3017" w:type="dxa"/>
            <w:vAlign w:val="center"/>
          </w:tcPr>
          <w:p>
            <w:pPr>
              <w:ind w:right="73"/>
              <w:jc w:val="right"/>
              <w:rPr>
                <w:szCs w:val="21"/>
              </w:rPr>
            </w:pPr>
            <w:r>
              <w:rPr>
                <w:rFonts w:hint="eastAsia"/>
                <w:color w:val="auto"/>
                <w:szCs w:val="21"/>
              </w:rPr>
              <w:t>8,545,009.38</w:t>
            </w:r>
          </w:p>
        </w:tc>
        <w:tc>
          <w:tcPr>
            <w:tcW w:w="3018" w:type="dxa"/>
            <w:vAlign w:val="center"/>
          </w:tcPr>
          <w:p>
            <w:pPr>
              <w:ind w:right="73"/>
              <w:jc w:val="right"/>
              <w:rPr>
                <w:szCs w:val="21"/>
              </w:rPr>
            </w:pPr>
            <w:r>
              <w:rPr>
                <w:rFonts w:hint="eastAsia"/>
                <w:color w:val="auto"/>
                <w:szCs w:val="21"/>
              </w:rPr>
              <w:t>8,541,399.93</w:t>
            </w:r>
          </w:p>
        </w:tc>
      </w:tr>
    </w:tbl>
    <w:p>
      <w:pPr>
        <w:snapToGrid w:val="0"/>
        <w:rPr>
          <w:szCs w:val="21"/>
        </w:rPr>
      </w:pPr>
      <w:r>
        <w:rPr>
          <w:rFonts w:hint="eastAsia"/>
          <w:szCs w:val="21"/>
        </w:rPr>
        <w:t>其他说明，包括重要的超过</w:t>
      </w:r>
      <w:r>
        <w:rPr>
          <w:szCs w:val="21"/>
        </w:rPr>
        <w:t>1年未支付的应付股利，应披露未支付原因：</w:t>
      </w:r>
    </w:p>
    <w:sdt>
      <w:sdtPr>
        <w:rPr>
          <w:szCs w:val="21"/>
        </w:rPr>
        <w:alias w:val="应付股利的说明"/>
        <w:tag w:val="_GBC_9ce4b2e8b2314e3ab29de5513773410c"/>
        <w:id w:val="7442"/>
        <w:placeholder>
          <w:docPart w:val="GBC22222222222222222222222222222"/>
        </w:placeholder>
      </w:sdtPr>
      <w:sdtEndPr>
        <w:rPr>
          <w:szCs w:val="21"/>
        </w:rPr>
      </w:sdtEndPr>
      <w:sdtContent>
        <w:p>
          <w:pPr>
            <w:snapToGrid w:val="0"/>
            <w:rPr>
              <w:szCs w:val="21"/>
            </w:rPr>
          </w:pPr>
          <w:r>
            <w:rPr>
              <w:rFonts w:hint="eastAsia" w:ascii="宋体" w:eastAsia="宋体"/>
              <w:sz w:val="21"/>
              <w:szCs w:val="21"/>
            </w:rPr>
            <w:t>历史遗留原因未支付</w:t>
          </w:r>
        </w:p>
      </w:sdtContent>
    </w:sdt>
    <w:p>
      <w:pPr>
        <w:snapToGrid w:val="0"/>
        <w:rPr>
          <w:szCs w:val="21"/>
        </w:rPr>
      </w:pPr>
    </w:p>
    <w:p>
      <w:pPr>
        <w:pStyle w:val="5"/>
        <w:numPr>
          <w:ilvl w:val="0"/>
          <w:numId w:val="93"/>
        </w:numPr>
        <w:rPr>
          <w:rFonts w:hint="eastAsia" w:ascii="宋体" w:hAnsi="宋体" w:eastAsia="宋体" w:cs="宋体"/>
          <w:kern w:val="0"/>
          <w:szCs w:val="24"/>
        </w:rPr>
      </w:pPr>
      <w:r>
        <w:rPr>
          <w:rFonts w:hint="eastAsia" w:ascii="宋体" w:hAnsi="宋体" w:eastAsia="宋体" w:cs="宋体"/>
          <w:kern w:val="0"/>
          <w:szCs w:val="24"/>
        </w:rPr>
        <w:t>其他应付款</w:t>
      </w:r>
    </w:p>
    <w:p>
      <w:r>
        <w:rPr>
          <w:rFonts w:hint="eastAsia"/>
        </w:rPr>
        <w:t>按款项性质列示其他应付款</w:t>
      </w:r>
    </w:p>
    <w:sdt>
      <w:sdtPr>
        <w:alias w:val="是否适用：按款项性质列示其他应付款[双击切换]"/>
        <w:tag w:val="_GBC_57fbe084a94a43569e8618c84187e188"/>
        <w:id w:val="7443"/>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其他应付款情况"/>
          <w:tag w:val="_GBC_d726e1428c6749b29d7f0a192835a738"/>
          <w:id w:val="744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其他应付款情况"/>
          <w:tag w:val="_GBC_d6d5ce55cea54bfdb348f465f935498d"/>
          <w:id w:val="744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2"/>
        <w:gridCol w:w="2998"/>
        <w:gridCol w:w="3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2" w:type="dxa"/>
            <w:vAlign w:val="center"/>
          </w:tcPr>
          <w:sdt>
            <w:sdtPr>
              <w:tag w:val="_PLD_93c8bd274adc4f10996e441415613a6a"/>
              <w:id w:val="7446"/>
            </w:sdtPr>
            <w:sdtContent>
              <w:p>
                <w:pPr>
                  <w:jc w:val="center"/>
                  <w:rPr>
                    <w:szCs w:val="21"/>
                  </w:rPr>
                </w:pPr>
                <w:r>
                  <w:rPr>
                    <w:rFonts w:hint="eastAsia"/>
                    <w:szCs w:val="21"/>
                  </w:rPr>
                  <w:t>项目</w:t>
                </w:r>
              </w:p>
            </w:sdtContent>
          </w:sdt>
        </w:tc>
        <w:tc>
          <w:tcPr>
            <w:tcW w:w="2998" w:type="dxa"/>
            <w:vAlign w:val="center"/>
          </w:tcPr>
          <w:sdt>
            <w:sdtPr>
              <w:tag w:val="_PLD_a5c3f7ebd9dd4870a971a7b858fb9f49"/>
              <w:id w:val="7447"/>
            </w:sdtPr>
            <w:sdtContent>
              <w:p>
                <w:pPr>
                  <w:jc w:val="center"/>
                  <w:rPr>
                    <w:szCs w:val="21"/>
                  </w:rPr>
                </w:pPr>
                <w:r>
                  <w:rPr>
                    <w:rFonts w:hint="eastAsia"/>
                    <w:szCs w:val="21"/>
                  </w:rPr>
                  <w:t>期末余额</w:t>
                </w:r>
              </w:p>
            </w:sdtContent>
          </w:sdt>
        </w:tc>
        <w:tc>
          <w:tcPr>
            <w:tcW w:w="3127" w:type="dxa"/>
            <w:vAlign w:val="center"/>
          </w:tcPr>
          <w:sdt>
            <w:sdtPr>
              <w:tag w:val="_PLD_f8823e49aba34d32b07cafa41f32e166"/>
              <w:id w:val="7448"/>
            </w:sdtPr>
            <w:sdtContent>
              <w:p>
                <w:pPr>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2" w:type="dxa"/>
            <w:vAlign w:val="center"/>
          </w:tcPr>
          <w:p>
            <w:pPr>
              <w:rPr>
                <w:szCs w:val="21"/>
              </w:rPr>
            </w:pPr>
            <w:r>
              <w:rPr>
                <w:rFonts w:hint="eastAsia"/>
                <w:color w:val="auto"/>
                <w:szCs w:val="21"/>
              </w:rPr>
              <w:t>往来款</w:t>
            </w:r>
          </w:p>
        </w:tc>
        <w:tc>
          <w:tcPr>
            <w:tcW w:w="2998" w:type="dxa"/>
            <w:vAlign w:val="center"/>
          </w:tcPr>
          <w:p>
            <w:pPr>
              <w:jc w:val="right"/>
              <w:rPr>
                <w:szCs w:val="21"/>
              </w:rPr>
            </w:pPr>
            <w:r>
              <w:rPr>
                <w:rFonts w:hint="eastAsia"/>
                <w:color w:val="auto"/>
                <w:szCs w:val="21"/>
              </w:rPr>
              <w:t>21,435,307.89</w:t>
            </w:r>
          </w:p>
        </w:tc>
        <w:tc>
          <w:tcPr>
            <w:tcW w:w="3127" w:type="dxa"/>
            <w:vAlign w:val="center"/>
          </w:tcPr>
          <w:p>
            <w:pPr>
              <w:jc w:val="right"/>
              <w:rPr>
                <w:szCs w:val="21"/>
              </w:rPr>
            </w:pPr>
            <w:r>
              <w:rPr>
                <w:rFonts w:hint="eastAsia"/>
                <w:color w:val="auto"/>
                <w:szCs w:val="21"/>
              </w:rPr>
              <w:t>21,857,882.36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2" w:type="dxa"/>
            <w:vAlign w:val="center"/>
          </w:tcPr>
          <w:p>
            <w:pPr>
              <w:rPr>
                <w:szCs w:val="21"/>
              </w:rPr>
            </w:pPr>
            <w:r>
              <w:rPr>
                <w:rFonts w:hint="eastAsia"/>
                <w:color w:val="auto"/>
                <w:szCs w:val="21"/>
              </w:rPr>
              <w:t>保证金及押金</w:t>
            </w:r>
          </w:p>
        </w:tc>
        <w:tc>
          <w:tcPr>
            <w:tcW w:w="2998" w:type="dxa"/>
            <w:vAlign w:val="center"/>
          </w:tcPr>
          <w:p>
            <w:pPr>
              <w:jc w:val="right"/>
              <w:rPr>
                <w:szCs w:val="21"/>
              </w:rPr>
            </w:pPr>
            <w:r>
              <w:rPr>
                <w:rFonts w:hint="eastAsia"/>
                <w:color w:val="auto"/>
                <w:szCs w:val="21"/>
              </w:rPr>
              <w:t>5,321,621.54</w:t>
            </w:r>
          </w:p>
        </w:tc>
        <w:tc>
          <w:tcPr>
            <w:tcW w:w="3127" w:type="dxa"/>
            <w:vAlign w:val="center"/>
          </w:tcPr>
          <w:p>
            <w:pPr>
              <w:jc w:val="right"/>
              <w:rPr>
                <w:szCs w:val="21"/>
              </w:rPr>
            </w:pPr>
            <w:r>
              <w:rPr>
                <w:rFonts w:hint="eastAsia"/>
                <w:color w:val="auto"/>
                <w:szCs w:val="21"/>
              </w:rPr>
              <w:t>5,390,458.17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2" w:type="dxa"/>
            <w:vAlign w:val="center"/>
          </w:tcPr>
          <w:p>
            <w:pPr>
              <w:rPr>
                <w:szCs w:val="21"/>
              </w:rPr>
            </w:pPr>
            <w:r>
              <w:rPr>
                <w:rFonts w:hint="eastAsia"/>
                <w:color w:val="auto"/>
                <w:szCs w:val="21"/>
              </w:rPr>
              <w:t>其他</w:t>
            </w:r>
          </w:p>
        </w:tc>
        <w:tc>
          <w:tcPr>
            <w:tcW w:w="2998" w:type="dxa"/>
            <w:vAlign w:val="center"/>
          </w:tcPr>
          <w:p>
            <w:pPr>
              <w:jc w:val="right"/>
              <w:rPr>
                <w:szCs w:val="21"/>
              </w:rPr>
            </w:pPr>
            <w:r>
              <w:rPr>
                <w:rFonts w:hint="eastAsia"/>
                <w:color w:val="auto"/>
                <w:szCs w:val="21"/>
              </w:rPr>
              <w:t>663,018.48</w:t>
            </w:r>
          </w:p>
        </w:tc>
        <w:tc>
          <w:tcPr>
            <w:tcW w:w="3127" w:type="dxa"/>
            <w:vAlign w:val="center"/>
          </w:tcPr>
          <w:p>
            <w:pPr>
              <w:jc w:val="right"/>
              <w:rPr>
                <w:szCs w:val="21"/>
              </w:rPr>
            </w:pPr>
            <w:r>
              <w:rPr>
                <w:rFonts w:hint="eastAsia"/>
                <w:color w:val="auto"/>
                <w:szCs w:val="21"/>
              </w:rPr>
              <w:t>259,860.05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2"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合计</w:t>
            </w:r>
          </w:p>
        </w:tc>
        <w:tc>
          <w:tcPr>
            <w:tcW w:w="2998" w:type="dxa"/>
            <w:vAlign w:val="center"/>
          </w:tcPr>
          <w:p>
            <w:pPr>
              <w:jc w:val="right"/>
              <w:rPr>
                <w:szCs w:val="21"/>
              </w:rPr>
            </w:pPr>
            <w:r>
              <w:rPr>
                <w:rFonts w:hint="eastAsia"/>
                <w:color w:val="auto"/>
                <w:szCs w:val="21"/>
              </w:rPr>
              <w:t>27,419,947.91</w:t>
            </w:r>
          </w:p>
        </w:tc>
        <w:tc>
          <w:tcPr>
            <w:tcW w:w="3127" w:type="dxa"/>
            <w:vAlign w:val="center"/>
          </w:tcPr>
          <w:p>
            <w:pPr>
              <w:jc w:val="right"/>
              <w:rPr>
                <w:szCs w:val="21"/>
              </w:rPr>
            </w:pPr>
            <w:r>
              <w:rPr>
                <w:rFonts w:hint="eastAsia"/>
                <w:color w:val="auto"/>
                <w:szCs w:val="21"/>
              </w:rPr>
              <w:t>27,508,200.58</w:t>
            </w:r>
          </w:p>
        </w:tc>
      </w:tr>
    </w:tbl>
    <w:p>
      <w:pPr>
        <w:rPr>
          <w:szCs w:val="21"/>
        </w:rPr>
      </w:pPr>
    </w:p>
    <w:p>
      <w:r>
        <w:rPr>
          <w:rFonts w:hint="eastAsia"/>
        </w:rPr>
        <w:t>账龄超过</w:t>
      </w:r>
      <w:r>
        <w:t>1年</w:t>
      </w:r>
      <w:r>
        <w:rPr>
          <w:rFonts w:hint="eastAsia"/>
        </w:rPr>
        <w:t>或逾期</w:t>
      </w:r>
      <w:r>
        <w:t>的重要其他应付款</w:t>
      </w:r>
    </w:p>
    <w:p>
      <w:sdt>
        <w:sdtPr>
          <w:alias w:val="是否适用：账龄超过1年的重要其他应付款[双击切换]"/>
          <w:tag w:val="_GBC_fcaee62c74504c20ba2aca131c060029"/>
          <w:id w:val="7449"/>
          <w:placeholder>
            <w:docPart w:val="GBC22222222222222222222222222222"/>
          </w:placeholder>
        </w:sdtPr>
        <w:sdtContent>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pPr>
        <w:jc w:val="right"/>
      </w:pPr>
      <w:r>
        <w:rPr>
          <w:rFonts w:hint="eastAsia"/>
        </w:rPr>
        <w:t>单位：</w:t>
      </w:r>
      <w:sdt>
        <w:sdtPr>
          <w:rPr>
            <w:rFonts w:hint="eastAsia"/>
          </w:rPr>
          <w:alias w:val="单位：财务附注：账龄超过1年的重要其他应付款"/>
          <w:tag w:val="_GBC_e21231b7e5484676830a99cc2a6d76a0"/>
          <w:id w:val="745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财务附注：账龄超过1年的重要其他应付款"/>
          <w:tag w:val="_GBC_5e3f99162ac34319b05e54b554619653"/>
          <w:id w:val="745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8"/>
        <w:gridCol w:w="3027"/>
        <w:gridCol w:w="3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2908" w:type="dxa"/>
            <w:vAlign w:val="center"/>
          </w:tcPr>
          <w:sdt>
            <w:sdtPr>
              <w:tag w:val="_PLD_14d2af0850664c16b8395770ef822d33"/>
              <w:id w:val="7452"/>
            </w:sdtPr>
            <w:sdtContent>
              <w:p>
                <w:pPr>
                  <w:jc w:val="center"/>
                  <w:rPr>
                    <w:szCs w:val="21"/>
                  </w:rPr>
                </w:pPr>
                <w:r>
                  <w:rPr>
                    <w:rFonts w:hint="eastAsia"/>
                    <w:szCs w:val="21"/>
                  </w:rPr>
                  <w:t>项目</w:t>
                </w:r>
              </w:p>
            </w:sdtContent>
          </w:sdt>
        </w:tc>
        <w:tc>
          <w:tcPr>
            <w:tcW w:w="3027" w:type="dxa"/>
            <w:vAlign w:val="center"/>
          </w:tcPr>
          <w:sdt>
            <w:sdtPr>
              <w:tag w:val="_PLD_c469b5a44aaf475d9fd5270a942f9c4a"/>
              <w:id w:val="7453"/>
            </w:sdtPr>
            <w:sdtContent>
              <w:p>
                <w:pPr>
                  <w:jc w:val="center"/>
                  <w:rPr>
                    <w:szCs w:val="21"/>
                  </w:rPr>
                </w:pPr>
                <w:r>
                  <w:rPr>
                    <w:rFonts w:hint="eastAsia"/>
                    <w:szCs w:val="21"/>
                  </w:rPr>
                  <w:t>期末余额</w:t>
                </w:r>
              </w:p>
            </w:sdtContent>
          </w:sdt>
        </w:tc>
        <w:tc>
          <w:tcPr>
            <w:tcW w:w="3112" w:type="dxa"/>
            <w:vAlign w:val="center"/>
          </w:tcPr>
          <w:sdt>
            <w:sdtPr>
              <w:tag w:val="_PLD_94367c3bf4fa488b95d154694ccf77ca"/>
              <w:id w:val="7454"/>
            </w:sdtPr>
            <w:sdtContent>
              <w:p>
                <w:pPr>
                  <w:jc w:val="center"/>
                  <w:rPr>
                    <w:szCs w:val="21"/>
                  </w:rPr>
                </w:pPr>
                <w:r>
                  <w:rPr>
                    <w:rFonts w:hint="eastAsia"/>
                    <w:szCs w:val="21"/>
                  </w:rPr>
                  <w:t>未偿还或结转的原因</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8" w:type="dxa"/>
            <w:tcBorders>
              <w:bottom w:val="single" w:color="auto" w:sz="4" w:space="0"/>
            </w:tcBorders>
            <w:vAlign w:val="center"/>
          </w:tcPr>
          <w:p>
            <w:pPr>
              <w:rPr>
                <w:szCs w:val="21"/>
                <w:highlight w:val="yellow"/>
              </w:rPr>
            </w:pPr>
            <w:r>
              <w:rPr>
                <w:rFonts w:hint="eastAsia"/>
              </w:rPr>
              <w:t>广西亿康医药贸易有限责任公司</w:t>
            </w:r>
          </w:p>
        </w:tc>
        <w:tc>
          <w:tcPr>
            <w:tcW w:w="3027" w:type="dxa"/>
            <w:vAlign w:val="center"/>
          </w:tcPr>
          <w:p>
            <w:pPr>
              <w:jc w:val="right"/>
              <w:rPr>
                <w:szCs w:val="21"/>
              </w:rPr>
            </w:pPr>
            <w:r>
              <w:rPr>
                <w:rFonts w:hint="eastAsia"/>
                <w:color w:val="auto"/>
                <w:szCs w:val="21"/>
              </w:rPr>
              <w:t>5,825,688.23</w:t>
            </w:r>
          </w:p>
        </w:tc>
        <w:tc>
          <w:tcPr>
            <w:tcW w:w="3112" w:type="dxa"/>
            <w:vAlign w:val="center"/>
          </w:tcPr>
          <w:p>
            <w:pPr>
              <w:jc w:val="center"/>
              <w:rPr>
                <w:szCs w:val="21"/>
              </w:rPr>
            </w:pPr>
            <w:r>
              <w:rPr>
                <w:rFonts w:hint="eastAsia"/>
                <w:color w:val="auto"/>
                <w:szCs w:val="21"/>
              </w:rPr>
              <w:t>未到偿还期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8" w:type="dxa"/>
            <w:tcBorders>
              <w:bottom w:val="single" w:color="auto" w:sz="4" w:space="0"/>
            </w:tcBorders>
            <w:vAlign w:val="center"/>
          </w:tcPr>
          <w:p>
            <w:pPr>
              <w:rPr>
                <w:szCs w:val="21"/>
                <w:highlight w:val="yellow"/>
              </w:rPr>
            </w:pPr>
            <w:r>
              <w:rPr>
                <w:rFonts w:hint="eastAsia"/>
              </w:rPr>
              <w:t>广西亿康科技有限责任公司</w:t>
            </w:r>
          </w:p>
        </w:tc>
        <w:tc>
          <w:tcPr>
            <w:tcW w:w="3027" w:type="dxa"/>
            <w:vAlign w:val="center"/>
          </w:tcPr>
          <w:p>
            <w:pPr>
              <w:jc w:val="right"/>
              <w:rPr>
                <w:szCs w:val="21"/>
              </w:rPr>
            </w:pPr>
            <w:r>
              <w:rPr>
                <w:rFonts w:hint="eastAsia"/>
                <w:color w:val="auto"/>
                <w:szCs w:val="21"/>
              </w:rPr>
              <w:t>4,470,000.00</w:t>
            </w:r>
          </w:p>
        </w:tc>
        <w:tc>
          <w:tcPr>
            <w:tcW w:w="3112" w:type="dxa"/>
            <w:vAlign w:val="center"/>
          </w:tcPr>
          <w:p>
            <w:pPr>
              <w:jc w:val="center"/>
              <w:rPr>
                <w:szCs w:val="21"/>
              </w:rPr>
            </w:pPr>
            <w:r>
              <w:rPr>
                <w:rFonts w:hint="eastAsia"/>
                <w:color w:val="auto"/>
                <w:szCs w:val="21"/>
              </w:rPr>
              <w:t>未到偿还期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8" w:type="dxa"/>
            <w:tcBorders>
              <w:bottom w:val="single" w:color="auto" w:sz="4" w:space="0"/>
            </w:tcBorders>
            <w:vAlign w:val="center"/>
          </w:tcPr>
          <w:p>
            <w:pPr>
              <w:rPr>
                <w:szCs w:val="21"/>
                <w:highlight w:val="yellow"/>
              </w:rPr>
            </w:pPr>
            <w:r>
              <w:rPr>
                <w:rFonts w:hint="eastAsia"/>
              </w:rPr>
              <w:t>广西维德商贸有限责任公司</w:t>
            </w:r>
          </w:p>
        </w:tc>
        <w:tc>
          <w:tcPr>
            <w:tcW w:w="3027" w:type="dxa"/>
            <w:vAlign w:val="center"/>
          </w:tcPr>
          <w:p>
            <w:pPr>
              <w:jc w:val="right"/>
              <w:rPr>
                <w:szCs w:val="21"/>
              </w:rPr>
            </w:pPr>
            <w:r>
              <w:rPr>
                <w:rFonts w:hint="eastAsia"/>
                <w:color w:val="auto"/>
                <w:szCs w:val="21"/>
              </w:rPr>
              <w:t>1,000,000.00</w:t>
            </w:r>
          </w:p>
        </w:tc>
        <w:tc>
          <w:tcPr>
            <w:tcW w:w="3112" w:type="dxa"/>
            <w:vAlign w:val="center"/>
          </w:tcPr>
          <w:p>
            <w:pPr>
              <w:jc w:val="center"/>
              <w:rPr>
                <w:szCs w:val="21"/>
              </w:rPr>
            </w:pPr>
            <w:r>
              <w:rPr>
                <w:rFonts w:hint="eastAsia"/>
                <w:color w:val="auto"/>
                <w:szCs w:val="21"/>
              </w:rPr>
              <w:t>未到偿还期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8" w:type="dxa"/>
            <w:vAlign w:val="center"/>
          </w:tcPr>
          <w:p>
            <w:pPr>
              <w:jc w:val="center"/>
              <w:rPr>
                <w:szCs w:val="21"/>
              </w:rPr>
            </w:pPr>
            <w:r>
              <w:rPr>
                <w:rFonts w:hint="eastAsia"/>
                <w:szCs w:val="21"/>
              </w:rPr>
              <w:t>合计</w:t>
            </w:r>
          </w:p>
        </w:tc>
        <w:tc>
          <w:tcPr>
            <w:tcW w:w="3027" w:type="dxa"/>
            <w:vAlign w:val="center"/>
          </w:tcPr>
          <w:p>
            <w:pPr>
              <w:jc w:val="right"/>
              <w:rPr>
                <w:szCs w:val="21"/>
              </w:rPr>
            </w:pPr>
            <w:r>
              <w:rPr>
                <w:rFonts w:hint="eastAsia"/>
                <w:color w:val="auto"/>
                <w:szCs w:val="21"/>
              </w:rPr>
              <w:t>11,295,688.23</w:t>
            </w:r>
          </w:p>
        </w:tc>
        <w:tc>
          <w:tcPr>
            <w:tcW w:w="3112" w:type="dxa"/>
            <w:vAlign w:val="center"/>
          </w:tcPr>
          <w:p>
            <w:pPr>
              <w:jc w:val="center"/>
              <w:rPr>
                <w:szCs w:val="21"/>
              </w:rPr>
            </w:pPr>
            <w:r>
              <w:rPr>
                <w:rFonts w:hint="eastAsia"/>
                <w:szCs w:val="21"/>
              </w:rPr>
              <w:t>/</w:t>
            </w:r>
          </w:p>
        </w:tc>
      </w:tr>
    </w:tbl>
    <w:p/>
    <w:p>
      <w:r>
        <w:rPr>
          <w:rFonts w:hint="eastAsia"/>
        </w:rPr>
        <w:t>其他说明：</w:t>
      </w:r>
    </w:p>
    <w:sdt>
      <w:sdtPr>
        <w:alias w:val="是否适用：其他应付款的其他说明[双击切换]"/>
        <w:tag w:val="_GBC_b02a256e4ac940019e9d9179cb6dc349"/>
        <w:id w:val="7455"/>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bookmarkEnd w:id="325"/>
    <w:bookmarkEnd w:id="326"/>
    <w:sdt>
      <w:sdtPr>
        <w:tag w:val="_PLD_fbc816736c7e42139406897419f7ec17"/>
        <w:id w:val="7456"/>
      </w:sdtPr>
      <w:sdtEndPr>
        <w:rPr>
          <w:rFonts w:ascii="Calibri" w:hAnsi="Calibri" w:cs="Times New Roman"/>
          <w:b/>
          <w:bCs/>
          <w:kern w:val="2"/>
        </w:rPr>
      </w:sdtEndPr>
      <w:sdtContent>
        <w:p>
          <w:pPr>
            <w:pStyle w:val="4"/>
            <w:numPr>
              <w:ilvl w:val="0"/>
              <w:numId w:val="62"/>
            </w:numPr>
            <w:tabs>
              <w:tab w:val="left" w:pos="504"/>
            </w:tabs>
            <w:rPr>
              <w:szCs w:val="21"/>
            </w:rPr>
          </w:pPr>
          <w:r>
            <w:rPr>
              <w:rFonts w:hint="eastAsia" w:ascii="宋体" w:hAnsi="宋体"/>
              <w:szCs w:val="21"/>
            </w:rPr>
            <w:t>持有待售负债</w:t>
          </w:r>
        </w:p>
      </w:sdtContent>
    </w:sdt>
    <w:sdt>
      <w:sdtPr>
        <w:alias w:val="是否适用：划分为持有待售的负债[双击切换]"/>
        <w:tag w:val="_GBC_4ea9b2c6d4024d74b39e491f80a07798"/>
        <w:id w:val="7457"/>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pStyle w:val="4"/>
        <w:numPr>
          <w:ilvl w:val="0"/>
          <w:numId w:val="62"/>
        </w:numPr>
        <w:tabs>
          <w:tab w:val="left" w:pos="504"/>
        </w:tabs>
        <w:rPr>
          <w:rFonts w:hint="eastAsia" w:ascii="宋体" w:hAnsi="宋体"/>
          <w:szCs w:val="21"/>
        </w:rPr>
      </w:pPr>
      <w:bookmarkStart w:id="327" w:name="_Hlk24104125"/>
      <w:r>
        <w:rPr>
          <w:rFonts w:hint="eastAsia" w:ascii="宋体" w:hAnsi="宋体"/>
          <w:szCs w:val="21"/>
        </w:rPr>
        <w:t>1年内到期的非流动负债</w:t>
      </w:r>
    </w:p>
    <w:sdt>
      <w:sdtPr>
        <w:alias w:val="是否适用：1年内到期的非流动负债[双击切换]"/>
        <w:tag w:val="_GBC_bf40c7464345405f8470856436e2c6a3"/>
        <w:id w:val="7458"/>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1年内到期的非流动负债情况"/>
          <w:tag w:val="_GBC_fc5bef9f043c4967ab706b443fc31d3c"/>
          <w:id w:val="745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1年内到期的非流动负债情况"/>
          <w:tag w:val="_GBC_fbd4d32585d945468e7aeae52abddc6f"/>
          <w:id w:val="746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8"/>
        <w:gridCol w:w="3036"/>
        <w:gridCol w:w="3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8" w:type="dxa"/>
            <w:vAlign w:val="center"/>
          </w:tcPr>
          <w:sdt>
            <w:sdtPr>
              <w:tag w:val="_PLD_e20bf58d6f134f4caedbea03f8659c14"/>
              <w:id w:val="7461"/>
            </w:sdtPr>
            <w:sdtContent>
              <w:p>
                <w:pPr>
                  <w:jc w:val="center"/>
                  <w:rPr>
                    <w:szCs w:val="21"/>
                  </w:rPr>
                </w:pPr>
                <w:r>
                  <w:rPr>
                    <w:rFonts w:hint="eastAsia"/>
                    <w:szCs w:val="21"/>
                  </w:rPr>
                  <w:t>项目</w:t>
                </w:r>
              </w:p>
            </w:sdtContent>
          </w:sdt>
        </w:tc>
        <w:tc>
          <w:tcPr>
            <w:tcW w:w="3036" w:type="dxa"/>
            <w:vAlign w:val="center"/>
          </w:tcPr>
          <w:sdt>
            <w:sdtPr>
              <w:tag w:val="_PLD_dad829d6a45646668218857399318d20"/>
              <w:id w:val="7462"/>
            </w:sdtPr>
            <w:sdtContent>
              <w:p>
                <w:pPr>
                  <w:jc w:val="center"/>
                  <w:rPr>
                    <w:szCs w:val="21"/>
                  </w:rPr>
                </w:pPr>
                <w:r>
                  <w:rPr>
                    <w:rFonts w:hint="eastAsia"/>
                    <w:szCs w:val="21"/>
                  </w:rPr>
                  <w:t>期末余额</w:t>
                </w:r>
              </w:p>
            </w:sdtContent>
          </w:sdt>
        </w:tc>
        <w:tc>
          <w:tcPr>
            <w:tcW w:w="3103" w:type="dxa"/>
            <w:vAlign w:val="center"/>
          </w:tcPr>
          <w:sdt>
            <w:sdtPr>
              <w:tag w:val="_PLD_9d1d036ddf0544b2b2ddd1dc5633a114"/>
              <w:id w:val="7463"/>
            </w:sdtPr>
            <w:sdtContent>
              <w:p>
                <w:pPr>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8" w:type="dxa"/>
            <w:vAlign w:val="center"/>
          </w:tcPr>
          <w:p>
            <w:r>
              <w:rPr>
                <w:rFonts w:hint="eastAsia"/>
              </w:rPr>
              <w:t>1年内到期的租赁负债</w:t>
            </w:r>
          </w:p>
        </w:tc>
        <w:tc>
          <w:tcPr>
            <w:tcW w:w="3036" w:type="dxa"/>
            <w:vAlign w:val="center"/>
          </w:tcPr>
          <w:p>
            <w:pPr>
              <w:jc w:val="right"/>
              <w:rPr>
                <w:szCs w:val="21"/>
              </w:rPr>
            </w:pPr>
            <w:r>
              <w:rPr>
                <w:rFonts w:hint="eastAsia"/>
                <w:color w:val="auto"/>
              </w:rPr>
              <w:t>2,282,973.87</w:t>
            </w:r>
          </w:p>
        </w:tc>
        <w:tc>
          <w:tcPr>
            <w:tcW w:w="3103" w:type="dxa"/>
            <w:vAlign w:val="center"/>
          </w:tcPr>
          <w:p>
            <w:pPr>
              <w:jc w:val="right"/>
              <w:rPr>
                <w:szCs w:val="21"/>
              </w:rPr>
            </w:pPr>
            <w:r>
              <w:rPr>
                <w:rFonts w:hint="eastAsia"/>
                <w:color w:val="auto"/>
              </w:rPr>
              <w:t>2,214,089.97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8" w:type="dxa"/>
            <w:vAlign w:val="center"/>
          </w:tcPr>
          <w:p>
            <w:pPr>
              <w:jc w:val="center"/>
              <w:rPr>
                <w:szCs w:val="21"/>
              </w:rPr>
            </w:pPr>
            <w:r>
              <w:rPr>
                <w:rFonts w:hint="eastAsia"/>
                <w:szCs w:val="21"/>
              </w:rPr>
              <w:t>合计</w:t>
            </w:r>
          </w:p>
        </w:tc>
        <w:tc>
          <w:tcPr>
            <w:tcW w:w="3036" w:type="dxa"/>
            <w:vAlign w:val="center"/>
          </w:tcPr>
          <w:p>
            <w:pPr>
              <w:jc w:val="right"/>
              <w:rPr>
                <w:szCs w:val="21"/>
              </w:rPr>
            </w:pPr>
            <w:r>
              <w:rPr>
                <w:rFonts w:hint="eastAsia"/>
                <w:color w:val="auto"/>
                <w:szCs w:val="21"/>
              </w:rPr>
              <w:t>2,282,973.87</w:t>
            </w:r>
          </w:p>
        </w:tc>
        <w:tc>
          <w:tcPr>
            <w:tcW w:w="3103" w:type="dxa"/>
            <w:vAlign w:val="center"/>
          </w:tcPr>
          <w:p>
            <w:pPr>
              <w:jc w:val="right"/>
              <w:rPr>
                <w:szCs w:val="21"/>
              </w:rPr>
            </w:pPr>
            <w:r>
              <w:rPr>
                <w:rFonts w:hint="eastAsia"/>
                <w:color w:val="auto"/>
                <w:szCs w:val="21"/>
              </w:rPr>
              <w:t>2,214,089.97</w:t>
            </w:r>
          </w:p>
        </w:tc>
      </w:tr>
    </w:tbl>
    <w:p>
      <w:pPr>
        <w:spacing w:before="60" w:after="60"/>
        <w:rPr>
          <w:szCs w:val="21"/>
        </w:rPr>
      </w:pPr>
      <w:r>
        <w:rPr>
          <w:rFonts w:hint="eastAsia"/>
          <w:szCs w:val="21"/>
        </w:rPr>
        <w:t>其他说明：</w:t>
      </w:r>
    </w:p>
    <w:sdt>
      <w:sdtPr>
        <w:rPr>
          <w:szCs w:val="21"/>
        </w:rPr>
        <w:alias w:val="1年内到期的非流动负债说明"/>
        <w:tag w:val="_GBC_8d20cbb6880f4895b7051ae6dee973ca"/>
        <w:id w:val="7464"/>
        <w:placeholder>
          <w:docPart w:val="GBC22222222222222222222222222222"/>
        </w:placeholder>
      </w:sdtPr>
      <w:sdtEndPr>
        <w:rPr>
          <w:szCs w:val="21"/>
        </w:rPr>
      </w:sdtEndPr>
      <w:sdtContent>
        <w:p>
          <w:pPr>
            <w:rPr>
              <w:szCs w:val="21"/>
            </w:rPr>
          </w:pPr>
          <w:r>
            <w:rPr>
              <w:rFonts w:hint="eastAsia"/>
              <w:szCs w:val="21"/>
            </w:rPr>
            <w:t>无</w:t>
          </w:r>
        </w:p>
      </w:sdtContent>
    </w:sdt>
    <w:bookmarkEnd w:id="327"/>
    <w:p>
      <w:pPr>
        <w:pStyle w:val="4"/>
        <w:numPr>
          <w:ilvl w:val="0"/>
          <w:numId w:val="62"/>
        </w:numPr>
        <w:tabs>
          <w:tab w:val="left" w:pos="504"/>
        </w:tabs>
        <w:rPr>
          <w:rFonts w:hint="eastAsia" w:ascii="宋体" w:hAnsi="宋体"/>
          <w:szCs w:val="21"/>
        </w:rPr>
      </w:pPr>
      <w:r>
        <w:rPr>
          <w:rFonts w:hint="eastAsia" w:ascii="宋体" w:hAnsi="宋体"/>
          <w:szCs w:val="21"/>
        </w:rPr>
        <w:t>其他流动负债</w:t>
      </w:r>
    </w:p>
    <w:p>
      <w:pPr>
        <w:rPr>
          <w:szCs w:val="21"/>
        </w:rPr>
      </w:pPr>
      <w:bookmarkStart w:id="328" w:name="_Hlk533670262"/>
      <w:r>
        <w:rPr>
          <w:rFonts w:hint="eastAsia"/>
          <w:szCs w:val="21"/>
        </w:rPr>
        <w:t>其他流动负债情况</w:t>
      </w:r>
    </w:p>
    <w:sdt>
      <w:sdtPr>
        <w:rPr>
          <w:rFonts w:hint="eastAsia"/>
          <w:szCs w:val="21"/>
        </w:rPr>
        <w:alias w:val="是否适用：其他流动负债情况 [双击切换]"/>
        <w:tag w:val="_GBC_a84ebf5eebf04d4ab9f07c3da85115c2"/>
        <w:id w:val="7465"/>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jc w:val="right"/>
        <w:rPr>
          <w:szCs w:val="21"/>
        </w:rPr>
      </w:pPr>
      <w:r>
        <w:rPr>
          <w:rFonts w:hint="eastAsia"/>
          <w:szCs w:val="21"/>
        </w:rPr>
        <w:t>单位：</w:t>
      </w:r>
      <w:sdt>
        <w:sdtPr>
          <w:rPr>
            <w:rFonts w:hint="eastAsia"/>
            <w:szCs w:val="21"/>
          </w:rPr>
          <w:alias w:val="单位：财务附注：其他流动负债"/>
          <w:tag w:val="_GBC_1a3ea80bd2b9426ead4537785c82d01e"/>
          <w:id w:val="746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其他流动负债"/>
          <w:tag w:val="_GBC_c39ac2b60b0f44cbbd7534c211405631"/>
          <w:id w:val="74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1"/>
        <w:gridCol w:w="3118"/>
        <w:gridCol w:w="3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1" w:type="dxa"/>
            <w:tcBorders>
              <w:top w:val="single" w:color="auto" w:sz="4" w:space="0"/>
              <w:left w:val="single" w:color="auto" w:sz="4" w:space="0"/>
              <w:bottom w:val="single" w:color="auto" w:sz="4" w:space="0"/>
              <w:right w:val="single" w:color="auto" w:sz="4" w:space="0"/>
            </w:tcBorders>
            <w:vAlign w:val="center"/>
          </w:tcPr>
          <w:sdt>
            <w:sdtPr>
              <w:tag w:val="_PLD_96b7e8e5e688449c87d23adc1b63439f"/>
              <w:id w:val="7468"/>
            </w:sdtPr>
            <w:sdtContent>
              <w:p>
                <w:pPr>
                  <w:tabs>
                    <w:tab w:val="right" w:pos="3690"/>
                    <w:tab w:val="right" w:pos="5130"/>
                    <w:tab w:val="right" w:pos="6030"/>
                    <w:tab w:val="right" w:pos="7650"/>
                    <w:tab w:val="right" w:pos="9270"/>
                  </w:tabs>
                  <w:snapToGrid w:val="0"/>
                  <w:ind w:left="-109" w:leftChars="-52"/>
                  <w:jc w:val="center"/>
                  <w:rPr>
                    <w:szCs w:val="21"/>
                  </w:rPr>
                </w:pPr>
                <w:bookmarkStart w:id="329" w:name="_Hlk533423091"/>
                <w:r>
                  <w:rPr>
                    <w:rFonts w:hint="eastAsia"/>
                    <w:szCs w:val="21"/>
                  </w:rPr>
                  <w:t>项目</w:t>
                </w:r>
              </w:p>
            </w:sdtContent>
          </w:sdt>
        </w:tc>
        <w:tc>
          <w:tcPr>
            <w:tcW w:w="3118" w:type="dxa"/>
            <w:tcBorders>
              <w:top w:val="single" w:color="auto" w:sz="4" w:space="0"/>
              <w:left w:val="single" w:color="auto" w:sz="4" w:space="0"/>
              <w:bottom w:val="single" w:color="auto" w:sz="4" w:space="0"/>
              <w:right w:val="single" w:color="auto" w:sz="4" w:space="0"/>
            </w:tcBorders>
            <w:vAlign w:val="center"/>
          </w:tcPr>
          <w:sdt>
            <w:sdtPr>
              <w:tag w:val="_PLD_741229e75da644bb809ec002cfe06423"/>
              <w:id w:val="7469"/>
            </w:sdtPr>
            <w:sdtContent>
              <w:p>
                <w:pPr>
                  <w:adjustRightInd w:val="0"/>
                  <w:snapToGrid w:val="0"/>
                  <w:jc w:val="center"/>
                  <w:rPr>
                    <w:szCs w:val="21"/>
                  </w:rPr>
                </w:pPr>
                <w:r>
                  <w:rPr>
                    <w:rFonts w:hint="eastAsia"/>
                    <w:szCs w:val="21"/>
                  </w:rPr>
                  <w:t>期末余额</w:t>
                </w:r>
              </w:p>
            </w:sdtContent>
          </w:sdt>
        </w:tc>
        <w:tc>
          <w:tcPr>
            <w:tcW w:w="3129" w:type="dxa"/>
            <w:tcBorders>
              <w:top w:val="single" w:color="auto" w:sz="4" w:space="0"/>
              <w:left w:val="single" w:color="auto" w:sz="4" w:space="0"/>
              <w:bottom w:val="single" w:color="auto" w:sz="4" w:space="0"/>
              <w:right w:val="single" w:color="auto" w:sz="4" w:space="0"/>
            </w:tcBorders>
            <w:vAlign w:val="center"/>
          </w:tcPr>
          <w:sdt>
            <w:sdtPr>
              <w:tag w:val="_PLD_426d25a331b04af9b2ec53d6a7e168d4"/>
              <w:id w:val="7470"/>
            </w:sdtPr>
            <w:sdtContent>
              <w:p>
                <w:pPr>
                  <w:adjustRightInd w:val="0"/>
                  <w:snapToGrid w:val="0"/>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1"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szCs w:val="21"/>
              </w:rPr>
              <w:t>预提各项费用</w:t>
            </w:r>
          </w:p>
        </w:tc>
        <w:tc>
          <w:tcPr>
            <w:tcW w:w="311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13,971,787.44</w:t>
            </w:r>
          </w:p>
        </w:tc>
        <w:tc>
          <w:tcPr>
            <w:tcW w:w="312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20,910,632.39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1"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szCs w:val="21"/>
              </w:rPr>
              <w:t>待转销项税</w:t>
            </w:r>
          </w:p>
        </w:tc>
        <w:tc>
          <w:tcPr>
            <w:tcW w:w="311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4,048,002.94</w:t>
            </w:r>
          </w:p>
        </w:tc>
        <w:tc>
          <w:tcPr>
            <w:tcW w:w="312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3,562,256.38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1"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szCs w:val="21"/>
              </w:rPr>
              <w:t>其他</w:t>
            </w:r>
          </w:p>
        </w:tc>
        <w:tc>
          <w:tcPr>
            <w:tcW w:w="311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91,772.23</w:t>
            </w:r>
          </w:p>
        </w:tc>
        <w:tc>
          <w:tcPr>
            <w:tcW w:w="312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499,553.18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1"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合计</w:t>
            </w:r>
          </w:p>
        </w:tc>
        <w:tc>
          <w:tcPr>
            <w:tcW w:w="311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18,111,562.61</w:t>
            </w:r>
          </w:p>
        </w:tc>
        <w:tc>
          <w:tcPr>
            <w:tcW w:w="312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24,972,441.95</w:t>
            </w:r>
          </w:p>
        </w:tc>
      </w:tr>
    </w:tbl>
    <w:p>
      <w:pPr>
        <w:rPr>
          <w:color w:val="000000" w:themeColor="text1"/>
          <w:szCs w:val="21"/>
          <w14:textFill>
            <w14:solidFill>
              <w14:schemeClr w14:val="tx1"/>
            </w14:solidFill>
          </w14:textFill>
        </w:rPr>
      </w:pPr>
    </w:p>
    <w:bookmarkEnd w:id="328"/>
    <w:bookmarkEnd w:id="329"/>
    <w:p>
      <w:pPr>
        <w:rPr>
          <w:szCs w:val="21"/>
        </w:rPr>
      </w:pPr>
    </w:p>
    <w:p>
      <w:r>
        <w:rPr>
          <w:rFonts w:hint="eastAsia"/>
        </w:rPr>
        <w:t>短期</w:t>
      </w:r>
      <w:r>
        <w:t>应付债券的增减变动</w:t>
      </w:r>
      <w:r>
        <w:rPr>
          <w:rFonts w:hint="eastAsia"/>
        </w:rPr>
        <w:t>：</w:t>
      </w:r>
    </w:p>
    <w:sdt>
      <w:sdtPr>
        <w:alias w:val="是否适用：短期应付债券的增减变动[双击切换]"/>
        <w:tag w:val="_GBC_9702365af41547e6b7eeb62225fd79a4"/>
        <w:id w:val="7471"/>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spacing w:before="60" w:after="60"/>
        <w:rPr>
          <w:szCs w:val="21"/>
        </w:rPr>
      </w:pPr>
      <w:r>
        <w:rPr>
          <w:rFonts w:hint="eastAsia"/>
          <w:szCs w:val="21"/>
        </w:rPr>
        <w:t>其他说明：</w:t>
      </w:r>
    </w:p>
    <w:sdt>
      <w:sdtPr>
        <w:rPr>
          <w:szCs w:val="21"/>
        </w:rPr>
        <w:alias w:val="是否适用：其他流动负债说明[双击切换]"/>
        <w:tag w:val="_GBC_137d3b80ab3041c1a1b255a500c3d52c"/>
        <w:id w:val="7472"/>
        <w:placeholder>
          <w:docPart w:val="GBC22222222222222222222222222222"/>
        </w:placeholder>
      </w:sdtPr>
      <w:sdtEndPr>
        <w:rPr>
          <w:szCs w:val="21"/>
        </w:rPr>
      </w:sdtEndPr>
      <w:sdtContent>
        <w:p>
          <w:pPr>
            <w:spacing w:before="60" w:after="60"/>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sdt>
      <w:sdtPr>
        <w:tag w:val="_PLD_6d7e43bb5c594712b7d901a9051df4c6"/>
        <w:id w:val="7473"/>
      </w:sdtPr>
      <w:sdtContent>
        <w:p>
          <w:pPr>
            <w:pStyle w:val="4"/>
            <w:numPr>
              <w:ilvl w:val="0"/>
              <w:numId w:val="62"/>
            </w:numPr>
            <w:tabs>
              <w:tab w:val="left" w:pos="504"/>
            </w:tabs>
            <w:rPr>
              <w:rFonts w:hint="eastAsia" w:ascii="宋体" w:hAnsi="宋体"/>
              <w:szCs w:val="21"/>
            </w:rPr>
          </w:pPr>
          <w:r>
            <w:rPr>
              <w:rFonts w:hint="eastAsia" w:ascii="宋体" w:hAnsi="宋体"/>
              <w:szCs w:val="21"/>
            </w:rPr>
            <w:t>长期借款</w:t>
          </w:r>
        </w:p>
      </w:sdtContent>
    </w:sdt>
    <w:p>
      <w:pPr>
        <w:pStyle w:val="5"/>
        <w:numPr>
          <w:ilvl w:val="3"/>
          <w:numId w:val="94"/>
        </w:numPr>
        <w:rPr>
          <w:rFonts w:hint="eastAsia"/>
        </w:rPr>
      </w:pPr>
      <w:r>
        <w:rPr>
          <w:rFonts w:hint="eastAsia"/>
        </w:rPr>
        <w:t>长期借款分类</w:t>
      </w:r>
    </w:p>
    <w:sdt>
      <w:sdtPr>
        <w:alias w:val="是否适用：长期借款分类[双击切换]"/>
        <w:tag w:val="_GBC_f97d0882083646ed86769469b3ee8875"/>
        <w:id w:val="747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napToGrid w:val="0"/>
        <w:rPr>
          <w:rFonts w:cstheme="minorBidi"/>
          <w:color w:val="000000" w:themeColor="text1"/>
          <w:kern w:val="2"/>
          <w:szCs w:val="21"/>
          <w14:textFill>
            <w14:solidFill>
              <w14:schemeClr w14:val="tx1"/>
            </w14:solidFill>
          </w14:textFill>
        </w:rPr>
      </w:pPr>
    </w:p>
    <w:p>
      <w:pPr>
        <w:snapToGrid w:val="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其他说明：</w:t>
      </w:r>
    </w:p>
    <w:sdt>
      <w:sdtPr>
        <w:rPr>
          <w:color w:val="000000" w:themeColor="text1"/>
          <w:szCs w:val="21"/>
          <w14:textFill>
            <w14:solidFill>
              <w14:schemeClr w14:val="tx1"/>
            </w14:solidFill>
          </w14:textFill>
        </w:rPr>
        <w:alias w:val="是否适用：长期借款的说明[双击切换]"/>
        <w:tag w:val="_GBC_81b19a673078421a910ba8721333fbbe"/>
        <w:id w:val="7475"/>
        <w:placeholder>
          <w:docPart w:val="GBC22222222222222222222222222222"/>
        </w:placeholder>
      </w:sdtPr>
      <w:sdtEndPr>
        <w:rPr>
          <w:color w:val="000000" w:themeColor="text1"/>
          <w:szCs w:val="21"/>
          <w14:textFill>
            <w14:solidFill>
              <w14:schemeClr w14:val="tx1"/>
            </w14:solidFill>
          </w14:textFill>
        </w:rPr>
      </w:sdtEndPr>
      <w:sdtContent>
        <w:p>
          <w:pPr>
            <w:snapToGrid w:val="0"/>
            <w:rPr>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fldChar w:fldCharType="begin"/>
          </w:r>
          <w:r>
            <w:rPr>
              <w:rFonts w:hint="eastAsia" w:ascii="宋体" w:hAnsi="宋体"/>
              <w:color w:val="000000" w:themeColor="text1"/>
              <w:szCs w:val="21"/>
              <w14:textFill>
                <w14:solidFill>
                  <w14:schemeClr w14:val="tx1"/>
                </w14:solidFill>
              </w14:textFill>
            </w:rPr>
            <w:instrText xml:space="preserve">MACROBUTTON  SnrToggleCheckbox □适用 </w:instrText>
          </w:r>
          <w:r>
            <w:rPr>
              <w:rFonts w:ascii="宋体" w:hAnsi="宋体"/>
              <w:color w:val="000000" w:themeColor="text1"/>
              <w:szCs w:val="21"/>
              <w14:textFill>
                <w14:solidFill>
                  <w14:schemeClr w14:val="tx1"/>
                </w14:solidFill>
              </w14:textFill>
            </w:rPr>
            <w:fldChar w:fldCharType="end"/>
          </w:r>
          <w:r>
            <w:rPr>
              <w:rFonts w:ascii="宋体" w:hAnsi="宋体"/>
              <w:color w:val="000000" w:themeColor="text1"/>
              <w:szCs w:val="21"/>
              <w14:textFill>
                <w14:solidFill>
                  <w14:schemeClr w14:val="tx1"/>
                </w14:solidFill>
              </w14:textFill>
            </w:rPr>
            <w:fldChar w:fldCharType="begin"/>
          </w:r>
          <w:r>
            <w:rPr>
              <w:rFonts w:ascii="宋体" w:hAnsi="宋体"/>
              <w:color w:val="000000" w:themeColor="text1"/>
              <w:szCs w:val="21"/>
              <w14:textFill>
                <w14:solidFill>
                  <w14:schemeClr w14:val="tx1"/>
                </w14:solidFill>
              </w14:textFill>
            </w:rPr>
            <w:instrText xml:space="preserve"> MACROBUTTON  SnrToggleCheckbox √不适用 </w:instrText>
          </w:r>
          <w:r>
            <w:rPr>
              <w:rFonts w:ascii="宋体" w:hAnsi="宋体"/>
              <w:color w:val="000000" w:themeColor="text1"/>
              <w:szCs w:val="21"/>
              <w14:textFill>
                <w14:solidFill>
                  <w14:schemeClr w14:val="tx1"/>
                </w14:solidFill>
              </w14:textFill>
            </w:rPr>
            <w:fldChar w:fldCharType="end"/>
          </w:r>
        </w:p>
      </w:sdtContent>
    </w:sdt>
    <w:p>
      <w:pPr>
        <w:rPr>
          <w:szCs w:val="21"/>
        </w:rPr>
      </w:pPr>
    </w:p>
    <w:p>
      <w:pPr>
        <w:pStyle w:val="4"/>
        <w:numPr>
          <w:ilvl w:val="0"/>
          <w:numId w:val="62"/>
        </w:numPr>
        <w:tabs>
          <w:tab w:val="left" w:pos="504"/>
        </w:tabs>
        <w:rPr>
          <w:rFonts w:hint="eastAsia" w:ascii="宋体" w:hAnsi="宋体"/>
          <w:szCs w:val="21"/>
        </w:rPr>
      </w:pPr>
      <w:r>
        <w:rPr>
          <w:rFonts w:hint="eastAsia" w:ascii="宋体" w:hAnsi="宋体"/>
          <w:szCs w:val="21"/>
        </w:rPr>
        <w:t>应付债券</w:t>
      </w:r>
    </w:p>
    <w:p>
      <w:pPr>
        <w:pStyle w:val="5"/>
        <w:numPr>
          <w:ilvl w:val="0"/>
          <w:numId w:val="95"/>
        </w:numPr>
        <w:ind w:left="426" w:hanging="426"/>
        <w:rPr>
          <w:rFonts w:hint="eastAsia"/>
        </w:rPr>
      </w:pPr>
      <w:r>
        <w:rPr>
          <w:rFonts w:hint="eastAsia"/>
        </w:rPr>
        <w:t>应付债券</w:t>
      </w:r>
    </w:p>
    <w:sdt>
      <w:sdtPr>
        <w:alias w:val="是否适用：应付债券[双击切换]"/>
        <w:tag w:val="_GBC_645b020b25af4284b8eff88f14f8c5c2"/>
        <w:id w:val="7476"/>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
        <w:numPr>
          <w:ilvl w:val="0"/>
          <w:numId w:val="95"/>
        </w:numPr>
        <w:ind w:left="426" w:hanging="426"/>
        <w:rPr>
          <w:rFonts w:hint="eastAsia"/>
        </w:rPr>
      </w:pPr>
      <w:r>
        <w:t>应付债券的具体情况</w:t>
      </w:r>
      <w:r>
        <w:rPr>
          <w:rFonts w:hint="eastAsia"/>
        </w:rPr>
        <w:t>：（不包括划分为金融负债的优先股、永续债等其他金融工具）</w:t>
      </w:r>
    </w:p>
    <w:sdt>
      <w:sdtPr>
        <w:alias w:val="是否适用：应付债券的增减变动[双击切换]"/>
        <w:tag w:val="_GBC_a682f35f6b7c4d8b840f80705a81f19c"/>
        <w:id w:val="7477"/>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rFonts w:cstheme="minorBidi"/>
          <w:color w:val="000000" w:themeColor="text1"/>
          <w:szCs w:val="21"/>
          <w14:textFill>
            <w14:solidFill>
              <w14:schemeClr w14:val="tx1"/>
            </w14:solidFill>
          </w14:textFill>
        </w:rPr>
      </w:pPr>
    </w:p>
    <w:p>
      <w:pPr>
        <w:pStyle w:val="5"/>
        <w:numPr>
          <w:ilvl w:val="0"/>
          <w:numId w:val="95"/>
        </w:numPr>
        <w:ind w:left="426" w:hanging="426"/>
        <w:rPr>
          <w:rFonts w:hint="eastAsia"/>
        </w:rPr>
      </w:pPr>
      <w:bookmarkStart w:id="330" w:name="OLE_LINK16"/>
      <w:bookmarkStart w:id="331" w:name="OLE_LINK18"/>
      <w:r>
        <w:rPr>
          <w:rFonts w:hint="eastAsia"/>
        </w:rPr>
        <w:t>可转换公司债券的说明</w:t>
      </w:r>
    </w:p>
    <w:sdt>
      <w:sdtPr>
        <w:rPr>
          <w:rFonts w:hint="eastAsia"/>
          <w:szCs w:val="21"/>
        </w:rPr>
        <w:alias w:val="是否适用：可转换公司债券的转股条件、转股时间说明[双击切换]"/>
        <w:tag w:val="_GBC_2b6cb515ba4c417781662a31ccbd84e3"/>
        <w:id w:val="7478"/>
        <w:placeholder>
          <w:docPart w:val="GBC22222222222222222222222222222"/>
        </w:placeholder>
      </w:sdtPr>
      <w:sdtEndPr>
        <w:rPr>
          <w:rFonts w:hint="eastAsia"/>
          <w:szCs w:val="21"/>
        </w:rPr>
      </w:sdtEndPr>
      <w:sdtContent>
        <w:p>
          <w:pPr>
            <w:spacing w:before="60" w:after="60"/>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spacing w:before="60" w:after="60"/>
        <w:rPr>
          <w:szCs w:val="21"/>
        </w:rPr>
      </w:pPr>
    </w:p>
    <w:p>
      <w:pPr>
        <w:spacing w:before="60" w:after="60"/>
        <w:rPr>
          <w:szCs w:val="21"/>
        </w:rPr>
      </w:pPr>
      <w:r>
        <w:rPr>
          <w:rFonts w:hint="eastAsia"/>
          <w:szCs w:val="21"/>
        </w:rPr>
        <w:t>转股权会计处理及判断依据</w:t>
      </w:r>
    </w:p>
    <w:sdt>
      <w:sdtPr>
        <w:rPr>
          <w:szCs w:val="21"/>
        </w:rPr>
        <w:alias w:val="是否适用：转股权会计处理及判断依据[双击切换]"/>
        <w:tag w:val="_GBC_8ec57a1730b24863aa91d9cece86f4d1"/>
        <w:id w:val="7479"/>
        <w:placeholder>
          <w:docPart w:val="GBC22222222222222222222222222222"/>
        </w:placeholder>
      </w:sdtPr>
      <w:sdtEndPr>
        <w:rPr>
          <w:szCs w:val="21"/>
        </w:rPr>
      </w:sdtEndPr>
      <w:sdtContent>
        <w:p>
          <w:pPr>
            <w:spacing w:before="60" w:after="60"/>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bookmarkEnd w:id="330"/>
    <w:bookmarkEnd w:id="331"/>
    <w:p>
      <w:pPr>
        <w:pStyle w:val="5"/>
        <w:numPr>
          <w:ilvl w:val="0"/>
          <w:numId w:val="95"/>
        </w:numPr>
        <w:tabs>
          <w:tab w:val="left" w:pos="672"/>
        </w:tabs>
        <w:rPr>
          <w:rFonts w:hint="eastAsia" w:ascii="宋体" w:hAnsi="宋体"/>
          <w:color w:val="000000" w:themeColor="text1"/>
          <w:szCs w:val="21"/>
          <w14:textFill>
            <w14:solidFill>
              <w14:schemeClr w14:val="tx1"/>
            </w14:solidFill>
          </w14:textFill>
        </w:rPr>
      </w:pPr>
      <w:bookmarkStart w:id="332" w:name="_Hlk184976397"/>
      <w:r>
        <w:rPr>
          <w:rFonts w:hint="eastAsia" w:ascii="宋体" w:hAnsi="宋体"/>
          <w:color w:val="000000" w:themeColor="text1"/>
          <w:szCs w:val="21"/>
          <w14:textFill>
            <w14:solidFill>
              <w14:schemeClr w14:val="tx1"/>
            </w14:solidFill>
          </w14:textFill>
        </w:rPr>
        <w:t>划分为金融负债的其他金融工具说明</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期末发行在外的优先股、永续债等其他金融工具基本情况</w:t>
      </w:r>
    </w:p>
    <w:sdt>
      <w:sdtPr>
        <w:rPr>
          <w:color w:val="000000" w:themeColor="text1"/>
          <w14:textFill>
            <w14:solidFill>
              <w14:schemeClr w14:val="tx1"/>
            </w14:solidFill>
          </w14:textFill>
        </w:rPr>
        <w:alias w:val="是否适用：划分为金融负债的其他金融工具说明[双击切换]"/>
        <w:tag w:val="_GBC_53513c1d69be4ad5ae1f8e792b460c3a"/>
        <w:id w:val="7480"/>
        <w:placeholder>
          <w:docPart w:val="GBC22222222222222222222222222222"/>
        </w:placeholder>
      </w:sdtPr>
      <w:sdtEndPr>
        <w:rPr>
          <w:color w:val="000000" w:themeColor="text1"/>
          <w14:textFill>
            <w14:solidFill>
              <w14:schemeClr w14:val="tx1"/>
            </w14:solidFill>
          </w14:textFill>
        </w:rPr>
      </w:sdtEndPr>
      <w:sdtContent>
        <w:p>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pPr>
        <w:rPr>
          <w:color w:val="000000" w:themeColor="text1"/>
          <w14:textFill>
            <w14:solidFill>
              <w14:schemeClr w14:val="tx1"/>
            </w14:solidFill>
          </w14:textFill>
        </w:rPr>
      </w:pP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期末发行在外的优先股、永续债等金融工具变动情况表</w:t>
      </w:r>
    </w:p>
    <w:sdt>
      <w:sdtPr>
        <w:rPr>
          <w:color w:val="000000" w:themeColor="text1"/>
          <w14:textFill>
            <w14:solidFill>
              <w14:schemeClr w14:val="tx1"/>
            </w14:solidFill>
          </w14:textFill>
        </w:rPr>
        <w:alias w:val="是否适用：期末发行在外的优先股、永续债等金融工具变动情况表_应付债券[双击切换]"/>
        <w:tag w:val="_GBC_e613ba16b53e4bbb8a851aaf5017e3db"/>
        <w:id w:val="7481"/>
        <w:placeholder>
          <w:docPart w:val="GBC22222222222222222222222222222"/>
        </w:placeholder>
      </w:sdtPr>
      <w:sdtEndPr>
        <w:rPr>
          <w:color w:val="000000" w:themeColor="text1"/>
          <w14:textFill>
            <w14:solidFill>
              <w14:schemeClr w14:val="tx1"/>
            </w14:solidFill>
          </w14:textFill>
        </w:rPr>
      </w:sdtEndPr>
      <w:sdtContent>
        <w:p>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pPr>
        <w:spacing w:before="60" w:after="60"/>
        <w:rPr>
          <w:color w:val="000000" w:themeColor="text1"/>
          <w14:textFill>
            <w14:solidFill>
              <w14:schemeClr w14:val="tx1"/>
            </w14:solidFill>
          </w14:textFill>
        </w:rPr>
      </w:pPr>
    </w:p>
    <w:p>
      <w:pPr>
        <w:spacing w:before="60" w:after="60"/>
        <w:rPr>
          <w:color w:val="000000" w:themeColor="text1"/>
          <w14:textFill>
            <w14:solidFill>
              <w14:schemeClr w14:val="tx1"/>
            </w14:solidFill>
          </w14:textFill>
        </w:rPr>
      </w:pPr>
      <w:r>
        <w:rPr>
          <w:rFonts w:hint="eastAsia"/>
          <w:color w:val="000000" w:themeColor="text1"/>
          <w14:textFill>
            <w14:solidFill>
              <w14:schemeClr w14:val="tx1"/>
            </w14:solidFill>
          </w14:textFill>
        </w:rPr>
        <w:t>其他金融工具划分为金融负债的依据说明</w:t>
      </w:r>
    </w:p>
    <w:sdt>
      <w:sdtPr>
        <w:rPr>
          <w:color w:val="000000" w:themeColor="text1"/>
          <w14:textFill>
            <w14:solidFill>
              <w14:schemeClr w14:val="tx1"/>
            </w14:solidFill>
          </w14:textFill>
        </w:rPr>
        <w:alias w:val="是否适用：其他金融工具划分为金融负债的依据说明[双击切换]"/>
        <w:tag w:val="_GBC_a204081d4f834a93a4a19ca79b51cf77"/>
        <w:id w:val="7482"/>
        <w:placeholder>
          <w:docPart w:val="GBC22222222222222222222222222222"/>
        </w:placeholder>
      </w:sdtPr>
      <w:sdtEndPr>
        <w:rPr>
          <w:color w:val="000000" w:themeColor="text1"/>
          <w14:textFill>
            <w14:solidFill>
              <w14:schemeClr w14:val="tx1"/>
            </w14:solidFill>
          </w14:textFill>
        </w:rPr>
      </w:sdtEndPr>
      <w:sdtContent>
        <w:p>
          <w:pPr>
            <w:spacing w:before="60" w:after="6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pPr>
        <w:rPr>
          <w:color w:val="000000" w:themeColor="text1"/>
          <w14:textFill>
            <w14:solidFill>
              <w14:schemeClr w14:val="tx1"/>
            </w14:solidFill>
          </w14:textFill>
        </w:rPr>
      </w:pPr>
    </w:p>
    <w:bookmarkEnd w:id="332"/>
    <w:p>
      <w:pPr>
        <w:spacing w:before="60" w:after="60"/>
        <w:rPr>
          <w:szCs w:val="21"/>
        </w:rPr>
      </w:pPr>
      <w:r>
        <w:rPr>
          <w:rFonts w:hint="eastAsia"/>
          <w:szCs w:val="21"/>
        </w:rPr>
        <w:t>其他说明：</w:t>
      </w:r>
    </w:p>
    <w:sdt>
      <w:sdtPr>
        <w:rPr>
          <w:szCs w:val="21"/>
        </w:rPr>
        <w:alias w:val="是否适用：应付债券的其他说明[双击切换]"/>
        <w:tag w:val="_GBC_2068e4e6d2994d6f8cfa9ecc26b171d4"/>
        <w:id w:val="7483"/>
        <w:placeholder>
          <w:docPart w:val="GBC22222222222222222222222222222"/>
        </w:placeholder>
      </w:sdtPr>
      <w:sdtEndPr>
        <w:rPr>
          <w:szCs w:val="21"/>
        </w:rPr>
      </w:sdtEndPr>
      <w:sdtContent>
        <w:p>
          <w:pPr>
            <w:spacing w:before="60" w:after="60"/>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rPr>
          <w:szCs w:val="21"/>
        </w:rPr>
      </w:pPr>
    </w:p>
    <w:sdt>
      <w:sdtPr>
        <w:tag w:val="_PLD_32534d6df43948dfae12df864c64005d"/>
        <w:id w:val="7484"/>
      </w:sdtPr>
      <w:sdtEndPr>
        <w:rPr>
          <w:rFonts w:ascii="Calibri" w:hAnsi="Calibri" w:cs="Times New Roman"/>
          <w:b/>
          <w:bCs/>
          <w:kern w:val="2"/>
        </w:rPr>
      </w:sdtEndPr>
      <w:sdtContent>
        <w:p>
          <w:pPr>
            <w:pStyle w:val="4"/>
            <w:numPr>
              <w:ilvl w:val="0"/>
              <w:numId w:val="62"/>
            </w:numPr>
            <w:tabs>
              <w:tab w:val="left" w:pos="504"/>
            </w:tabs>
            <w:rPr>
              <w:szCs w:val="21"/>
            </w:rPr>
          </w:pPr>
          <w:bookmarkStart w:id="333" w:name="_Hlk24026742"/>
          <w:r>
            <w:rPr>
              <w:rFonts w:hint="eastAsia"/>
              <w:szCs w:val="21"/>
            </w:rPr>
            <w:t>租赁负债</w:t>
          </w:r>
        </w:p>
      </w:sdtContent>
    </w:sdt>
    <w:sdt>
      <w:sdtPr>
        <w:rPr>
          <w:szCs w:val="21"/>
        </w:rPr>
        <w:alias w:val="是否适用：租赁负债[双击切换]"/>
        <w:tag w:val="_GBC_abf9a23b0ddc4b63b6f39d768c084973"/>
        <w:id w:val="7485"/>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jc w:val="right"/>
        <w:rPr>
          <w:szCs w:val="21"/>
        </w:rPr>
      </w:pPr>
      <w:r>
        <w:rPr>
          <w:rFonts w:hint="eastAsia"/>
          <w:szCs w:val="21"/>
        </w:rPr>
        <w:t>单位：</w:t>
      </w:r>
      <w:sdt>
        <w:sdtPr>
          <w:rPr>
            <w:rFonts w:hint="eastAsia"/>
            <w:szCs w:val="21"/>
          </w:rPr>
          <w:alias w:val="单位：租赁负债"/>
          <w:tag w:val="_GBC_33e504b2a4a34d41946083d1a309022f"/>
          <w:id w:val="7486"/>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租赁负债"/>
          <w:tag w:val="_GBC_90ebb9825c5740c794669c2bf1475590"/>
          <w:id w:val="7487"/>
          <w:placeholder>
            <w:docPart w:val="GBC22222222222222222222222222222"/>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5"/>
        <w:gridCol w:w="2921"/>
        <w:gridCol w:w="2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 w:hRule="atLeast"/>
        </w:trPr>
        <w:tc>
          <w:tcPr>
            <w:tcW w:w="3205" w:type="dxa"/>
            <w:vAlign w:val="center"/>
          </w:tcPr>
          <w:sdt>
            <w:sdtPr>
              <w:tag w:val="_PLD_a05982b715d74082b7e01db9e1e265ef"/>
              <w:id w:val="7488"/>
            </w:sdtPr>
            <w:sdtContent>
              <w:p>
                <w:pPr>
                  <w:jc w:val="center"/>
                  <w:rPr>
                    <w:szCs w:val="21"/>
                  </w:rPr>
                </w:pPr>
                <w:r>
                  <w:rPr>
                    <w:rFonts w:hint="eastAsia"/>
                    <w:szCs w:val="21"/>
                  </w:rPr>
                  <w:t>项目</w:t>
                </w:r>
              </w:p>
            </w:sdtContent>
          </w:sdt>
        </w:tc>
        <w:tc>
          <w:tcPr>
            <w:tcW w:w="2921" w:type="dxa"/>
            <w:vAlign w:val="center"/>
          </w:tcPr>
          <w:sdt>
            <w:sdtPr>
              <w:tag w:val="_PLD_84a0d8719b674f50bfcfc1c6ed86fed6"/>
              <w:id w:val="7489"/>
            </w:sdtPr>
            <w:sdtContent>
              <w:p>
                <w:pPr>
                  <w:jc w:val="center"/>
                  <w:rPr>
                    <w:szCs w:val="21"/>
                  </w:rPr>
                </w:pPr>
                <w:r>
                  <w:rPr>
                    <w:rFonts w:hint="eastAsia"/>
                    <w:szCs w:val="21"/>
                  </w:rPr>
                  <w:t>期末余额</w:t>
                </w:r>
              </w:p>
            </w:sdtContent>
          </w:sdt>
        </w:tc>
        <w:tc>
          <w:tcPr>
            <w:tcW w:w="2922" w:type="dxa"/>
            <w:vAlign w:val="center"/>
          </w:tcPr>
          <w:sdt>
            <w:sdtPr>
              <w:tag w:val="_PLD_d601589800f8414abb18e7477e7b41d6"/>
              <w:id w:val="7490"/>
            </w:sdtPr>
            <w:sdtContent>
              <w:p>
                <w:pPr>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 w:hRule="atLeast"/>
        </w:trPr>
        <w:tc>
          <w:tcPr>
            <w:tcW w:w="3205" w:type="dxa"/>
            <w:vAlign w:val="center"/>
          </w:tcPr>
          <w:p>
            <w:pPr>
              <w:rPr>
                <w:szCs w:val="21"/>
              </w:rPr>
            </w:pPr>
            <w:r>
              <w:rPr>
                <w:rFonts w:hint="eastAsia"/>
                <w:color w:val="auto"/>
              </w:rPr>
              <w:t>租赁付款额</w:t>
            </w:r>
          </w:p>
        </w:tc>
        <w:tc>
          <w:tcPr>
            <w:tcW w:w="2921" w:type="dxa"/>
            <w:vAlign w:val="center"/>
          </w:tcPr>
          <w:p>
            <w:pPr>
              <w:jc w:val="right"/>
              <w:rPr>
                <w:szCs w:val="21"/>
              </w:rPr>
            </w:pPr>
            <w:r>
              <w:rPr>
                <w:rFonts w:hint="eastAsia"/>
                <w:color w:val="auto"/>
              </w:rPr>
              <w:t>4,376,760.00</w:t>
            </w:r>
          </w:p>
        </w:tc>
        <w:tc>
          <w:tcPr>
            <w:tcW w:w="2922" w:type="dxa"/>
            <w:vAlign w:val="center"/>
          </w:tcPr>
          <w:p>
            <w:pPr>
              <w:jc w:val="right"/>
              <w:rPr>
                <w:szCs w:val="21"/>
              </w:rPr>
            </w:pPr>
            <w:r>
              <w:rPr>
                <w:rFonts w:hint="eastAsia"/>
                <w:color w:val="auto"/>
              </w:rPr>
              <w:t>7,163,520.00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 w:hRule="atLeast"/>
        </w:trPr>
        <w:tc>
          <w:tcPr>
            <w:tcW w:w="3205" w:type="dxa"/>
            <w:vAlign w:val="center"/>
          </w:tcPr>
          <w:p>
            <w:pPr>
              <w:rPr>
                <w:szCs w:val="21"/>
              </w:rPr>
            </w:pPr>
            <w:r>
              <w:rPr>
                <w:rFonts w:hint="eastAsia"/>
                <w:color w:val="auto"/>
              </w:rPr>
              <w:t>减：未确认融资费用</w:t>
            </w:r>
          </w:p>
        </w:tc>
        <w:tc>
          <w:tcPr>
            <w:tcW w:w="2921" w:type="dxa"/>
            <w:vAlign w:val="center"/>
          </w:tcPr>
          <w:p>
            <w:pPr>
              <w:jc w:val="right"/>
              <w:rPr>
                <w:szCs w:val="21"/>
              </w:rPr>
            </w:pPr>
            <w:r>
              <w:rPr>
                <w:rFonts w:hint="eastAsia"/>
                <w:color w:val="auto"/>
              </w:rPr>
              <w:t>251,130.73</w:t>
            </w:r>
          </w:p>
        </w:tc>
        <w:tc>
          <w:tcPr>
            <w:tcW w:w="2922" w:type="dxa"/>
            <w:vAlign w:val="center"/>
          </w:tcPr>
          <w:p>
            <w:pPr>
              <w:jc w:val="right"/>
              <w:rPr>
                <w:szCs w:val="21"/>
              </w:rPr>
            </w:pPr>
            <w:r>
              <w:rPr>
                <w:rFonts w:hint="eastAsia"/>
                <w:color w:val="auto"/>
              </w:rPr>
              <w:t>497,920.78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 w:hRule="atLeast"/>
        </w:trPr>
        <w:tc>
          <w:tcPr>
            <w:tcW w:w="3205" w:type="dxa"/>
            <w:vAlign w:val="center"/>
          </w:tcPr>
          <w:p>
            <w:pPr>
              <w:rPr>
                <w:szCs w:val="21"/>
              </w:rPr>
            </w:pPr>
            <w:r>
              <w:rPr>
                <w:rFonts w:hint="eastAsia"/>
                <w:color w:val="auto"/>
              </w:rPr>
              <w:t>小计</w:t>
            </w:r>
          </w:p>
        </w:tc>
        <w:tc>
          <w:tcPr>
            <w:tcW w:w="2921" w:type="dxa"/>
            <w:vAlign w:val="center"/>
          </w:tcPr>
          <w:p>
            <w:pPr>
              <w:jc w:val="right"/>
              <w:rPr>
                <w:szCs w:val="21"/>
              </w:rPr>
            </w:pPr>
            <w:r>
              <w:rPr>
                <w:rFonts w:hint="eastAsia"/>
                <w:color w:val="auto"/>
              </w:rPr>
              <w:t>4,125,629.27</w:t>
            </w:r>
          </w:p>
        </w:tc>
        <w:tc>
          <w:tcPr>
            <w:tcW w:w="2922" w:type="dxa"/>
            <w:vAlign w:val="center"/>
          </w:tcPr>
          <w:p>
            <w:pPr>
              <w:jc w:val="right"/>
              <w:rPr>
                <w:szCs w:val="21"/>
              </w:rPr>
            </w:pPr>
            <w:r>
              <w:rPr>
                <w:rFonts w:hint="eastAsia"/>
                <w:color w:val="auto"/>
              </w:rPr>
              <w:t>6,665,599.22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 w:hRule="atLeast"/>
        </w:trPr>
        <w:tc>
          <w:tcPr>
            <w:tcW w:w="3205" w:type="dxa"/>
            <w:vAlign w:val="center"/>
          </w:tcPr>
          <w:p>
            <w:pPr>
              <w:rPr>
                <w:szCs w:val="21"/>
              </w:rPr>
            </w:pPr>
            <w:r>
              <w:rPr>
                <w:rFonts w:hint="eastAsia"/>
                <w:color w:val="auto"/>
              </w:rPr>
              <w:t>减：一年内到期的租赁负债</w:t>
            </w:r>
          </w:p>
        </w:tc>
        <w:tc>
          <w:tcPr>
            <w:tcW w:w="2921" w:type="dxa"/>
            <w:vAlign w:val="center"/>
          </w:tcPr>
          <w:p>
            <w:pPr>
              <w:jc w:val="right"/>
              <w:rPr>
                <w:szCs w:val="21"/>
              </w:rPr>
            </w:pPr>
            <w:r>
              <w:rPr>
                <w:rFonts w:hint="eastAsia"/>
                <w:color w:val="auto"/>
              </w:rPr>
              <w:t>2,282,973.87</w:t>
            </w:r>
          </w:p>
        </w:tc>
        <w:tc>
          <w:tcPr>
            <w:tcW w:w="2922" w:type="dxa"/>
            <w:vAlign w:val="center"/>
          </w:tcPr>
          <w:p>
            <w:pPr>
              <w:jc w:val="right"/>
              <w:rPr>
                <w:szCs w:val="21"/>
              </w:rPr>
            </w:pPr>
            <w:r>
              <w:rPr>
                <w:rFonts w:hint="eastAsia"/>
                <w:color w:val="auto"/>
              </w:rPr>
              <w:t>2,214,089.97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 w:hRule="atLeast"/>
        </w:trPr>
        <w:tc>
          <w:tcPr>
            <w:tcW w:w="3205" w:type="dxa"/>
            <w:vAlign w:val="center"/>
          </w:tcPr>
          <w:p>
            <w:pPr>
              <w:jc w:val="center"/>
              <w:rPr>
                <w:szCs w:val="21"/>
              </w:rPr>
            </w:pPr>
            <w:r>
              <w:rPr>
                <w:rFonts w:hint="eastAsia"/>
                <w:szCs w:val="21"/>
              </w:rPr>
              <w:t>合计</w:t>
            </w:r>
          </w:p>
        </w:tc>
        <w:tc>
          <w:tcPr>
            <w:tcW w:w="2921" w:type="dxa"/>
            <w:vAlign w:val="center"/>
          </w:tcPr>
          <w:p>
            <w:pPr>
              <w:jc w:val="right"/>
              <w:rPr>
                <w:szCs w:val="21"/>
              </w:rPr>
            </w:pPr>
            <w:r>
              <w:rPr>
                <w:rFonts w:hint="eastAsia"/>
                <w:color w:val="auto"/>
              </w:rPr>
              <w:t>1,842,655.40</w:t>
            </w:r>
          </w:p>
        </w:tc>
        <w:tc>
          <w:tcPr>
            <w:tcW w:w="2922" w:type="dxa"/>
            <w:vAlign w:val="center"/>
          </w:tcPr>
          <w:p>
            <w:pPr>
              <w:jc w:val="right"/>
              <w:rPr>
                <w:szCs w:val="21"/>
              </w:rPr>
            </w:pPr>
            <w:r>
              <w:rPr>
                <w:rFonts w:hint="eastAsia"/>
                <w:color w:val="auto"/>
              </w:rPr>
              <w:t>4,451,509.25</w:t>
            </w:r>
          </w:p>
        </w:tc>
      </w:tr>
    </w:tbl>
    <w:p>
      <w:pPr>
        <w:snapToGrid w:val="0"/>
        <w:spacing w:before="60" w:after="60" w:line="240" w:lineRule="atLeast"/>
        <w:rPr>
          <w:szCs w:val="21"/>
        </w:rPr>
      </w:pPr>
      <w:r>
        <w:rPr>
          <w:rFonts w:hint="eastAsia"/>
          <w:szCs w:val="21"/>
        </w:rPr>
        <w:t>其他说明：</w:t>
      </w:r>
    </w:p>
    <w:sdt>
      <w:sdtPr>
        <w:alias w:val="租赁负债其他说明"/>
        <w:tag w:val="_GBC_d655dad6394141cbbfbca3ff3319cddc"/>
        <w:id w:val="7491"/>
        <w:placeholder>
          <w:docPart w:val="GBC22222222222222222222222222222"/>
        </w:placeholder>
      </w:sdtPr>
      <w:sdtContent>
        <w:p>
          <w:pPr>
            <w:rPr>
              <w:szCs w:val="21"/>
            </w:rPr>
          </w:pPr>
          <w:r>
            <w:t>无</w:t>
          </w:r>
        </w:p>
      </w:sdtContent>
    </w:sdt>
    <w:bookmarkEnd w:id="333"/>
    <w:p>
      <w:pPr>
        <w:rPr>
          <w:szCs w:val="21"/>
        </w:rPr>
      </w:pPr>
    </w:p>
    <w:p>
      <w:pPr>
        <w:pStyle w:val="4"/>
        <w:numPr>
          <w:ilvl w:val="0"/>
          <w:numId w:val="62"/>
        </w:numPr>
        <w:tabs>
          <w:tab w:val="left" w:pos="504"/>
        </w:tabs>
        <w:rPr>
          <w:rFonts w:hint="eastAsia" w:ascii="宋体" w:hAnsi="宋体"/>
          <w:szCs w:val="21"/>
        </w:rPr>
      </w:pPr>
      <w:r>
        <w:rPr>
          <w:rFonts w:hint="eastAsia" w:ascii="宋体" w:hAnsi="宋体"/>
          <w:szCs w:val="21"/>
        </w:rPr>
        <w:t>长期应付款</w:t>
      </w:r>
    </w:p>
    <w:p>
      <w:pPr>
        <w:pStyle w:val="5"/>
        <w:rPr>
          <w:rFonts w:hint="eastAsia"/>
        </w:rPr>
      </w:pPr>
      <w:bookmarkStart w:id="334" w:name="_Hlk532911038"/>
      <w:r>
        <w:rPr>
          <w:rFonts w:hint="eastAsia"/>
        </w:rPr>
        <w:t>项目列示</w:t>
      </w:r>
    </w:p>
    <w:sdt>
      <w:sdtPr>
        <w:alias w:val="是否适用：长期应付款分类列示[双击切换]"/>
        <w:tag w:val="_GBC_90d4a9bd673140ef9c99898da48d1614"/>
        <w:id w:val="7492"/>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bookmarkEnd w:id="334"/>
    <w:p>
      <w:pPr>
        <w:rPr>
          <w:szCs w:val="21"/>
        </w:rPr>
      </w:pPr>
      <w:bookmarkStart w:id="335" w:name="_Hlk532911057"/>
      <w:r>
        <w:rPr>
          <w:rFonts w:hint="eastAsia"/>
          <w:szCs w:val="21"/>
        </w:rPr>
        <w:t>其他说明：</w:t>
      </w:r>
    </w:p>
    <w:sdt>
      <w:sdtPr>
        <w:rPr>
          <w:szCs w:val="21"/>
        </w:rPr>
        <w:alias w:val="是否适用：长期应付款分类列示其他说明[双击切换]"/>
        <w:tag w:val="_GBC_e7daa7f55cea4e3d835be6ee6457b35d"/>
        <w:id w:val="7493"/>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bookmarkEnd w:id="335"/>
    <w:p>
      <w:pPr>
        <w:pStyle w:val="5"/>
        <w:ind w:left="360" w:hanging="360"/>
        <w:rPr>
          <w:rFonts w:hint="eastAsia"/>
        </w:rPr>
      </w:pPr>
      <w:r>
        <w:rPr>
          <w:rFonts w:hint="eastAsia"/>
        </w:rPr>
        <w:t>长期应付款</w:t>
      </w:r>
    </w:p>
    <w:p>
      <w:pPr>
        <w:pStyle w:val="6"/>
        <w:numPr>
          <w:ilvl w:val="0"/>
          <w:numId w:val="96"/>
        </w:numPr>
        <w:ind w:leftChars="0"/>
      </w:pPr>
      <w:r>
        <w:rPr>
          <w:rFonts w:hint="eastAsia"/>
        </w:rPr>
        <w:t>按款项性质列示长期应付款</w:t>
      </w:r>
    </w:p>
    <w:sdt>
      <w:sdtPr>
        <w:alias w:val="是否适用：按款项性质列示长期应付款[双击切换]"/>
        <w:tag w:val="_GBC_6a4cca7cce5341018cd4836f32746cd9"/>
        <w:id w:val="749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napToGrid w:val="0"/>
        <w:spacing w:line="240" w:lineRule="atLeast"/>
        <w:rPr>
          <w:rFonts w:cstheme="minorBidi"/>
          <w:szCs w:val="21"/>
        </w:rPr>
      </w:pPr>
    </w:p>
    <w:p>
      <w:pPr>
        <w:pStyle w:val="5"/>
        <w:ind w:left="360" w:hanging="360"/>
        <w:rPr>
          <w:rFonts w:hint="eastAsia"/>
        </w:rPr>
      </w:pPr>
      <w:r>
        <w:rPr>
          <w:rFonts w:hint="eastAsia"/>
        </w:rPr>
        <w:t>专项应付款</w:t>
      </w:r>
    </w:p>
    <w:p>
      <w:pPr>
        <w:pStyle w:val="6"/>
        <w:numPr>
          <w:ilvl w:val="0"/>
          <w:numId w:val="97"/>
        </w:numPr>
        <w:ind w:leftChars="0"/>
        <w:rPr>
          <w:rFonts w:asciiTheme="minorHAnsi" w:hAnsiTheme="minorHAnsi" w:cstheme="minorBidi"/>
          <w:kern w:val="0"/>
          <w:szCs w:val="24"/>
        </w:rPr>
      </w:pPr>
      <w:r>
        <w:rPr>
          <w:rFonts w:hint="eastAsia" w:asciiTheme="minorHAnsi" w:hAnsiTheme="minorHAnsi" w:cstheme="minorBidi"/>
          <w:kern w:val="0"/>
          <w:szCs w:val="24"/>
        </w:rPr>
        <w:t>按款项性质列示专项应付款</w:t>
      </w:r>
    </w:p>
    <w:sdt>
      <w:sdtPr>
        <w:alias w:val="是否适用：专项应付款[双击切换]"/>
        <w:tag w:val="_GBC_857ddecb5bce4a0f99e428cd2635aa03"/>
        <w:id w:val="7495"/>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napToGrid w:val="0"/>
        <w:rPr>
          <w:szCs w:val="21"/>
        </w:rPr>
      </w:pPr>
    </w:p>
    <w:sdt>
      <w:sdtPr>
        <w:tag w:val="_PLD_ff600d9b58704a429270284e81983b6d"/>
        <w:id w:val="7496"/>
      </w:sdtPr>
      <w:sdtContent>
        <w:p>
          <w:pPr>
            <w:pStyle w:val="4"/>
            <w:numPr>
              <w:ilvl w:val="0"/>
              <w:numId w:val="62"/>
            </w:numPr>
            <w:tabs>
              <w:tab w:val="left" w:pos="504"/>
            </w:tabs>
            <w:rPr>
              <w:szCs w:val="21"/>
            </w:rPr>
          </w:pPr>
          <w:r>
            <w:rPr>
              <w:rFonts w:hint="eastAsia"/>
              <w:szCs w:val="21"/>
            </w:rPr>
            <w:t>长期应付职工薪酬</w:t>
          </w:r>
        </w:p>
      </w:sdtContent>
    </w:sdt>
    <w:sdt>
      <w:sdtPr>
        <w:alias w:val="是否适用：长期应付职工薪酬[双击切换]"/>
        <w:tag w:val="_GBC_24f9546075204a64926cf2cb24e64f0e"/>
        <w:id w:val="7497"/>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pStyle w:val="5"/>
        <w:numPr>
          <w:ilvl w:val="0"/>
          <w:numId w:val="98"/>
        </w:numPr>
        <w:ind w:left="426" w:hanging="426"/>
        <w:rPr>
          <w:rFonts w:hint="eastAsia"/>
        </w:rPr>
      </w:pPr>
      <w:r>
        <w:rPr>
          <w:rFonts w:hint="eastAsia"/>
        </w:rPr>
        <w:t>长期应付职工薪酬表</w:t>
      </w:r>
    </w:p>
    <w:sdt>
      <w:sdtPr>
        <w:alias w:val="是否适用：长期应付职工薪酬表[双击切换]"/>
        <w:tag w:val="_GBC_b44de9fd198c4a3499852d2770fe541b"/>
        <w:id w:val="7498"/>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财务附注：长期应付职工薪酬"/>
          <w:tag w:val="_GBC_494e432bb7b842a4b2966c2a30e46b7c"/>
          <w:id w:val="749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财务附注：长期应付职工薪酬"/>
          <w:tag w:val="_GBC_02ec6d6e408949a7aba93c9538df7dad"/>
          <w:id w:val="750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3"/>
        <w:gridCol w:w="2631"/>
        <w:gridCol w:w="2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3" w:type="dxa"/>
            <w:vAlign w:val="center"/>
          </w:tcPr>
          <w:sdt>
            <w:sdtPr>
              <w:tag w:val="_PLD_87f8419ee43a44a3851aeb0ae20db3b3"/>
              <w:id w:val="7501"/>
            </w:sdtPr>
            <w:sdtContent>
              <w:p>
                <w:pPr>
                  <w:jc w:val="center"/>
                </w:pPr>
                <w:r>
                  <w:rPr>
                    <w:rFonts w:hint="eastAsia"/>
                  </w:rPr>
                  <w:t>项目</w:t>
                </w:r>
              </w:p>
            </w:sdtContent>
          </w:sdt>
        </w:tc>
        <w:tc>
          <w:tcPr>
            <w:tcW w:w="2631" w:type="dxa"/>
            <w:vAlign w:val="center"/>
          </w:tcPr>
          <w:sdt>
            <w:sdtPr>
              <w:tag w:val="_PLD_dc953e100cbb4806858d7d10436872c1"/>
              <w:id w:val="7502"/>
            </w:sdtPr>
            <w:sdtContent>
              <w:p>
                <w:pPr>
                  <w:jc w:val="center"/>
                </w:pPr>
                <w:r>
                  <w:rPr>
                    <w:rFonts w:hint="eastAsia"/>
                  </w:rPr>
                  <w:t>期末余额</w:t>
                </w:r>
              </w:p>
            </w:sdtContent>
          </w:sdt>
        </w:tc>
        <w:tc>
          <w:tcPr>
            <w:tcW w:w="2763" w:type="dxa"/>
            <w:vAlign w:val="center"/>
          </w:tcPr>
          <w:sdt>
            <w:sdtPr>
              <w:tag w:val="_PLD_28d4785454ea4bd99f4433899ff434f8"/>
              <w:id w:val="7503"/>
            </w:sdtPr>
            <w:sdtContent>
              <w:p>
                <w:pPr>
                  <w:jc w:val="center"/>
                </w:pPr>
                <w:r>
                  <w:rPr>
                    <w:rFonts w:hint="eastAsia"/>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3" w:type="dxa"/>
            <w:vAlign w:val="center"/>
          </w:tcPr>
          <w:p>
            <w:r>
              <w:rPr>
                <w:rFonts w:hint="eastAsia"/>
              </w:rPr>
              <w:t>一、离职后福利-设定受益计划净负债</w:t>
            </w:r>
          </w:p>
        </w:tc>
        <w:tc>
          <w:tcPr>
            <w:tcW w:w="2631" w:type="dxa"/>
            <w:vAlign w:val="center"/>
          </w:tcPr>
          <w:p>
            <w:pPr>
              <w:jc w:val="right"/>
              <w:rPr>
                <w:rFonts w:hint="default" w:eastAsia="宋体"/>
                <w:lang w:val="en-US" w:eastAsia="zh-CN"/>
              </w:rPr>
            </w:pPr>
            <w:r>
              <w:rPr>
                <w:rFonts w:hint="eastAsia"/>
                <w:color w:val="auto"/>
                <w:lang w:val="en-US" w:eastAsia="zh-CN"/>
              </w:rPr>
              <w:t>786,071.00</w:t>
            </w:r>
          </w:p>
        </w:tc>
        <w:tc>
          <w:tcPr>
            <w:tcW w:w="2763" w:type="dxa"/>
            <w:vAlign w:val="center"/>
          </w:tcPr>
          <w:p>
            <w:pPr>
              <w:jc w:val="right"/>
            </w:pPr>
            <w:r>
              <w:rPr>
                <w:rFonts w:hint="eastAsia"/>
                <w:color w:val="auto"/>
              </w:rPr>
              <w:t>1,653,132.00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3" w:type="dxa"/>
            <w:vAlign w:val="center"/>
          </w:tcPr>
          <w:p>
            <w:r>
              <w:rPr>
                <w:rFonts w:hint="eastAsia"/>
                <w:color w:val="auto"/>
              </w:rPr>
              <w:t>减：一年以内到期的未折现长期应付职工薪酬</w:t>
            </w:r>
          </w:p>
        </w:tc>
        <w:tc>
          <w:tcPr>
            <w:tcW w:w="2631" w:type="dxa"/>
            <w:vAlign w:val="center"/>
          </w:tcPr>
          <w:p>
            <w:pPr>
              <w:jc w:val="right"/>
              <w:rPr>
                <w:rFonts w:hint="eastAsia" w:eastAsia="宋体"/>
                <w:lang w:eastAsia="zh-CN"/>
              </w:rPr>
            </w:pPr>
            <w:r>
              <w:rPr>
                <w:rFonts w:hint="eastAsia"/>
                <w:lang w:eastAsia="zh-CN"/>
              </w:rPr>
              <w:t>424,479.00</w:t>
            </w:r>
          </w:p>
        </w:tc>
        <w:tc>
          <w:tcPr>
            <w:tcW w:w="2763" w:type="dxa"/>
            <w:vAlign w:val="center"/>
          </w:tcPr>
          <w:p>
            <w:pPr>
              <w:jc w:val="right"/>
            </w:pPr>
            <w:r>
              <w:rPr>
                <w:rFonts w:hint="eastAsia"/>
                <w:color w:val="auto"/>
              </w:rPr>
              <w:t>867,061.00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3" w:type="dxa"/>
            <w:vAlign w:val="center"/>
          </w:tcPr>
          <w:p>
            <w:pPr>
              <w:jc w:val="center"/>
            </w:pPr>
            <w:r>
              <w:rPr>
                <w:rFonts w:hint="eastAsia"/>
              </w:rPr>
              <w:t>合计</w:t>
            </w:r>
          </w:p>
        </w:tc>
        <w:tc>
          <w:tcPr>
            <w:tcW w:w="2631" w:type="dxa"/>
            <w:vAlign w:val="center"/>
          </w:tcPr>
          <w:p>
            <w:pPr>
              <w:jc w:val="right"/>
            </w:pPr>
            <w:r>
              <w:rPr>
                <w:rFonts w:hint="eastAsia"/>
                <w:color w:val="auto"/>
              </w:rPr>
              <w:t>361,592.00</w:t>
            </w:r>
          </w:p>
        </w:tc>
        <w:tc>
          <w:tcPr>
            <w:tcW w:w="2763" w:type="dxa"/>
            <w:vAlign w:val="center"/>
          </w:tcPr>
          <w:p>
            <w:pPr>
              <w:jc w:val="right"/>
            </w:pPr>
            <w:r>
              <w:rPr>
                <w:rFonts w:hint="eastAsia"/>
                <w:color w:val="auto"/>
              </w:rPr>
              <w:t>786,071.00</w:t>
            </w:r>
          </w:p>
        </w:tc>
      </w:tr>
    </w:tbl>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eastAsia="宋体"/>
          <w:sz w:val="21"/>
          <w:szCs w:val="21"/>
        </w:rPr>
      </w:pPr>
      <w:r>
        <w:rPr>
          <w:rFonts w:hint="eastAsia" w:ascii="Times New Roman" w:hAnsi="Times New Roman" w:eastAsia="宋体"/>
          <w:sz w:val="21"/>
          <w:szCs w:val="21"/>
        </w:rPr>
        <w:t>注：公司对内退员工的内退福利计划，依据《企业会计准则第9号—职工薪酬》及公司会计政策，对此部分福利支出作为长期应付职工薪酬进行精算评估。内退员工的持续薪酬福利支出作为辞退福利计划进行精算评估。公司员工福利计划精算评估涉及以下风险：</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eastAsia="宋体"/>
          <w:sz w:val="21"/>
          <w:szCs w:val="21"/>
        </w:rPr>
      </w:pPr>
      <w:r>
        <w:rPr>
          <w:rFonts w:hint="eastAsia" w:ascii="Times New Roman" w:hAnsi="Times New Roman" w:eastAsia="宋体"/>
          <w:sz w:val="21"/>
          <w:szCs w:val="21"/>
        </w:rPr>
        <w:t>利率风险：计算计划福利义务现值时所采用的折现率的选取依据是中国国债收益率。国债收益率的下降会产生精算损失。</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eastAsia="宋体"/>
          <w:sz w:val="21"/>
          <w:szCs w:val="21"/>
        </w:rPr>
      </w:pPr>
      <w:r>
        <w:rPr>
          <w:rFonts w:hint="eastAsia" w:ascii="Times New Roman" w:hAnsi="Times New Roman" w:eastAsia="宋体"/>
          <w:sz w:val="21"/>
          <w:szCs w:val="21"/>
        </w:rPr>
        <w:t>福利水平增长风险：计算计划福利义务现值时所采用的各项福利增长率假设的选取依据是各项福利的历史增长水平和公司管理层对各项福利增长率的长期预期。若实际福利增长率水平高于精算假设，会产生精算损失。</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eastAsia="宋体"/>
          <w:sz w:val="21"/>
          <w:szCs w:val="21"/>
        </w:rPr>
      </w:pPr>
      <w:r>
        <w:rPr>
          <w:rFonts w:hint="eastAsia" w:ascii="Times New Roman" w:hAnsi="Times New Roman" w:eastAsia="宋体"/>
          <w:sz w:val="21"/>
          <w:szCs w:val="21"/>
        </w:rPr>
        <w:t>（1）长期应付职工薪酬重大精算假设说明</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eastAsia="宋体"/>
          <w:sz w:val="21"/>
          <w:szCs w:val="21"/>
        </w:rPr>
      </w:pPr>
      <w:r>
        <w:rPr>
          <w:rFonts w:hint="eastAsia" w:ascii="Times New Roman" w:hAnsi="Times New Roman" w:eastAsia="宋体"/>
          <w:sz w:val="21"/>
          <w:szCs w:val="21"/>
        </w:rPr>
        <w:t>本年度公司评估采用以下精算假设：</w:t>
      </w: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6"/>
        <w:gridCol w:w="2275"/>
        <w:gridCol w:w="2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ascii="Times New Roman" w:hAnsi="Times New Roman" w:eastAsia="宋体"/>
                <w:sz w:val="21"/>
                <w:szCs w:val="21"/>
              </w:rPr>
            </w:pPr>
            <w:r>
              <w:rPr>
                <w:rFonts w:hint="eastAsia" w:ascii="Times New Roman" w:hAnsi="Times New Roman" w:eastAsia="宋体"/>
                <w:sz w:val="21"/>
                <w:szCs w:val="21"/>
              </w:rPr>
              <w:t>项目</w:t>
            </w:r>
          </w:p>
        </w:tc>
        <w:tc>
          <w:tcPr>
            <w:tcW w:w="125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ascii="Times New Roman" w:hAnsi="Times New Roman" w:eastAsia="宋体"/>
                <w:sz w:val="21"/>
                <w:szCs w:val="21"/>
              </w:rPr>
            </w:pPr>
            <w:r>
              <w:rPr>
                <w:rFonts w:hint="eastAsia" w:ascii="Times New Roman" w:hAnsi="Times New Roman" w:eastAsia="宋体"/>
                <w:sz w:val="21"/>
                <w:szCs w:val="21"/>
              </w:rPr>
              <w:t>本期末</w:t>
            </w:r>
          </w:p>
        </w:tc>
        <w:tc>
          <w:tcPr>
            <w:tcW w:w="141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ascii="Times New Roman" w:hAnsi="Times New Roman" w:eastAsia="宋体"/>
                <w:sz w:val="21"/>
                <w:szCs w:val="21"/>
              </w:rPr>
            </w:pPr>
            <w:r>
              <w:rPr>
                <w:rFonts w:hint="eastAsia" w:ascii="Times New Roman" w:hAnsi="Times New Roman" w:eastAsia="宋体"/>
                <w:sz w:val="21"/>
                <w:szCs w:val="21"/>
              </w:rPr>
              <w:t>上期末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imes New Roman" w:hAnsi="Times New Roman" w:eastAsia="宋体"/>
                <w:sz w:val="21"/>
                <w:szCs w:val="21"/>
              </w:rPr>
            </w:pPr>
            <w:r>
              <w:rPr>
                <w:rFonts w:hint="eastAsia" w:ascii="Times New Roman" w:hAnsi="Times New Roman" w:eastAsia="宋体"/>
                <w:sz w:val="21"/>
                <w:szCs w:val="21"/>
              </w:rPr>
              <w:t>年折现率</w:t>
            </w:r>
          </w:p>
        </w:tc>
        <w:tc>
          <w:tcPr>
            <w:tcW w:w="1257"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right"/>
              <w:textAlignment w:val="auto"/>
              <w:rPr>
                <w:rFonts w:ascii="Times New Roman" w:hAnsi="Times New Roman" w:eastAsia="宋体"/>
                <w:sz w:val="21"/>
                <w:szCs w:val="21"/>
              </w:rPr>
            </w:pPr>
            <w:r>
              <w:rPr>
                <w:rFonts w:hint="eastAsia" w:ascii="Times New Roman" w:hAnsi="Times New Roman" w:eastAsia="宋体"/>
                <w:sz w:val="21"/>
                <w:szCs w:val="21"/>
              </w:rPr>
              <w:t>1.30%</w:t>
            </w:r>
          </w:p>
        </w:tc>
        <w:tc>
          <w:tcPr>
            <w:tcW w:w="1413"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right"/>
              <w:textAlignment w:val="auto"/>
              <w:rPr>
                <w:rFonts w:ascii="Times New Roman" w:hAnsi="Times New Roman" w:eastAsia="宋体"/>
                <w:sz w:val="21"/>
                <w:szCs w:val="21"/>
              </w:rPr>
            </w:pPr>
            <w:r>
              <w:rPr>
                <w:rFonts w:hint="eastAsia" w:ascii="Times New Roman" w:hAnsi="Times New Roman" w:eastAsia="宋体"/>
                <w:sz w:val="21"/>
                <w:szCs w:val="21"/>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imes New Roman" w:hAnsi="Times New Roman" w:eastAsia="宋体"/>
                <w:sz w:val="21"/>
                <w:szCs w:val="21"/>
              </w:rPr>
            </w:pPr>
            <w:r>
              <w:rPr>
                <w:rFonts w:hint="eastAsia" w:ascii="Times New Roman" w:hAnsi="Times New Roman" w:eastAsia="宋体"/>
                <w:sz w:val="21"/>
                <w:szCs w:val="21"/>
              </w:rPr>
              <w:t>内退工资年增长率</w:t>
            </w:r>
          </w:p>
        </w:tc>
        <w:tc>
          <w:tcPr>
            <w:tcW w:w="1257"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right"/>
              <w:textAlignment w:val="auto"/>
              <w:rPr>
                <w:rFonts w:ascii="Times New Roman" w:hAnsi="Times New Roman" w:eastAsia="宋体"/>
                <w:sz w:val="21"/>
                <w:szCs w:val="21"/>
              </w:rPr>
            </w:pPr>
            <w:r>
              <w:rPr>
                <w:rFonts w:hint="eastAsia" w:ascii="Times New Roman" w:hAnsi="Times New Roman" w:eastAsia="宋体"/>
                <w:sz w:val="21"/>
                <w:szCs w:val="21"/>
              </w:rPr>
              <w:t>10%</w:t>
            </w:r>
          </w:p>
        </w:tc>
        <w:tc>
          <w:tcPr>
            <w:tcW w:w="1413"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right"/>
              <w:textAlignment w:val="auto"/>
              <w:rPr>
                <w:rFonts w:ascii="Times New Roman" w:hAnsi="Times New Roman" w:eastAsia="宋体"/>
                <w:sz w:val="21"/>
                <w:szCs w:val="21"/>
              </w:rPr>
            </w:pPr>
            <w:r>
              <w:rPr>
                <w:rFonts w:hint="eastAsia" w:ascii="Times New Roman" w:hAnsi="Times New Roman" w:eastAsia="宋体"/>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imes New Roman" w:hAnsi="Times New Roman" w:eastAsia="宋体"/>
                <w:sz w:val="21"/>
                <w:szCs w:val="21"/>
              </w:rPr>
            </w:pPr>
            <w:r>
              <w:rPr>
                <w:rFonts w:hint="eastAsia" w:ascii="Times New Roman" w:hAnsi="Times New Roman" w:eastAsia="宋体"/>
                <w:sz w:val="21"/>
                <w:szCs w:val="21"/>
              </w:rPr>
              <w:t>社保及公积金年增长率</w:t>
            </w:r>
          </w:p>
        </w:tc>
        <w:tc>
          <w:tcPr>
            <w:tcW w:w="1257"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right"/>
              <w:textAlignment w:val="auto"/>
              <w:rPr>
                <w:rFonts w:ascii="Times New Roman" w:hAnsi="Times New Roman" w:eastAsia="宋体"/>
                <w:sz w:val="21"/>
                <w:szCs w:val="21"/>
              </w:rPr>
            </w:pPr>
            <w:r>
              <w:rPr>
                <w:rFonts w:hint="eastAsia" w:ascii="Times New Roman" w:hAnsi="Times New Roman" w:eastAsia="宋体"/>
                <w:sz w:val="21"/>
                <w:szCs w:val="21"/>
              </w:rPr>
              <w:t>7%</w:t>
            </w:r>
          </w:p>
        </w:tc>
        <w:tc>
          <w:tcPr>
            <w:tcW w:w="1413"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right"/>
              <w:textAlignment w:val="auto"/>
              <w:rPr>
                <w:rFonts w:ascii="Times New Roman" w:hAnsi="Times New Roman" w:eastAsia="宋体"/>
                <w:sz w:val="21"/>
                <w:szCs w:val="21"/>
              </w:rPr>
            </w:pPr>
            <w:r>
              <w:rPr>
                <w:rFonts w:hint="eastAsia" w:ascii="Times New Roman" w:hAnsi="Times New Roman" w:eastAsia="宋体"/>
                <w:sz w:val="21"/>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imes New Roman" w:hAnsi="Times New Roman" w:eastAsia="宋体"/>
                <w:sz w:val="21"/>
                <w:szCs w:val="21"/>
              </w:rPr>
            </w:pPr>
            <w:r>
              <w:rPr>
                <w:rFonts w:hint="eastAsia" w:ascii="Times New Roman" w:hAnsi="Times New Roman" w:eastAsia="宋体"/>
                <w:sz w:val="21"/>
                <w:szCs w:val="21"/>
              </w:rPr>
              <w:t>过节费等其它按年支付的福利年增长率</w:t>
            </w:r>
          </w:p>
        </w:tc>
        <w:tc>
          <w:tcPr>
            <w:tcW w:w="1257"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right"/>
              <w:textAlignment w:val="auto"/>
              <w:rPr>
                <w:rFonts w:ascii="Times New Roman" w:hAnsi="Times New Roman" w:eastAsia="宋体"/>
                <w:sz w:val="21"/>
                <w:szCs w:val="21"/>
              </w:rPr>
            </w:pPr>
            <w:r>
              <w:rPr>
                <w:rFonts w:hint="eastAsia" w:ascii="Times New Roman" w:hAnsi="Times New Roman" w:eastAsia="宋体"/>
                <w:sz w:val="21"/>
                <w:szCs w:val="21"/>
              </w:rPr>
              <w:t>3%</w:t>
            </w:r>
          </w:p>
        </w:tc>
        <w:tc>
          <w:tcPr>
            <w:tcW w:w="1413"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right"/>
              <w:textAlignment w:val="auto"/>
              <w:rPr>
                <w:rFonts w:ascii="Times New Roman" w:hAnsi="Times New Roman" w:eastAsia="宋体"/>
                <w:sz w:val="21"/>
                <w:szCs w:val="21"/>
              </w:rPr>
            </w:pPr>
            <w:r>
              <w:rPr>
                <w:rFonts w:hint="eastAsia" w:ascii="Times New Roman" w:hAnsi="Times New Roman" w:eastAsia="宋体"/>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imes New Roman" w:hAnsi="Times New Roman" w:eastAsia="宋体"/>
                <w:sz w:val="21"/>
                <w:szCs w:val="21"/>
              </w:rPr>
            </w:pPr>
            <w:r>
              <w:rPr>
                <w:rFonts w:hint="eastAsia" w:ascii="Times New Roman" w:hAnsi="Times New Roman" w:eastAsia="宋体"/>
                <w:sz w:val="21"/>
                <w:szCs w:val="21"/>
              </w:rPr>
              <w:t>体检费（每两年支付一次）年增长率</w:t>
            </w:r>
          </w:p>
        </w:tc>
        <w:tc>
          <w:tcPr>
            <w:tcW w:w="1257"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right"/>
              <w:textAlignment w:val="auto"/>
              <w:rPr>
                <w:rFonts w:ascii="Times New Roman" w:hAnsi="Times New Roman" w:eastAsia="宋体"/>
                <w:sz w:val="21"/>
                <w:szCs w:val="21"/>
              </w:rPr>
            </w:pPr>
            <w:r>
              <w:rPr>
                <w:rFonts w:hint="eastAsia" w:ascii="Times New Roman" w:hAnsi="Times New Roman" w:eastAsia="宋体"/>
                <w:sz w:val="21"/>
                <w:szCs w:val="21"/>
              </w:rPr>
              <w:t>5%</w:t>
            </w:r>
          </w:p>
        </w:tc>
        <w:tc>
          <w:tcPr>
            <w:tcW w:w="1413"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right"/>
              <w:textAlignment w:val="auto"/>
              <w:rPr>
                <w:rFonts w:ascii="Times New Roman" w:hAnsi="Times New Roman" w:eastAsia="宋体"/>
                <w:sz w:val="21"/>
                <w:szCs w:val="21"/>
              </w:rPr>
            </w:pPr>
            <w:r>
              <w:rPr>
                <w:rFonts w:hint="eastAsia" w:ascii="Times New Roman" w:hAnsi="Times New Roman" w:eastAsia="宋体"/>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imes New Roman" w:hAnsi="Times New Roman" w:eastAsia="宋体"/>
                <w:sz w:val="21"/>
                <w:szCs w:val="21"/>
              </w:rPr>
            </w:pPr>
            <w:r>
              <w:rPr>
                <w:rFonts w:hint="eastAsia" w:ascii="Times New Roman" w:hAnsi="Times New Roman" w:eastAsia="宋体"/>
                <w:sz w:val="21"/>
                <w:szCs w:val="21"/>
              </w:rPr>
              <w:t>死亡率</w:t>
            </w:r>
          </w:p>
        </w:tc>
        <w:tc>
          <w:tcPr>
            <w:tcW w:w="1257"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Times New Roman" w:hAnsi="Times New Roman" w:eastAsia="宋体"/>
                <w:sz w:val="21"/>
                <w:szCs w:val="21"/>
              </w:rPr>
            </w:pPr>
            <w:r>
              <w:rPr>
                <w:rFonts w:hint="eastAsia" w:ascii="Times New Roman" w:hAnsi="Times New Roman" w:eastAsia="宋体"/>
                <w:sz w:val="21"/>
                <w:szCs w:val="21"/>
              </w:rPr>
              <w:t>中国人寿保险业经验生命表（2010-2013）男性CL5和女性CL6</w:t>
            </w:r>
          </w:p>
        </w:tc>
        <w:tc>
          <w:tcPr>
            <w:tcW w:w="1413"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Times New Roman" w:hAnsi="Times New Roman" w:eastAsia="宋体"/>
                <w:sz w:val="21"/>
                <w:szCs w:val="21"/>
              </w:rPr>
            </w:pPr>
            <w:r>
              <w:rPr>
                <w:rFonts w:hint="eastAsia" w:ascii="Times New Roman" w:hAnsi="Times New Roman" w:eastAsia="宋体"/>
                <w:sz w:val="21"/>
                <w:szCs w:val="21"/>
              </w:rPr>
              <w:t>中国人寿保险业经验生命表（2010-2013）男性CL5和女性CL6</w:t>
            </w:r>
          </w:p>
        </w:tc>
      </w:tr>
    </w:tbl>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eastAsia="宋体"/>
          <w:sz w:val="21"/>
          <w:szCs w:val="21"/>
        </w:rPr>
      </w:pPr>
      <w:r>
        <w:rPr>
          <w:rFonts w:hint="eastAsia" w:ascii="Times New Roman" w:hAnsi="Times New Roman" w:eastAsia="宋体"/>
          <w:sz w:val="21"/>
          <w:szCs w:val="21"/>
        </w:rPr>
        <w:t>折现率以国债即期收益率为设定折现率的参考标准，在各评估时点确定内退福利计划负债平均修正久期的年期，再参考相应年期的国债收益率数据，从而决定适用的年折现率。</w:t>
      </w:r>
    </w:p>
    <w:p>
      <w:pPr>
        <w:rPr>
          <w:rFonts w:ascii="Times New Roman" w:hAnsi="Times New Roman" w:eastAsia="宋体"/>
          <w:sz w:val="21"/>
          <w:szCs w:val="21"/>
        </w:rPr>
      </w:pPr>
    </w:p>
    <w:p>
      <w:pPr>
        <w:pStyle w:val="5"/>
        <w:numPr>
          <w:ilvl w:val="0"/>
          <w:numId w:val="98"/>
        </w:numPr>
        <w:ind w:left="426" w:hanging="426"/>
        <w:rPr>
          <w:rFonts w:hint="eastAsia"/>
        </w:rPr>
      </w:pPr>
      <w:r>
        <w:rPr>
          <w:rFonts w:hint="eastAsia"/>
        </w:rPr>
        <w:t>设定受益计划变动情况</w:t>
      </w:r>
    </w:p>
    <w:p>
      <w:pPr>
        <w:rPr>
          <w:szCs w:val="21"/>
        </w:rPr>
      </w:pPr>
      <w:r>
        <w:rPr>
          <w:rFonts w:hint="eastAsia"/>
          <w:szCs w:val="21"/>
        </w:rPr>
        <w:t>设定受益计划义务现值：</w:t>
      </w:r>
    </w:p>
    <w:sdt>
      <w:sdtPr>
        <w:alias w:val="是否适用：设定受益计划义务现值[双击切换]"/>
        <w:tag w:val="_GBC_898bbd8ee5bb4ad698965551469ae3fb"/>
        <w:id w:val="750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rPr>
          <w:szCs w:val="21"/>
        </w:rPr>
      </w:pPr>
      <w:r>
        <w:rPr>
          <w:rFonts w:hint="eastAsia"/>
          <w:szCs w:val="21"/>
        </w:rPr>
        <w:t>计划资产：</w:t>
      </w:r>
    </w:p>
    <w:p>
      <w:pPr>
        <w:rPr>
          <w:szCs w:val="21"/>
        </w:rPr>
      </w:pPr>
      <w:sdt>
        <w:sdtPr>
          <w:rPr>
            <w:rFonts w:hint="eastAsia"/>
          </w:rPr>
          <w:alias w:val="是否适用：设定受益计划变动情况_计划资产[双击切换]"/>
          <w:tag w:val="_GBC_da74e4a7bfc84e888afc38ffa6096a31"/>
          <w:id w:val="7505"/>
          <w:placeholder>
            <w:docPart w:val="GBC22222222222222222222222222222"/>
          </w:placeholder>
        </w:sdtPr>
        <w:sdtEndPr>
          <w:rPr>
            <w:rFonts w:hint="eastAsia"/>
          </w:rPr>
        </w:sdtEndPr>
        <w:sdtContent>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p>
      <w:r>
        <w:rPr>
          <w:rFonts w:hint="eastAsia"/>
        </w:rPr>
        <w:t>设定受益计划净负债（净资产）</w:t>
      </w:r>
    </w:p>
    <w:sdt>
      <w:sdtPr>
        <w:alias w:val="是否适用：设定受益计划变动情况_设定受益计划净负债[双击切换]"/>
        <w:tag w:val="_GBC_4ef7ea9e6dc7431c9365dcd01da99b90"/>
        <w:id w:val="7506"/>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rPr>
          <w:szCs w:val="21"/>
        </w:rPr>
      </w:pPr>
      <w:r>
        <w:rPr>
          <w:rFonts w:hint="eastAsia"/>
          <w:szCs w:val="21"/>
        </w:rPr>
        <w:t>设定受益计划的内容及与之相关风险、对公司未来现金流量、时间和不确定性的影响说明：</w:t>
      </w:r>
    </w:p>
    <w:sdt>
      <w:sdtPr>
        <w:rPr>
          <w:szCs w:val="21"/>
        </w:rPr>
        <w:alias w:val="是否适用：设定受益计划的内容及与之相关风险、对公司未来现金流量、时间和不确定性的影响说明[双击切换]"/>
        <w:tag w:val="_GBC_4c44a3ab962f4a27836276afcc8a7570"/>
        <w:id w:val="7507"/>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rPr>
          <w:szCs w:val="21"/>
        </w:rPr>
      </w:pPr>
      <w:r>
        <w:rPr>
          <w:rFonts w:hint="eastAsia"/>
          <w:szCs w:val="21"/>
        </w:rPr>
        <w:t>设定受益计划重大精算假设及敏感性分析结果说明</w:t>
      </w:r>
    </w:p>
    <w:sdt>
      <w:sdtPr>
        <w:rPr>
          <w:szCs w:val="21"/>
        </w:rPr>
        <w:alias w:val="是否适用：设定受益计划重大精算假设及敏感性分析结果说明[双击切换]"/>
        <w:tag w:val="_GBC_24dfbea0996e4d8cbbe60d6820df50a2"/>
        <w:id w:val="7508"/>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rPr>
          <w:szCs w:val="21"/>
        </w:rPr>
      </w:pPr>
      <w:r>
        <w:rPr>
          <w:rFonts w:hint="eastAsia"/>
          <w:szCs w:val="21"/>
        </w:rPr>
        <w:t>其他说明：</w:t>
      </w:r>
    </w:p>
    <w:sdt>
      <w:sdtPr>
        <w:rPr>
          <w:szCs w:val="21"/>
        </w:rPr>
        <w:alias w:val="是否适用：长期应付职工薪酬的其他说明[双击切换]"/>
        <w:tag w:val="_GBC_4c32051ec1ee486180dafb68d556d339"/>
        <w:id w:val="7509"/>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4"/>
        <w:numPr>
          <w:ilvl w:val="0"/>
          <w:numId w:val="62"/>
        </w:numPr>
        <w:tabs>
          <w:tab w:val="left" w:pos="504"/>
        </w:tabs>
        <w:rPr>
          <w:rFonts w:hint="eastAsia" w:ascii="宋体" w:hAnsi="宋体"/>
          <w:szCs w:val="21"/>
        </w:rPr>
      </w:pPr>
      <w:bookmarkStart w:id="336" w:name="_Hlk533670325"/>
      <w:r>
        <w:rPr>
          <w:rFonts w:hint="eastAsia" w:ascii="宋体" w:hAnsi="宋体"/>
          <w:szCs w:val="21"/>
        </w:rPr>
        <w:t>预计负债</w:t>
      </w:r>
    </w:p>
    <w:sdt>
      <w:sdtPr>
        <w:alias w:val="是否适用：预计负债[双击切换]"/>
        <w:tag w:val="_GBC_d57ab9083835465c9b1fdeb5ed46b3ce"/>
        <w:id w:val="751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336"/>
    <w:p>
      <w:pPr>
        <w:rPr>
          <w:szCs w:val="21"/>
        </w:rPr>
      </w:pPr>
    </w:p>
    <w:p>
      <w:pPr>
        <w:pStyle w:val="4"/>
        <w:numPr>
          <w:ilvl w:val="0"/>
          <w:numId w:val="62"/>
        </w:numPr>
        <w:tabs>
          <w:tab w:val="left" w:pos="504"/>
        </w:tabs>
        <w:rPr>
          <w:rFonts w:hint="eastAsia" w:ascii="宋体" w:hAnsi="宋体"/>
          <w:szCs w:val="21"/>
        </w:rPr>
      </w:pPr>
      <w:r>
        <w:rPr>
          <w:rFonts w:hint="eastAsia" w:ascii="宋体" w:hAnsi="宋体"/>
          <w:szCs w:val="21"/>
        </w:rPr>
        <w:t>递延收益</w:t>
      </w:r>
    </w:p>
    <w:p>
      <w:pPr>
        <w:pStyle w:val="56"/>
        <w:ind w:firstLine="0" w:firstLineChars="0"/>
        <w:jc w:val="left"/>
        <w:rPr>
          <w:rFonts w:hint="eastAsia" w:ascii="宋体" w:hAnsi="宋体" w:cs="宋体"/>
          <w:kern w:val="0"/>
          <w:szCs w:val="21"/>
        </w:rPr>
      </w:pPr>
      <w:r>
        <w:rPr>
          <w:rFonts w:hint="eastAsia" w:ascii="宋体" w:hAnsi="宋体" w:cs="宋体"/>
          <w:kern w:val="0"/>
          <w:szCs w:val="21"/>
        </w:rPr>
        <w:t>递延收益情况</w:t>
      </w:r>
    </w:p>
    <w:sdt>
      <w:sdtPr>
        <w:rPr>
          <w:rFonts w:hint="eastAsia" w:ascii="宋体" w:hAnsi="宋体" w:cs="宋体"/>
          <w:kern w:val="0"/>
          <w:szCs w:val="21"/>
        </w:rPr>
        <w:alias w:val="是否适用：递延收益情况 [双击切换]"/>
        <w:tag w:val="_GBC_1dc89c2a3092474186405d574af5f0a9"/>
        <w:id w:val="7511"/>
        <w:placeholder>
          <w:docPart w:val="GBC22222222222222222222222222222"/>
        </w:placeholder>
      </w:sdtPr>
      <w:sdtEndPr>
        <w:rPr>
          <w:rFonts w:hint="eastAsia" w:ascii="宋体" w:hAnsi="宋体" w:cs="宋体"/>
          <w:kern w:val="0"/>
          <w:szCs w:val="21"/>
        </w:rPr>
      </w:sdtEndPr>
      <w:sdtContent>
        <w:p>
          <w:pPr>
            <w:pStyle w:val="56"/>
            <w:ind w:firstLine="0" w:firstLineChars="0"/>
            <w:jc w:val="left"/>
            <w:rPr>
              <w:rFonts w:hint="eastAsia"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w:instrText>
          </w:r>
          <w:r>
            <w:rPr>
              <w:rFonts w:hint="eastAsia" w:ascii="宋体" w:hAnsi="宋体" w:cs="宋体"/>
              <w:kern w:val="0"/>
              <w:szCs w:val="21"/>
            </w:rPr>
            <w:instrText xml:space="preserve">MACROBUTTON  SnrToggleCheckbox √适用 </w:instrText>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pPr>
        <w:pStyle w:val="56"/>
        <w:ind w:firstLine="0" w:firstLineChars="0"/>
        <w:jc w:val="right"/>
        <w:rPr>
          <w:rFonts w:hint="eastAsia" w:ascii="宋体" w:hAnsi="宋体"/>
          <w:szCs w:val="21"/>
        </w:rPr>
      </w:pPr>
      <w:r>
        <w:rPr>
          <w:rFonts w:hint="eastAsia" w:ascii="宋体" w:hAnsi="宋体"/>
          <w:szCs w:val="21"/>
        </w:rPr>
        <w:t>单位：</w:t>
      </w:r>
      <w:sdt>
        <w:sdtPr>
          <w:rPr>
            <w:rFonts w:hint="eastAsia" w:ascii="宋体" w:hAnsi="宋体"/>
            <w:szCs w:val="21"/>
          </w:rPr>
          <w:alias w:val="单位：财务附注：递延收益"/>
          <w:tag w:val="_GBC_302facde74424f4893f0a42db0d6e1ba"/>
          <w:id w:val="751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ascii="宋体" w:hAnsi="宋体"/>
            <w:szCs w:val="21"/>
          </w:rPr>
        </w:sdtEndPr>
        <w:sdtContent>
          <w:r>
            <w:rPr>
              <w:rFonts w:hint="eastAsia" w:ascii="宋体" w:hAnsi="宋体"/>
              <w:szCs w:val="21"/>
            </w:rPr>
            <w:t>元</w:t>
          </w:r>
        </w:sdtContent>
      </w:sdt>
      <w:r>
        <w:rPr>
          <w:rFonts w:hint="eastAsia" w:ascii="宋体" w:hAnsi="宋体"/>
          <w:szCs w:val="21"/>
        </w:rPr>
        <w:t xml:space="preserve">  币种：</w:t>
      </w:r>
      <w:sdt>
        <w:sdtPr>
          <w:rPr>
            <w:rFonts w:hint="eastAsia" w:ascii="宋体" w:hAnsi="宋体"/>
            <w:szCs w:val="21"/>
          </w:rPr>
          <w:alias w:val="币种：财务附注：递延收益"/>
          <w:tag w:val="_GBC_99380f3ab3514d54aa39945566772fb3"/>
          <w:id w:val="75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ascii="宋体" w:hAnsi="宋体"/>
            <w:szCs w:val="21"/>
          </w:rPr>
        </w:sdtEndPr>
        <w:sdtContent>
          <w:r>
            <w:rPr>
              <w:rFonts w:hint="eastAsia" w:ascii="宋体" w:hAnsi="宋体"/>
              <w:szCs w:val="21"/>
            </w:rPr>
            <w:t>人民币</w:t>
          </w:r>
        </w:sdtContent>
      </w:sdt>
    </w:p>
    <w:tbl>
      <w:tblPr>
        <w:tblStyle w:val="38"/>
        <w:tblW w:w="96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1529"/>
        <w:gridCol w:w="1469"/>
        <w:gridCol w:w="1483"/>
        <w:gridCol w:w="1467"/>
        <w:gridCol w:w="1512"/>
        <w:gridCol w:w="2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335" w:hRule="atLeast"/>
        </w:trPr>
        <w:tc>
          <w:tcPr>
            <w:tcW w:w="1529" w:type="dxa"/>
            <w:vAlign w:val="center"/>
          </w:tcPr>
          <w:sdt>
            <w:sdtPr>
              <w:tag w:val="_PLD_06c0ddfa4a2746ca8f12eddff124e05c"/>
              <w:id w:val="7514"/>
            </w:sdtPr>
            <w:sdtContent>
              <w:p>
                <w:pPr>
                  <w:jc w:val="center"/>
                  <w:rPr>
                    <w:szCs w:val="21"/>
                  </w:rPr>
                </w:pPr>
                <w:r>
                  <w:rPr>
                    <w:rFonts w:hint="eastAsia"/>
                    <w:szCs w:val="21"/>
                  </w:rPr>
                  <w:t>项目</w:t>
                </w:r>
              </w:p>
            </w:sdtContent>
          </w:sdt>
        </w:tc>
        <w:tc>
          <w:tcPr>
            <w:tcW w:w="1469" w:type="dxa"/>
            <w:vAlign w:val="center"/>
          </w:tcPr>
          <w:sdt>
            <w:sdtPr>
              <w:tag w:val="_PLD_4c41187d18a94eb4908c030c31b5a141"/>
              <w:id w:val="7515"/>
            </w:sdtPr>
            <w:sdtContent>
              <w:p>
                <w:pPr>
                  <w:jc w:val="center"/>
                  <w:rPr>
                    <w:szCs w:val="21"/>
                  </w:rPr>
                </w:pPr>
                <w:r>
                  <w:rPr>
                    <w:rFonts w:hint="eastAsia"/>
                    <w:szCs w:val="21"/>
                  </w:rPr>
                  <w:t>期初余额</w:t>
                </w:r>
              </w:p>
            </w:sdtContent>
          </w:sdt>
        </w:tc>
        <w:tc>
          <w:tcPr>
            <w:tcW w:w="1483" w:type="dxa"/>
            <w:vAlign w:val="center"/>
          </w:tcPr>
          <w:sdt>
            <w:sdtPr>
              <w:tag w:val="_PLD_7823db68b61845e58a185dffbbfd2804"/>
              <w:id w:val="7516"/>
            </w:sdtPr>
            <w:sdtContent>
              <w:p>
                <w:pPr>
                  <w:jc w:val="center"/>
                  <w:rPr>
                    <w:szCs w:val="21"/>
                  </w:rPr>
                </w:pPr>
                <w:r>
                  <w:rPr>
                    <w:rFonts w:hint="eastAsia"/>
                    <w:szCs w:val="21"/>
                  </w:rPr>
                  <w:t>本期增加</w:t>
                </w:r>
              </w:p>
            </w:sdtContent>
          </w:sdt>
        </w:tc>
        <w:tc>
          <w:tcPr>
            <w:tcW w:w="1467" w:type="dxa"/>
            <w:vAlign w:val="center"/>
          </w:tcPr>
          <w:sdt>
            <w:sdtPr>
              <w:tag w:val="_PLD_53b43bfd28984007852c2e00c870c71e"/>
              <w:id w:val="7517"/>
            </w:sdtPr>
            <w:sdtContent>
              <w:p>
                <w:pPr>
                  <w:jc w:val="center"/>
                  <w:rPr>
                    <w:szCs w:val="21"/>
                  </w:rPr>
                </w:pPr>
                <w:r>
                  <w:rPr>
                    <w:rFonts w:hint="eastAsia"/>
                    <w:szCs w:val="21"/>
                  </w:rPr>
                  <w:t>本期减少</w:t>
                </w:r>
              </w:p>
            </w:sdtContent>
          </w:sdt>
        </w:tc>
        <w:tc>
          <w:tcPr>
            <w:tcW w:w="1512" w:type="dxa"/>
            <w:vAlign w:val="center"/>
          </w:tcPr>
          <w:sdt>
            <w:sdtPr>
              <w:tag w:val="_PLD_f07e96209c8b4d728b2a1b24ad38bcf7"/>
              <w:id w:val="7518"/>
            </w:sdtPr>
            <w:sdtContent>
              <w:p>
                <w:pPr>
                  <w:jc w:val="center"/>
                  <w:rPr>
                    <w:szCs w:val="21"/>
                  </w:rPr>
                </w:pPr>
                <w:bookmarkStart w:id="337" w:name="OLE_LINK67"/>
                <w:bookmarkStart w:id="338" w:name="OLE_LINK66"/>
                <w:r>
                  <w:rPr>
                    <w:rFonts w:hint="eastAsia"/>
                    <w:szCs w:val="21"/>
                  </w:rPr>
                  <w:t>期末余额</w:t>
                </w:r>
              </w:p>
            </w:sdtContent>
          </w:sdt>
          <w:bookmarkEnd w:id="337"/>
          <w:bookmarkEnd w:id="338"/>
        </w:tc>
        <w:tc>
          <w:tcPr>
            <w:tcW w:w="2211" w:type="dxa"/>
            <w:vAlign w:val="center"/>
          </w:tcPr>
          <w:sdt>
            <w:sdtPr>
              <w:tag w:val="_PLD_86dc51c05b1340c5968feded0e64c1f1"/>
              <w:id w:val="7519"/>
            </w:sdtPr>
            <w:sdtContent>
              <w:p>
                <w:pPr>
                  <w:jc w:val="center"/>
                  <w:rPr>
                    <w:szCs w:val="21"/>
                  </w:rPr>
                </w:pPr>
                <w:r>
                  <w:rPr>
                    <w:rFonts w:hint="eastAsia"/>
                    <w:szCs w:val="21"/>
                  </w:rPr>
                  <w:t>形成原因</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529" w:type="dxa"/>
            <w:vAlign w:val="center"/>
          </w:tcPr>
          <w:sdt>
            <w:sdtPr>
              <w:tag w:val="_PLD_8dc45c68aab84586a2df4b6838458b87"/>
              <w:id w:val="7520"/>
            </w:sdtPr>
            <w:sdtContent>
              <w:p>
                <w:pPr>
                  <w:rPr>
                    <w:szCs w:val="21"/>
                  </w:rPr>
                </w:pPr>
                <w:r>
                  <w:rPr>
                    <w:rFonts w:hint="eastAsia"/>
                    <w:szCs w:val="21"/>
                  </w:rPr>
                  <w:t>全渠道大数据营销管理云平台建设项目</w:t>
                </w:r>
              </w:p>
            </w:sdtContent>
          </w:sdt>
        </w:tc>
        <w:tc>
          <w:tcPr>
            <w:tcW w:w="1469" w:type="dxa"/>
            <w:vAlign w:val="center"/>
          </w:tcPr>
          <w:p>
            <w:pPr>
              <w:jc w:val="right"/>
              <w:rPr>
                <w:szCs w:val="21"/>
              </w:rPr>
            </w:pPr>
            <w:r>
              <w:rPr>
                <w:rFonts w:hint="eastAsia"/>
                <w:color w:val="auto"/>
              </w:rPr>
              <w:t>1,014,999.84</w:t>
            </w:r>
          </w:p>
        </w:tc>
        <w:tc>
          <w:tcPr>
            <w:tcW w:w="1483" w:type="dxa"/>
            <w:vAlign w:val="center"/>
          </w:tcPr>
          <w:p>
            <w:pPr>
              <w:jc w:val="right"/>
              <w:rPr>
                <w:szCs w:val="21"/>
              </w:rPr>
            </w:pPr>
            <w:r>
              <w:rPr>
                <w:rFonts w:hint="eastAsia"/>
                <w:color w:val="auto"/>
              </w:rPr>
              <w:t>200,000.00</w:t>
            </w:r>
          </w:p>
        </w:tc>
        <w:tc>
          <w:tcPr>
            <w:tcW w:w="1467" w:type="dxa"/>
            <w:vAlign w:val="center"/>
          </w:tcPr>
          <w:p>
            <w:pPr>
              <w:jc w:val="right"/>
              <w:rPr>
                <w:szCs w:val="21"/>
              </w:rPr>
            </w:pPr>
            <w:r>
              <w:rPr>
                <w:rFonts w:hint="eastAsia"/>
                <w:color w:val="auto"/>
                <w:szCs w:val="21"/>
              </w:rPr>
              <w:t>146,000.04</w:t>
            </w:r>
          </w:p>
        </w:tc>
        <w:tc>
          <w:tcPr>
            <w:tcW w:w="1512" w:type="dxa"/>
            <w:vAlign w:val="center"/>
          </w:tcPr>
          <w:p>
            <w:pPr>
              <w:jc w:val="right"/>
              <w:rPr>
                <w:szCs w:val="21"/>
              </w:rPr>
            </w:pPr>
            <w:r>
              <w:rPr>
                <w:rFonts w:hint="eastAsia"/>
                <w:color w:val="auto"/>
              </w:rPr>
              <w:t>1,068,999.80</w:t>
            </w:r>
          </w:p>
        </w:tc>
        <w:tc>
          <w:tcPr>
            <w:tcW w:w="2211" w:type="dxa"/>
            <w:vAlign w:val="center"/>
          </w:tcPr>
          <w:p>
            <w:pPr>
              <w:jc w:val="left"/>
              <w:rPr>
                <w:szCs w:val="21"/>
              </w:rPr>
            </w:pPr>
            <w:r>
              <w:rPr>
                <w:rFonts w:hint="eastAsia"/>
                <w:color w:val="auto"/>
                <w:szCs w:val="21"/>
              </w:rPr>
              <w:t>本公司2020年收到项目资金116万元，2022年收到项目资金30万</w:t>
            </w:r>
            <w:r>
              <w:rPr>
                <w:rFonts w:hint="eastAsia"/>
                <w:color w:val="auto"/>
                <w:szCs w:val="21"/>
                <w:lang w:val="en-US" w:eastAsia="zh-CN"/>
              </w:rPr>
              <w:t>元</w:t>
            </w:r>
            <w:r>
              <w:rPr>
                <w:rFonts w:hint="eastAsia"/>
                <w:color w:val="auto"/>
                <w:szCs w:val="21"/>
              </w:rPr>
              <w:t>，2024年收到项目资金20万</w:t>
            </w:r>
            <w:r>
              <w:rPr>
                <w:rFonts w:hint="eastAsia"/>
                <w:color w:val="auto"/>
                <w:szCs w:val="21"/>
                <w:lang w:val="en-US" w:eastAsia="zh-CN"/>
              </w:rPr>
              <w:t>元，2025年收到资金20万元</w:t>
            </w:r>
            <w:r>
              <w:rPr>
                <w:rFonts w:hint="eastAsia"/>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529" w:type="dxa"/>
            <w:vAlign w:val="center"/>
          </w:tcPr>
          <w:p>
            <w:pPr>
              <w:rPr>
                <w:szCs w:val="21"/>
              </w:rPr>
            </w:pPr>
            <w:r>
              <w:rPr>
                <w:rFonts w:hint="eastAsia"/>
                <w:color w:val="auto"/>
              </w:rPr>
              <w:t>安徽芳草工业园财政补助</w:t>
            </w:r>
          </w:p>
        </w:tc>
        <w:tc>
          <w:tcPr>
            <w:tcW w:w="1469" w:type="dxa"/>
            <w:vAlign w:val="center"/>
          </w:tcPr>
          <w:p>
            <w:pPr>
              <w:jc w:val="right"/>
              <w:rPr>
                <w:szCs w:val="21"/>
              </w:rPr>
            </w:pPr>
            <w:r>
              <w:rPr>
                <w:rFonts w:hint="eastAsia"/>
                <w:color w:val="auto"/>
              </w:rPr>
              <w:t>6,305,485.12</w:t>
            </w:r>
          </w:p>
        </w:tc>
        <w:tc>
          <w:tcPr>
            <w:tcW w:w="1483" w:type="dxa"/>
            <w:vAlign w:val="center"/>
          </w:tcPr>
          <w:p>
            <w:pPr>
              <w:jc w:val="right"/>
              <w:rPr>
                <w:szCs w:val="21"/>
              </w:rPr>
            </w:pPr>
            <w:r>
              <w:rPr>
                <w:rFonts w:hint="eastAsia"/>
                <w:color w:val="auto"/>
                <w:szCs w:val="21"/>
              </w:rPr>
              <w:t>　</w:t>
            </w:r>
          </w:p>
        </w:tc>
        <w:tc>
          <w:tcPr>
            <w:tcW w:w="1467" w:type="dxa"/>
            <w:vAlign w:val="center"/>
          </w:tcPr>
          <w:p>
            <w:pPr>
              <w:jc w:val="right"/>
              <w:rPr>
                <w:szCs w:val="21"/>
              </w:rPr>
            </w:pPr>
            <w:r>
              <w:rPr>
                <w:rFonts w:hint="eastAsia"/>
                <w:color w:val="auto"/>
                <w:szCs w:val="21"/>
              </w:rPr>
              <w:t>176,789.28</w:t>
            </w:r>
          </w:p>
        </w:tc>
        <w:tc>
          <w:tcPr>
            <w:tcW w:w="1512" w:type="dxa"/>
            <w:vAlign w:val="center"/>
          </w:tcPr>
          <w:p>
            <w:pPr>
              <w:jc w:val="right"/>
              <w:rPr>
                <w:szCs w:val="21"/>
              </w:rPr>
            </w:pPr>
            <w:r>
              <w:rPr>
                <w:rFonts w:hint="eastAsia"/>
                <w:color w:val="auto"/>
                <w:szCs w:val="21"/>
              </w:rPr>
              <w:t>6,128,695.84</w:t>
            </w:r>
          </w:p>
        </w:tc>
        <w:tc>
          <w:tcPr>
            <w:tcW w:w="2211" w:type="dxa"/>
            <w:vAlign w:val="center"/>
          </w:tcPr>
          <w:p>
            <w:pPr>
              <w:jc w:val="left"/>
              <w:rPr>
                <w:szCs w:val="21"/>
              </w:rPr>
            </w:pPr>
            <w:r>
              <w:rPr>
                <w:rFonts w:hint="eastAsia"/>
                <w:color w:val="auto"/>
                <w:szCs w:val="21"/>
              </w:rPr>
              <w:t>2010年合肥芳草工业园财政补助，初始入账881万</w:t>
            </w:r>
            <w:r>
              <w:rPr>
                <w:rFonts w:hint="eastAsia"/>
                <w:color w:val="auto"/>
                <w:szCs w:val="21"/>
                <w:lang w:val="en-US" w:eastAsia="zh-CN"/>
              </w:rPr>
              <w:t>元</w:t>
            </w:r>
            <w:r>
              <w:rPr>
                <w:rFonts w:hint="eastAsia"/>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529" w:type="dxa"/>
            <w:vAlign w:val="center"/>
          </w:tcPr>
          <w:p>
            <w:pPr>
              <w:rPr>
                <w:szCs w:val="21"/>
              </w:rPr>
            </w:pPr>
            <w:r>
              <w:rPr>
                <w:rFonts w:hint="eastAsia"/>
                <w:color w:val="auto"/>
              </w:rPr>
              <w:t>节能减排项目</w:t>
            </w:r>
          </w:p>
        </w:tc>
        <w:tc>
          <w:tcPr>
            <w:tcW w:w="1469" w:type="dxa"/>
            <w:vAlign w:val="center"/>
          </w:tcPr>
          <w:p>
            <w:pPr>
              <w:jc w:val="right"/>
              <w:rPr>
                <w:szCs w:val="21"/>
              </w:rPr>
            </w:pPr>
            <w:r>
              <w:rPr>
                <w:rFonts w:hint="eastAsia"/>
                <w:color w:val="auto"/>
              </w:rPr>
              <w:t>472,695.55</w:t>
            </w:r>
          </w:p>
        </w:tc>
        <w:tc>
          <w:tcPr>
            <w:tcW w:w="1483" w:type="dxa"/>
            <w:vAlign w:val="center"/>
          </w:tcPr>
          <w:p>
            <w:pPr>
              <w:jc w:val="right"/>
              <w:rPr>
                <w:szCs w:val="21"/>
              </w:rPr>
            </w:pPr>
            <w:r>
              <w:rPr>
                <w:rFonts w:hint="eastAsia"/>
                <w:color w:val="auto"/>
                <w:szCs w:val="21"/>
              </w:rPr>
              <w:t>　</w:t>
            </w:r>
          </w:p>
        </w:tc>
        <w:tc>
          <w:tcPr>
            <w:tcW w:w="1467" w:type="dxa"/>
            <w:vAlign w:val="center"/>
          </w:tcPr>
          <w:p>
            <w:pPr>
              <w:jc w:val="right"/>
              <w:rPr>
                <w:szCs w:val="21"/>
              </w:rPr>
            </w:pPr>
            <w:r>
              <w:rPr>
                <w:rFonts w:hint="eastAsia"/>
                <w:color w:val="auto"/>
                <w:szCs w:val="21"/>
              </w:rPr>
              <w:t>71,828.40</w:t>
            </w:r>
          </w:p>
        </w:tc>
        <w:tc>
          <w:tcPr>
            <w:tcW w:w="1512" w:type="dxa"/>
            <w:vAlign w:val="center"/>
          </w:tcPr>
          <w:p>
            <w:pPr>
              <w:jc w:val="right"/>
              <w:rPr>
                <w:szCs w:val="21"/>
              </w:rPr>
            </w:pPr>
            <w:r>
              <w:rPr>
                <w:rFonts w:hint="eastAsia"/>
                <w:color w:val="auto"/>
                <w:szCs w:val="21"/>
              </w:rPr>
              <w:t>400,867.15</w:t>
            </w:r>
          </w:p>
        </w:tc>
        <w:tc>
          <w:tcPr>
            <w:tcW w:w="2211" w:type="dxa"/>
            <w:vAlign w:val="center"/>
          </w:tcPr>
          <w:p>
            <w:pPr>
              <w:jc w:val="left"/>
              <w:rPr>
                <w:szCs w:val="21"/>
              </w:rPr>
            </w:pPr>
            <w:r>
              <w:rPr>
                <w:rFonts w:hint="eastAsia"/>
                <w:color w:val="auto"/>
                <w:szCs w:val="21"/>
              </w:rPr>
              <w:t>亿康药业2016年收到的项目资金初始60万，2019年收到40万元。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529" w:type="dxa"/>
            <w:vAlign w:val="center"/>
          </w:tcPr>
          <w:p>
            <w:pPr>
              <w:rPr>
                <w:szCs w:val="21"/>
              </w:rPr>
            </w:pPr>
            <w:r>
              <w:rPr>
                <w:rFonts w:hint="eastAsia"/>
                <w:color w:val="auto"/>
              </w:rPr>
              <w:t>愈创木酚磺酸钾项目</w:t>
            </w:r>
          </w:p>
        </w:tc>
        <w:tc>
          <w:tcPr>
            <w:tcW w:w="1469" w:type="dxa"/>
            <w:vAlign w:val="center"/>
          </w:tcPr>
          <w:p>
            <w:pPr>
              <w:jc w:val="right"/>
              <w:rPr>
                <w:szCs w:val="21"/>
              </w:rPr>
            </w:pPr>
            <w:r>
              <w:rPr>
                <w:rFonts w:hint="eastAsia"/>
                <w:color w:val="auto"/>
              </w:rPr>
              <w:t>128,835.80</w:t>
            </w:r>
          </w:p>
        </w:tc>
        <w:tc>
          <w:tcPr>
            <w:tcW w:w="1483" w:type="dxa"/>
            <w:vAlign w:val="center"/>
          </w:tcPr>
          <w:p>
            <w:pPr>
              <w:jc w:val="right"/>
              <w:rPr>
                <w:szCs w:val="21"/>
              </w:rPr>
            </w:pPr>
            <w:r>
              <w:rPr>
                <w:rFonts w:hint="eastAsia"/>
                <w:color w:val="auto"/>
                <w:szCs w:val="21"/>
              </w:rPr>
              <w:t>　</w:t>
            </w:r>
          </w:p>
        </w:tc>
        <w:tc>
          <w:tcPr>
            <w:tcW w:w="1467" w:type="dxa"/>
            <w:vAlign w:val="center"/>
          </w:tcPr>
          <w:p>
            <w:pPr>
              <w:jc w:val="right"/>
              <w:rPr>
                <w:szCs w:val="21"/>
              </w:rPr>
            </w:pPr>
            <w:r>
              <w:rPr>
                <w:rFonts w:hint="eastAsia"/>
                <w:color w:val="auto"/>
                <w:szCs w:val="21"/>
              </w:rPr>
              <w:t>31,971.20</w:t>
            </w:r>
          </w:p>
        </w:tc>
        <w:tc>
          <w:tcPr>
            <w:tcW w:w="1512" w:type="dxa"/>
            <w:vAlign w:val="center"/>
          </w:tcPr>
          <w:p>
            <w:pPr>
              <w:jc w:val="right"/>
              <w:rPr>
                <w:szCs w:val="21"/>
              </w:rPr>
            </w:pPr>
            <w:r>
              <w:rPr>
                <w:rFonts w:hint="eastAsia"/>
                <w:color w:val="auto"/>
                <w:szCs w:val="21"/>
              </w:rPr>
              <w:t>96,864.60</w:t>
            </w:r>
          </w:p>
        </w:tc>
        <w:tc>
          <w:tcPr>
            <w:tcW w:w="2211" w:type="dxa"/>
            <w:vAlign w:val="center"/>
          </w:tcPr>
          <w:p>
            <w:pPr>
              <w:jc w:val="left"/>
              <w:rPr>
                <w:szCs w:val="21"/>
              </w:rPr>
            </w:pPr>
            <w:r>
              <w:rPr>
                <w:rFonts w:hint="eastAsia"/>
                <w:color w:val="auto"/>
                <w:szCs w:val="21"/>
              </w:rPr>
              <w:t>亿康药业2018年收到项目资金35万元。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1529" w:type="dxa"/>
            <w:vAlign w:val="center"/>
          </w:tcPr>
          <w:p>
            <w:pPr>
              <w:jc w:val="center"/>
              <w:rPr>
                <w:szCs w:val="21"/>
              </w:rPr>
            </w:pPr>
            <w:r>
              <w:rPr>
                <w:rFonts w:hint="eastAsia"/>
                <w:szCs w:val="21"/>
              </w:rPr>
              <w:t>合计</w:t>
            </w:r>
          </w:p>
        </w:tc>
        <w:tc>
          <w:tcPr>
            <w:tcW w:w="1469" w:type="dxa"/>
            <w:vAlign w:val="center"/>
          </w:tcPr>
          <w:p>
            <w:pPr>
              <w:jc w:val="right"/>
              <w:rPr>
                <w:szCs w:val="21"/>
              </w:rPr>
            </w:pPr>
            <w:r>
              <w:rPr>
                <w:rFonts w:hint="eastAsia"/>
                <w:color w:val="auto"/>
              </w:rPr>
              <w:t>7,922,016.31</w:t>
            </w:r>
          </w:p>
        </w:tc>
        <w:tc>
          <w:tcPr>
            <w:tcW w:w="1483" w:type="dxa"/>
            <w:vAlign w:val="center"/>
          </w:tcPr>
          <w:p>
            <w:pPr>
              <w:jc w:val="right"/>
              <w:rPr>
                <w:szCs w:val="21"/>
              </w:rPr>
            </w:pPr>
            <w:r>
              <w:rPr>
                <w:rFonts w:hint="eastAsia"/>
                <w:color w:val="auto"/>
                <w:szCs w:val="21"/>
              </w:rPr>
              <w:t>200,000.00</w:t>
            </w:r>
          </w:p>
        </w:tc>
        <w:tc>
          <w:tcPr>
            <w:tcW w:w="1467" w:type="dxa"/>
            <w:vAlign w:val="center"/>
          </w:tcPr>
          <w:p>
            <w:pPr>
              <w:jc w:val="right"/>
              <w:rPr>
                <w:szCs w:val="21"/>
              </w:rPr>
            </w:pPr>
            <w:r>
              <w:rPr>
                <w:rFonts w:hint="eastAsia"/>
                <w:color w:val="auto"/>
                <w:szCs w:val="21"/>
              </w:rPr>
              <w:t>426,588.92</w:t>
            </w:r>
          </w:p>
        </w:tc>
        <w:tc>
          <w:tcPr>
            <w:tcW w:w="1512" w:type="dxa"/>
            <w:vAlign w:val="center"/>
          </w:tcPr>
          <w:p>
            <w:pPr>
              <w:jc w:val="right"/>
              <w:rPr>
                <w:szCs w:val="21"/>
              </w:rPr>
            </w:pPr>
            <w:r>
              <w:rPr>
                <w:rFonts w:hint="eastAsia"/>
                <w:color w:val="auto"/>
                <w:szCs w:val="21"/>
              </w:rPr>
              <w:t>7,695,427.39</w:t>
            </w:r>
          </w:p>
        </w:tc>
        <w:tc>
          <w:tcPr>
            <w:tcW w:w="2211" w:type="dxa"/>
            <w:vAlign w:val="center"/>
          </w:tcPr>
          <w:p>
            <w:pPr>
              <w:jc w:val="center"/>
              <w:rPr>
                <w:szCs w:val="21"/>
              </w:rPr>
            </w:pPr>
            <w:r>
              <w:rPr>
                <w:rFonts w:hint="eastAsia"/>
                <w:szCs w:val="21"/>
              </w:rPr>
              <w:t>/</w:t>
            </w:r>
          </w:p>
        </w:tc>
      </w:tr>
    </w:tbl>
    <w:p/>
    <w:p>
      <w:pPr>
        <w:spacing w:before="60" w:after="60"/>
        <w:rPr>
          <w:szCs w:val="21"/>
        </w:rPr>
      </w:pPr>
      <w:bookmarkStart w:id="339" w:name="_Hlk532902569"/>
      <w:bookmarkEnd w:id="339"/>
      <w:bookmarkStart w:id="340" w:name="_Hlk532902543"/>
      <w:bookmarkEnd w:id="340"/>
      <w:bookmarkStart w:id="341" w:name="OLE_LINK85"/>
      <w:bookmarkStart w:id="342" w:name="OLE_LINK84"/>
      <w:r>
        <w:rPr>
          <w:rFonts w:hint="eastAsia"/>
          <w:szCs w:val="21"/>
        </w:rPr>
        <w:t>其他说明：</w:t>
      </w:r>
    </w:p>
    <w:sdt>
      <w:sdtPr>
        <w:rPr>
          <w:szCs w:val="21"/>
        </w:rPr>
        <w:alias w:val="是否适用：递延收益的其他说明[双击切换]"/>
        <w:tag w:val="_GBC_0c28db54a76349869056f2b92b5d9400"/>
        <w:id w:val="7521"/>
        <w:placeholder>
          <w:docPart w:val="GBC22222222222222222222222222222"/>
        </w:placeholder>
      </w:sdtPr>
      <w:sdtEndPr>
        <w:rPr>
          <w:szCs w:val="21"/>
        </w:rPr>
      </w:sdtEndPr>
      <w:sdtContent>
        <w:p>
          <w:pPr>
            <w:spacing w:before="60" w:after="60"/>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sz w:val="21"/>
          <w:szCs w:val="21"/>
        </w:rPr>
        <w:alias w:val="递延收益的其他说明"/>
        <w:tag w:val="_GBC_032268b156254a52ab5d507bf377f9f4"/>
        <w:id w:val="7522"/>
        <w:placeholder>
          <w:docPart w:val="GBC22222222222222222222222222222"/>
        </w:placeholder>
      </w:sdtPr>
      <w:sdtEndPr>
        <w:rPr>
          <w:rFonts w:ascii="Times New Roman" w:hAnsi="Times New Roman" w:eastAsia="宋体"/>
          <w:sz w:val="21"/>
          <w:szCs w:val="21"/>
        </w:rPr>
      </w:sdtEndPr>
      <w:sdtContent>
        <w:p>
          <w:pPr>
            <w:ind w:firstLine="640"/>
            <w:rPr>
              <w:szCs w:val="21"/>
            </w:rPr>
          </w:pPr>
          <w:r>
            <w:rPr>
              <w:rFonts w:hint="eastAsia" w:ascii="Arial" w:eastAsia="Arial"/>
              <w:sz w:val="21"/>
              <w:szCs w:val="21"/>
            </w:rPr>
            <w:t>与政府补助相关的递延收益：</w:t>
          </w:r>
        </w:p>
        <w:tbl>
          <w:tblPr>
            <w:tblStyle w:val="39"/>
            <w:tblW w:w="533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1"/>
            <w:gridCol w:w="1413"/>
            <w:gridCol w:w="1212"/>
            <w:gridCol w:w="1338"/>
            <w:gridCol w:w="700"/>
            <w:gridCol w:w="1325"/>
            <w:gridCol w:w="1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pct"/>
                <w:tcBorders>
                  <w:top w:val="single" w:color="auto" w:sz="12" w:space="0"/>
                  <w:left w:val="nil"/>
                  <w:bottom w:val="single" w:color="auto" w:sz="4" w:space="0"/>
                  <w:right w:val="single" w:color="auto" w:sz="4" w:space="0"/>
                </w:tcBorders>
                <w:vAlign w:val="center"/>
              </w:tcPr>
              <w:p>
                <w:pPr>
                  <w:widowControl w:val="0"/>
                  <w:jc w:val="center"/>
                  <w:rPr>
                    <w:sz w:val="21"/>
                    <w:szCs w:val="21"/>
                  </w:rPr>
                </w:pPr>
                <w:r>
                  <w:rPr>
                    <w:rFonts w:hint="eastAsia" w:ascii="Arial" w:eastAsia="Arial"/>
                    <w:sz w:val="21"/>
                    <w:szCs w:val="21"/>
                  </w:rPr>
                  <w:t>项目</w:t>
                </w:r>
              </w:p>
            </w:tc>
            <w:tc>
              <w:tcPr>
                <w:tcW w:w="731" w:type="pct"/>
                <w:tcBorders>
                  <w:top w:val="single" w:color="auto" w:sz="12" w:space="0"/>
                  <w:left w:val="single" w:color="auto" w:sz="4" w:space="0"/>
                  <w:bottom w:val="single" w:color="auto" w:sz="4" w:space="0"/>
                  <w:right w:val="single" w:color="auto" w:sz="4" w:space="0"/>
                </w:tcBorders>
                <w:vAlign w:val="center"/>
              </w:tcPr>
              <w:p>
                <w:pPr>
                  <w:widowControl w:val="0"/>
                  <w:jc w:val="center"/>
                  <w:rPr>
                    <w:sz w:val="21"/>
                    <w:szCs w:val="21"/>
                  </w:rPr>
                </w:pPr>
                <w:r>
                  <w:rPr>
                    <w:rFonts w:hint="eastAsia" w:ascii="Arial" w:eastAsia="Arial"/>
                    <w:sz w:val="21"/>
                    <w:szCs w:val="21"/>
                  </w:rPr>
                  <w:t>期初余额</w:t>
                </w:r>
              </w:p>
            </w:tc>
            <w:tc>
              <w:tcPr>
                <w:tcW w:w="627" w:type="pct"/>
                <w:tcBorders>
                  <w:top w:val="single" w:color="auto" w:sz="12" w:space="0"/>
                  <w:left w:val="single" w:color="auto" w:sz="4" w:space="0"/>
                  <w:bottom w:val="single" w:color="auto" w:sz="4" w:space="0"/>
                  <w:right w:val="single" w:color="auto" w:sz="4" w:space="0"/>
                </w:tcBorders>
                <w:vAlign w:val="center"/>
              </w:tcPr>
              <w:p>
                <w:pPr>
                  <w:widowControl w:val="0"/>
                  <w:jc w:val="center"/>
                  <w:rPr>
                    <w:sz w:val="21"/>
                    <w:szCs w:val="21"/>
                  </w:rPr>
                </w:pPr>
                <w:r>
                  <w:rPr>
                    <w:rFonts w:hint="eastAsia" w:ascii="Arial" w:eastAsia="Arial"/>
                    <w:sz w:val="21"/>
                    <w:szCs w:val="21"/>
                  </w:rPr>
                  <w:t>本期新增补助金额</w:t>
                </w:r>
              </w:p>
            </w:tc>
            <w:tc>
              <w:tcPr>
                <w:tcW w:w="692" w:type="pct"/>
                <w:tcBorders>
                  <w:top w:val="single" w:color="auto" w:sz="12" w:space="0"/>
                  <w:left w:val="single" w:color="auto" w:sz="4" w:space="0"/>
                  <w:bottom w:val="single" w:color="auto" w:sz="4" w:space="0"/>
                  <w:right w:val="single" w:color="auto" w:sz="4" w:space="0"/>
                </w:tcBorders>
                <w:vAlign w:val="center"/>
              </w:tcPr>
              <w:p>
                <w:pPr>
                  <w:widowControl w:val="0"/>
                  <w:jc w:val="center"/>
                  <w:rPr>
                    <w:sz w:val="21"/>
                    <w:szCs w:val="21"/>
                  </w:rPr>
                </w:pPr>
                <w:r>
                  <w:rPr>
                    <w:rFonts w:hint="eastAsia" w:ascii="Arial" w:eastAsia="Arial"/>
                    <w:sz w:val="21"/>
                    <w:szCs w:val="21"/>
                  </w:rPr>
                  <w:t>本期计入当期损益金额</w:t>
                </w:r>
              </w:p>
            </w:tc>
            <w:tc>
              <w:tcPr>
                <w:tcW w:w="362" w:type="pct"/>
                <w:tcBorders>
                  <w:top w:val="single" w:color="auto" w:sz="12" w:space="0"/>
                  <w:left w:val="single" w:color="auto" w:sz="4" w:space="0"/>
                  <w:bottom w:val="single" w:color="auto" w:sz="4" w:space="0"/>
                  <w:right w:val="single" w:color="auto" w:sz="4" w:space="0"/>
                </w:tcBorders>
                <w:vAlign w:val="center"/>
              </w:tcPr>
              <w:p>
                <w:pPr>
                  <w:widowControl w:val="0"/>
                  <w:jc w:val="center"/>
                  <w:rPr>
                    <w:sz w:val="21"/>
                    <w:szCs w:val="21"/>
                  </w:rPr>
                </w:pPr>
                <w:r>
                  <w:rPr>
                    <w:rFonts w:hint="eastAsia" w:ascii="Arial" w:eastAsia="Arial"/>
                    <w:sz w:val="21"/>
                    <w:szCs w:val="21"/>
                  </w:rPr>
                  <w:t>其他变动</w:t>
                </w:r>
              </w:p>
            </w:tc>
            <w:tc>
              <w:tcPr>
                <w:tcW w:w="686" w:type="pct"/>
                <w:tcBorders>
                  <w:top w:val="single" w:color="auto" w:sz="12" w:space="0"/>
                  <w:left w:val="single" w:color="auto" w:sz="4" w:space="0"/>
                  <w:bottom w:val="single" w:color="auto" w:sz="4" w:space="0"/>
                  <w:right w:val="single" w:color="auto" w:sz="4" w:space="0"/>
                </w:tcBorders>
                <w:vAlign w:val="center"/>
              </w:tcPr>
              <w:p>
                <w:pPr>
                  <w:widowControl w:val="0"/>
                  <w:jc w:val="center"/>
                  <w:rPr>
                    <w:sz w:val="21"/>
                    <w:szCs w:val="21"/>
                  </w:rPr>
                </w:pPr>
                <w:r>
                  <w:rPr>
                    <w:rFonts w:hint="eastAsia" w:ascii="Arial" w:eastAsia="Arial"/>
                    <w:sz w:val="21"/>
                    <w:szCs w:val="21"/>
                  </w:rPr>
                  <w:t>期末余额</w:t>
                </w:r>
              </w:p>
            </w:tc>
            <w:tc>
              <w:tcPr>
                <w:tcW w:w="738" w:type="pct"/>
                <w:tcBorders>
                  <w:top w:val="single" w:color="auto" w:sz="12" w:space="0"/>
                  <w:left w:val="single" w:color="auto" w:sz="4" w:space="0"/>
                  <w:bottom w:val="single" w:color="auto" w:sz="4" w:space="0"/>
                  <w:right w:val="nil"/>
                </w:tcBorders>
                <w:vAlign w:val="center"/>
              </w:tcPr>
              <w:p>
                <w:pPr>
                  <w:widowControl w:val="0"/>
                  <w:jc w:val="center"/>
                  <w:rPr>
                    <w:sz w:val="21"/>
                    <w:szCs w:val="21"/>
                  </w:rPr>
                </w:pPr>
                <w:r>
                  <w:rPr>
                    <w:rFonts w:hint="eastAsia" w:ascii="Arial" w:eastAsia="Arial"/>
                    <w:sz w:val="21"/>
                    <w:szCs w:val="21"/>
                  </w:rPr>
                  <w:t>与资产相关/与收益相关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pct"/>
                <w:tcBorders>
                  <w:top w:val="single" w:color="auto" w:sz="4" w:space="0"/>
                  <w:left w:val="nil"/>
                  <w:bottom w:val="single" w:color="auto" w:sz="4" w:space="0"/>
                  <w:right w:val="single" w:color="auto" w:sz="4" w:space="0"/>
                </w:tcBorders>
                <w:vAlign w:val="bottom"/>
              </w:tcPr>
              <w:p>
                <w:pPr>
                  <w:widowControl w:val="0"/>
                  <w:jc w:val="both"/>
                  <w:rPr>
                    <w:rFonts w:ascii="Times New Roman" w:hAnsi="Times New Roman" w:eastAsia="宋体"/>
                    <w:sz w:val="21"/>
                    <w:szCs w:val="21"/>
                  </w:rPr>
                </w:pPr>
                <w:r>
                  <w:rPr>
                    <w:rFonts w:hint="eastAsia" w:ascii="Times New Roman" w:hAnsi="Times New Roman" w:eastAsia="宋体"/>
                    <w:sz w:val="21"/>
                    <w:szCs w:val="21"/>
                  </w:rPr>
                  <w:t>全渠道大数据营销管理云平台建设项目</w:t>
                </w:r>
              </w:p>
            </w:tc>
            <w:tc>
              <w:tcPr>
                <w:tcW w:w="731" w:type="pct"/>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r>
                  <w:rPr>
                    <w:rFonts w:hint="eastAsia" w:ascii="Times New Roman" w:hAnsi="Times New Roman" w:eastAsia="宋体"/>
                    <w:sz w:val="21"/>
                    <w:szCs w:val="21"/>
                  </w:rPr>
                  <w:t>1,014,999.84</w:t>
                </w:r>
              </w:p>
            </w:tc>
            <w:tc>
              <w:tcPr>
                <w:tcW w:w="627" w:type="pct"/>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r>
                  <w:rPr>
                    <w:rFonts w:hint="eastAsia" w:ascii="Times New Roman" w:hAnsi="Times New Roman" w:eastAsia="宋体"/>
                    <w:sz w:val="21"/>
                    <w:szCs w:val="21"/>
                  </w:rPr>
                  <w:t>200,000.00</w:t>
                </w:r>
              </w:p>
            </w:tc>
            <w:tc>
              <w:tcPr>
                <w:tcW w:w="692" w:type="pct"/>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r>
                  <w:rPr>
                    <w:rFonts w:hint="eastAsia" w:ascii="Times New Roman" w:hAnsi="Times New Roman" w:eastAsia="宋体"/>
                    <w:sz w:val="21"/>
                    <w:szCs w:val="21"/>
                  </w:rPr>
                  <w:t>146,000.04</w:t>
                </w:r>
              </w:p>
            </w:tc>
            <w:tc>
              <w:tcPr>
                <w:tcW w:w="362" w:type="pct"/>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p>
            </w:tc>
            <w:tc>
              <w:tcPr>
                <w:tcW w:w="686" w:type="pct"/>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r>
                  <w:rPr>
                    <w:rFonts w:hint="eastAsia" w:ascii="Times New Roman" w:hAnsi="Times New Roman" w:eastAsia="宋体"/>
                    <w:sz w:val="21"/>
                    <w:szCs w:val="21"/>
                  </w:rPr>
                  <w:t>1,068,999.80</w:t>
                </w:r>
              </w:p>
            </w:tc>
            <w:tc>
              <w:tcPr>
                <w:tcW w:w="738" w:type="pct"/>
                <w:tcBorders>
                  <w:top w:val="single" w:color="auto" w:sz="4" w:space="0"/>
                  <w:left w:val="single" w:color="auto" w:sz="4" w:space="0"/>
                  <w:bottom w:val="single" w:color="auto" w:sz="4" w:space="0"/>
                  <w:right w:val="nil"/>
                </w:tcBorders>
                <w:vAlign w:val="center"/>
              </w:tcPr>
              <w:p>
                <w:pPr>
                  <w:widowControl w:val="0"/>
                  <w:jc w:val="center"/>
                  <w:rPr>
                    <w:rFonts w:ascii="Times New Roman" w:hAnsi="Times New Roman" w:eastAsia="宋体"/>
                    <w:sz w:val="21"/>
                    <w:szCs w:val="21"/>
                  </w:rPr>
                </w:pPr>
                <w:r>
                  <w:rPr>
                    <w:rFonts w:hint="eastAsia" w:ascii="Times New Roman" w:hAnsi="Times New Roman" w:eastAsia="宋体"/>
                    <w:sz w:val="21"/>
                    <w:szCs w:val="21"/>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pct"/>
                <w:tcBorders>
                  <w:top w:val="single" w:color="auto" w:sz="4" w:space="0"/>
                  <w:left w:val="nil"/>
                  <w:bottom w:val="single" w:color="auto" w:sz="4" w:space="0"/>
                  <w:right w:val="single" w:color="auto" w:sz="4" w:space="0"/>
                </w:tcBorders>
                <w:vAlign w:val="bottom"/>
              </w:tcPr>
              <w:p>
                <w:pPr>
                  <w:widowControl w:val="0"/>
                  <w:jc w:val="both"/>
                  <w:rPr>
                    <w:rFonts w:ascii="Times New Roman" w:hAnsi="Times New Roman" w:eastAsia="宋体"/>
                    <w:sz w:val="21"/>
                    <w:szCs w:val="21"/>
                  </w:rPr>
                </w:pPr>
                <w:r>
                  <w:rPr>
                    <w:rFonts w:hint="eastAsia" w:ascii="Times New Roman" w:hAnsi="Times New Roman" w:eastAsia="宋体"/>
                    <w:sz w:val="21"/>
                    <w:szCs w:val="21"/>
                  </w:rPr>
                  <w:t>安徽芳草工业园财政补助</w:t>
                </w:r>
              </w:p>
            </w:tc>
            <w:tc>
              <w:tcPr>
                <w:tcW w:w="731" w:type="pct"/>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r>
                  <w:rPr>
                    <w:rFonts w:hint="eastAsia" w:ascii="Times New Roman" w:hAnsi="Times New Roman" w:eastAsia="宋体"/>
                    <w:sz w:val="21"/>
                    <w:szCs w:val="21"/>
                  </w:rPr>
                  <w:t>6,305,485.12</w:t>
                </w:r>
              </w:p>
            </w:tc>
            <w:tc>
              <w:tcPr>
                <w:tcW w:w="627" w:type="pct"/>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p>
            </w:tc>
            <w:tc>
              <w:tcPr>
                <w:tcW w:w="692" w:type="pct"/>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r>
                  <w:rPr>
                    <w:rFonts w:hint="eastAsia" w:ascii="Times New Roman" w:hAnsi="Times New Roman" w:eastAsia="宋体"/>
                    <w:sz w:val="21"/>
                    <w:szCs w:val="21"/>
                  </w:rPr>
                  <w:t>176,789.28</w:t>
                </w:r>
              </w:p>
            </w:tc>
            <w:tc>
              <w:tcPr>
                <w:tcW w:w="362" w:type="pct"/>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p>
            </w:tc>
            <w:tc>
              <w:tcPr>
                <w:tcW w:w="686" w:type="pct"/>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r>
                  <w:rPr>
                    <w:rFonts w:hint="eastAsia" w:ascii="Times New Roman" w:hAnsi="Times New Roman" w:eastAsia="宋体"/>
                    <w:sz w:val="21"/>
                    <w:szCs w:val="21"/>
                  </w:rPr>
                  <w:t>6,128,695.84</w:t>
                </w:r>
              </w:p>
            </w:tc>
            <w:tc>
              <w:tcPr>
                <w:tcW w:w="738" w:type="pct"/>
                <w:tcBorders>
                  <w:top w:val="single" w:color="auto" w:sz="4" w:space="0"/>
                  <w:left w:val="single" w:color="auto" w:sz="4" w:space="0"/>
                  <w:bottom w:val="single" w:color="auto" w:sz="4" w:space="0"/>
                  <w:right w:val="nil"/>
                </w:tcBorders>
                <w:vAlign w:val="center"/>
              </w:tcPr>
              <w:p>
                <w:pPr>
                  <w:widowControl w:val="0"/>
                  <w:jc w:val="center"/>
                  <w:rPr>
                    <w:rFonts w:ascii="Times New Roman" w:hAnsi="Times New Roman" w:eastAsia="宋体"/>
                    <w:sz w:val="21"/>
                    <w:szCs w:val="21"/>
                  </w:rPr>
                </w:pPr>
                <w:r>
                  <w:rPr>
                    <w:rFonts w:hint="eastAsia" w:ascii="Times New Roman" w:hAnsi="Times New Roman" w:eastAsia="宋体"/>
                    <w:sz w:val="21"/>
                    <w:szCs w:val="21"/>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pct"/>
                <w:tcBorders>
                  <w:top w:val="single" w:color="auto" w:sz="4" w:space="0"/>
                  <w:left w:val="nil"/>
                  <w:bottom w:val="single" w:color="auto" w:sz="4" w:space="0"/>
                  <w:right w:val="single" w:color="auto" w:sz="4" w:space="0"/>
                </w:tcBorders>
                <w:vAlign w:val="bottom"/>
              </w:tcPr>
              <w:p>
                <w:pPr>
                  <w:widowControl w:val="0"/>
                  <w:jc w:val="both"/>
                  <w:rPr>
                    <w:rFonts w:ascii="Times New Roman" w:hAnsi="Times New Roman" w:eastAsia="宋体"/>
                    <w:sz w:val="21"/>
                    <w:szCs w:val="21"/>
                  </w:rPr>
                </w:pPr>
                <w:r>
                  <w:rPr>
                    <w:rFonts w:hint="eastAsia" w:ascii="Times New Roman" w:hAnsi="Times New Roman" w:eastAsia="宋体"/>
                    <w:sz w:val="21"/>
                    <w:szCs w:val="21"/>
                  </w:rPr>
                  <w:t>节能减排项目</w:t>
                </w:r>
              </w:p>
            </w:tc>
            <w:tc>
              <w:tcPr>
                <w:tcW w:w="731" w:type="pct"/>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r>
                  <w:rPr>
                    <w:rFonts w:hint="eastAsia" w:ascii="Times New Roman" w:hAnsi="Times New Roman" w:eastAsia="宋体"/>
                    <w:sz w:val="21"/>
                    <w:szCs w:val="21"/>
                  </w:rPr>
                  <w:t>472,695.55</w:t>
                </w:r>
              </w:p>
            </w:tc>
            <w:tc>
              <w:tcPr>
                <w:tcW w:w="627" w:type="pct"/>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p>
            </w:tc>
            <w:tc>
              <w:tcPr>
                <w:tcW w:w="692" w:type="pct"/>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r>
                  <w:rPr>
                    <w:rFonts w:hint="eastAsia" w:ascii="Times New Roman" w:hAnsi="Times New Roman" w:eastAsia="宋体"/>
                    <w:sz w:val="21"/>
                    <w:szCs w:val="21"/>
                  </w:rPr>
                  <w:t>71,828.40</w:t>
                </w:r>
              </w:p>
            </w:tc>
            <w:tc>
              <w:tcPr>
                <w:tcW w:w="362" w:type="pct"/>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p>
            </w:tc>
            <w:tc>
              <w:tcPr>
                <w:tcW w:w="686" w:type="pct"/>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r>
                  <w:rPr>
                    <w:rFonts w:hint="eastAsia" w:ascii="Times New Roman" w:hAnsi="Times New Roman" w:eastAsia="宋体"/>
                    <w:sz w:val="21"/>
                    <w:szCs w:val="21"/>
                  </w:rPr>
                  <w:t>400,867.15</w:t>
                </w:r>
              </w:p>
            </w:tc>
            <w:tc>
              <w:tcPr>
                <w:tcW w:w="738" w:type="pct"/>
                <w:tcBorders>
                  <w:top w:val="single" w:color="auto" w:sz="4" w:space="0"/>
                  <w:left w:val="single" w:color="auto" w:sz="4" w:space="0"/>
                  <w:bottom w:val="single" w:color="auto" w:sz="4" w:space="0"/>
                  <w:right w:val="nil"/>
                </w:tcBorders>
                <w:vAlign w:val="center"/>
              </w:tcPr>
              <w:p>
                <w:pPr>
                  <w:widowControl w:val="0"/>
                  <w:jc w:val="center"/>
                  <w:rPr>
                    <w:rFonts w:ascii="Times New Roman" w:hAnsi="Times New Roman" w:eastAsia="宋体"/>
                    <w:sz w:val="21"/>
                    <w:szCs w:val="21"/>
                  </w:rPr>
                </w:pPr>
                <w:r>
                  <w:rPr>
                    <w:rFonts w:hint="eastAsia" w:ascii="Times New Roman" w:hAnsi="Times New Roman" w:eastAsia="宋体"/>
                    <w:sz w:val="21"/>
                    <w:szCs w:val="21"/>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pct"/>
                <w:tcBorders>
                  <w:top w:val="single" w:color="auto" w:sz="4" w:space="0"/>
                  <w:left w:val="nil"/>
                  <w:bottom w:val="single" w:color="auto" w:sz="4" w:space="0"/>
                  <w:right w:val="single" w:color="auto" w:sz="4" w:space="0"/>
                </w:tcBorders>
                <w:vAlign w:val="bottom"/>
              </w:tcPr>
              <w:p>
                <w:pPr>
                  <w:widowControl w:val="0"/>
                  <w:jc w:val="both"/>
                  <w:rPr>
                    <w:rFonts w:ascii="Times New Roman" w:hAnsi="Times New Roman" w:eastAsia="宋体"/>
                    <w:sz w:val="21"/>
                    <w:szCs w:val="21"/>
                  </w:rPr>
                </w:pPr>
                <w:r>
                  <w:rPr>
                    <w:rFonts w:hint="eastAsia" w:ascii="Times New Roman" w:hAnsi="Times New Roman" w:eastAsia="宋体"/>
                    <w:sz w:val="21"/>
                    <w:szCs w:val="21"/>
                  </w:rPr>
                  <w:t>愈创木酚磺酸钾项目</w:t>
                </w:r>
              </w:p>
            </w:tc>
            <w:tc>
              <w:tcPr>
                <w:tcW w:w="731" w:type="pct"/>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r>
                  <w:rPr>
                    <w:rFonts w:hint="eastAsia" w:ascii="Times New Roman" w:hAnsi="Times New Roman" w:eastAsia="宋体"/>
                    <w:sz w:val="21"/>
                    <w:szCs w:val="21"/>
                  </w:rPr>
                  <w:t>128,835.80</w:t>
                </w:r>
              </w:p>
            </w:tc>
            <w:tc>
              <w:tcPr>
                <w:tcW w:w="627" w:type="pct"/>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p>
            </w:tc>
            <w:tc>
              <w:tcPr>
                <w:tcW w:w="692" w:type="pct"/>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r>
                  <w:rPr>
                    <w:rFonts w:hint="eastAsia" w:ascii="Times New Roman" w:hAnsi="Times New Roman" w:eastAsia="宋体"/>
                    <w:sz w:val="21"/>
                    <w:szCs w:val="21"/>
                  </w:rPr>
                  <w:t>31,971.20</w:t>
                </w:r>
              </w:p>
            </w:tc>
            <w:tc>
              <w:tcPr>
                <w:tcW w:w="362" w:type="pct"/>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p>
            </w:tc>
            <w:tc>
              <w:tcPr>
                <w:tcW w:w="686" w:type="pct"/>
                <w:tcBorders>
                  <w:top w:val="single" w:color="auto" w:sz="4" w:space="0"/>
                  <w:left w:val="single" w:color="auto" w:sz="4" w:space="0"/>
                  <w:bottom w:val="single" w:color="auto" w:sz="4" w:space="0"/>
                  <w:right w:val="single" w:color="auto" w:sz="4" w:space="0"/>
                </w:tcBorders>
                <w:vAlign w:val="center"/>
              </w:tcPr>
              <w:p>
                <w:pPr>
                  <w:widowControl w:val="0"/>
                  <w:jc w:val="right"/>
                  <w:rPr>
                    <w:rFonts w:ascii="Times New Roman" w:hAnsi="Times New Roman" w:eastAsia="宋体"/>
                    <w:sz w:val="21"/>
                    <w:szCs w:val="21"/>
                  </w:rPr>
                </w:pPr>
                <w:r>
                  <w:rPr>
                    <w:rFonts w:hint="eastAsia" w:ascii="Times New Roman" w:hAnsi="Times New Roman" w:eastAsia="宋体"/>
                    <w:sz w:val="21"/>
                    <w:szCs w:val="21"/>
                  </w:rPr>
                  <w:t>96,864.60</w:t>
                </w:r>
              </w:p>
            </w:tc>
            <w:tc>
              <w:tcPr>
                <w:tcW w:w="738" w:type="pct"/>
                <w:tcBorders>
                  <w:top w:val="single" w:color="auto" w:sz="4" w:space="0"/>
                  <w:left w:val="single" w:color="auto" w:sz="4" w:space="0"/>
                  <w:bottom w:val="single" w:color="auto" w:sz="4" w:space="0"/>
                  <w:right w:val="nil"/>
                </w:tcBorders>
                <w:vAlign w:val="center"/>
              </w:tcPr>
              <w:p>
                <w:pPr>
                  <w:widowControl w:val="0"/>
                  <w:jc w:val="center"/>
                  <w:rPr>
                    <w:rFonts w:ascii="Times New Roman" w:hAnsi="Times New Roman" w:eastAsia="宋体"/>
                    <w:sz w:val="21"/>
                    <w:szCs w:val="21"/>
                  </w:rPr>
                </w:pPr>
                <w:r>
                  <w:rPr>
                    <w:rFonts w:hint="eastAsia" w:ascii="Times New Roman" w:hAnsi="Times New Roman" w:eastAsia="宋体"/>
                    <w:sz w:val="21"/>
                    <w:szCs w:val="21"/>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pct"/>
                <w:tcBorders>
                  <w:top w:val="single" w:color="auto" w:sz="4" w:space="0"/>
                  <w:left w:val="nil"/>
                  <w:bottom w:val="single" w:color="auto" w:sz="12" w:space="0"/>
                  <w:right w:val="single" w:color="auto" w:sz="4" w:space="0"/>
                </w:tcBorders>
                <w:vAlign w:val="bottom"/>
              </w:tcPr>
              <w:p>
                <w:pPr>
                  <w:widowControl w:val="0"/>
                  <w:jc w:val="center"/>
                  <w:rPr>
                    <w:rFonts w:ascii="Times New Roman" w:hAnsi="Times New Roman" w:eastAsia="宋体"/>
                    <w:sz w:val="21"/>
                    <w:szCs w:val="21"/>
                  </w:rPr>
                </w:pPr>
                <w:r>
                  <w:rPr>
                    <w:rFonts w:hint="eastAsia" w:ascii="Times New Roman" w:hAnsi="Times New Roman" w:eastAsia="宋体"/>
                    <w:sz w:val="21"/>
                    <w:szCs w:val="21"/>
                  </w:rPr>
                  <w:t>合计</w:t>
                </w:r>
              </w:p>
            </w:tc>
            <w:tc>
              <w:tcPr>
                <w:tcW w:w="731" w:type="pct"/>
                <w:tcBorders>
                  <w:top w:val="single" w:color="auto" w:sz="4" w:space="0"/>
                  <w:left w:val="single" w:color="auto" w:sz="4" w:space="0"/>
                  <w:bottom w:val="single" w:color="auto" w:sz="12" w:space="0"/>
                  <w:right w:val="single" w:color="auto" w:sz="4" w:space="0"/>
                </w:tcBorders>
                <w:vAlign w:val="center"/>
              </w:tcPr>
              <w:p>
                <w:pPr>
                  <w:widowControl w:val="0"/>
                  <w:jc w:val="right"/>
                  <w:rPr>
                    <w:rFonts w:ascii="Times New Roman" w:hAnsi="Times New Roman" w:eastAsia="宋体"/>
                    <w:sz w:val="21"/>
                    <w:szCs w:val="21"/>
                  </w:rPr>
                </w:pPr>
                <w:r>
                  <w:rPr>
                    <w:rFonts w:hint="eastAsia" w:ascii="Times New Roman" w:hAnsi="Times New Roman" w:eastAsia="宋体"/>
                    <w:sz w:val="21"/>
                    <w:szCs w:val="21"/>
                  </w:rPr>
                  <w:t>7,922,016.31</w:t>
                </w:r>
              </w:p>
            </w:tc>
            <w:tc>
              <w:tcPr>
                <w:tcW w:w="627" w:type="pct"/>
                <w:tcBorders>
                  <w:top w:val="single" w:color="auto" w:sz="4" w:space="0"/>
                  <w:left w:val="single" w:color="auto" w:sz="4" w:space="0"/>
                  <w:bottom w:val="single" w:color="auto" w:sz="12" w:space="0"/>
                  <w:right w:val="single" w:color="auto" w:sz="4" w:space="0"/>
                </w:tcBorders>
                <w:vAlign w:val="center"/>
              </w:tcPr>
              <w:p>
                <w:pPr>
                  <w:widowControl w:val="0"/>
                  <w:jc w:val="right"/>
                  <w:rPr>
                    <w:rFonts w:ascii="Times New Roman" w:hAnsi="Times New Roman" w:eastAsia="宋体"/>
                    <w:sz w:val="21"/>
                    <w:szCs w:val="21"/>
                  </w:rPr>
                </w:pPr>
                <w:r>
                  <w:rPr>
                    <w:rFonts w:hint="eastAsia" w:ascii="Times New Roman" w:hAnsi="Times New Roman" w:eastAsia="宋体"/>
                    <w:sz w:val="21"/>
                    <w:szCs w:val="21"/>
                  </w:rPr>
                  <w:t>200,000.00</w:t>
                </w:r>
              </w:p>
            </w:tc>
            <w:tc>
              <w:tcPr>
                <w:tcW w:w="692" w:type="pct"/>
                <w:tcBorders>
                  <w:top w:val="single" w:color="auto" w:sz="4" w:space="0"/>
                  <w:left w:val="single" w:color="auto" w:sz="4" w:space="0"/>
                  <w:bottom w:val="single" w:color="auto" w:sz="12" w:space="0"/>
                  <w:right w:val="single" w:color="auto" w:sz="4" w:space="0"/>
                </w:tcBorders>
                <w:vAlign w:val="center"/>
              </w:tcPr>
              <w:p>
                <w:pPr>
                  <w:widowControl w:val="0"/>
                  <w:jc w:val="right"/>
                  <w:rPr>
                    <w:rFonts w:ascii="Times New Roman" w:hAnsi="Times New Roman" w:eastAsia="宋体"/>
                    <w:sz w:val="21"/>
                    <w:szCs w:val="21"/>
                  </w:rPr>
                </w:pPr>
                <w:r>
                  <w:rPr>
                    <w:rFonts w:hint="eastAsia" w:ascii="Times New Roman" w:hAnsi="Times New Roman" w:eastAsia="宋体"/>
                    <w:sz w:val="21"/>
                    <w:szCs w:val="21"/>
                  </w:rPr>
                  <w:t>426,588.92</w:t>
                </w:r>
              </w:p>
            </w:tc>
            <w:tc>
              <w:tcPr>
                <w:tcW w:w="362" w:type="pct"/>
                <w:tcBorders>
                  <w:top w:val="single" w:color="auto" w:sz="4" w:space="0"/>
                  <w:left w:val="single" w:color="auto" w:sz="4" w:space="0"/>
                  <w:bottom w:val="single" w:color="auto" w:sz="12" w:space="0"/>
                  <w:right w:val="single" w:color="auto" w:sz="4" w:space="0"/>
                </w:tcBorders>
                <w:vAlign w:val="center"/>
              </w:tcPr>
              <w:p>
                <w:pPr>
                  <w:widowControl w:val="0"/>
                  <w:jc w:val="right"/>
                  <w:rPr>
                    <w:rFonts w:ascii="Times New Roman" w:hAnsi="Times New Roman" w:eastAsia="宋体"/>
                    <w:sz w:val="21"/>
                    <w:szCs w:val="21"/>
                  </w:rPr>
                </w:pPr>
              </w:p>
            </w:tc>
            <w:tc>
              <w:tcPr>
                <w:tcW w:w="686" w:type="pct"/>
                <w:tcBorders>
                  <w:top w:val="single" w:color="auto" w:sz="4" w:space="0"/>
                  <w:left w:val="single" w:color="auto" w:sz="4" w:space="0"/>
                  <w:bottom w:val="single" w:color="auto" w:sz="12" w:space="0"/>
                  <w:right w:val="single" w:color="auto" w:sz="4" w:space="0"/>
                </w:tcBorders>
                <w:vAlign w:val="center"/>
              </w:tcPr>
              <w:p>
                <w:pPr>
                  <w:widowControl w:val="0"/>
                  <w:jc w:val="right"/>
                  <w:rPr>
                    <w:rFonts w:ascii="Times New Roman" w:hAnsi="Times New Roman" w:eastAsia="宋体"/>
                    <w:sz w:val="21"/>
                    <w:szCs w:val="21"/>
                  </w:rPr>
                </w:pPr>
                <w:r>
                  <w:rPr>
                    <w:rFonts w:hint="eastAsia" w:ascii="Times New Roman" w:hAnsi="Times New Roman" w:eastAsia="宋体"/>
                    <w:sz w:val="21"/>
                    <w:szCs w:val="21"/>
                  </w:rPr>
                  <w:t>7,695,427.39</w:t>
                </w:r>
              </w:p>
            </w:tc>
            <w:tc>
              <w:tcPr>
                <w:tcW w:w="738" w:type="pct"/>
                <w:tcBorders>
                  <w:top w:val="single" w:color="auto" w:sz="4" w:space="0"/>
                  <w:left w:val="single" w:color="auto" w:sz="4" w:space="0"/>
                  <w:bottom w:val="single" w:color="auto" w:sz="12" w:space="0"/>
                  <w:right w:val="nil"/>
                </w:tcBorders>
                <w:vAlign w:val="center"/>
              </w:tcPr>
              <w:p>
                <w:pPr>
                  <w:widowControl w:val="0"/>
                  <w:jc w:val="center"/>
                  <w:rPr>
                    <w:rFonts w:ascii="Times New Roman" w:hAnsi="Times New Roman" w:eastAsia="宋体"/>
                    <w:sz w:val="21"/>
                    <w:szCs w:val="21"/>
                  </w:rPr>
                </w:pPr>
              </w:p>
            </w:tc>
          </w:tr>
          <w:bookmarkEnd w:id="341"/>
          <w:bookmarkEnd w:id="342"/>
        </w:tbl>
      </w:sdtContent>
    </w:sdt>
    <w:p>
      <w:pPr>
        <w:snapToGrid w:val="0"/>
        <w:spacing w:line="240" w:lineRule="atLeast"/>
        <w:rPr>
          <w:szCs w:val="21"/>
        </w:rPr>
      </w:pPr>
    </w:p>
    <w:sdt>
      <w:sdtPr>
        <w:tag w:val="_PLD_cbf506deb64247f193d9595457a46b61"/>
        <w:id w:val="7523"/>
      </w:sdtPr>
      <w:sdtEndPr>
        <w:rPr>
          <w:rFonts w:cs="Times New Roman"/>
          <w:b/>
          <w:bCs/>
          <w:kern w:val="2"/>
        </w:rPr>
      </w:sdtEndPr>
      <w:sdtContent>
        <w:p>
          <w:pPr>
            <w:pStyle w:val="4"/>
            <w:numPr>
              <w:ilvl w:val="0"/>
              <w:numId w:val="62"/>
            </w:numPr>
            <w:tabs>
              <w:tab w:val="left" w:pos="504"/>
            </w:tabs>
            <w:rPr>
              <w:rFonts w:hint="eastAsia" w:ascii="宋体" w:hAnsi="宋体"/>
              <w:szCs w:val="21"/>
            </w:rPr>
          </w:pPr>
          <w:bookmarkStart w:id="343" w:name="_Hlk533670383"/>
          <w:r>
            <w:rPr>
              <w:rFonts w:hint="eastAsia" w:ascii="宋体" w:hAnsi="宋体"/>
              <w:szCs w:val="21"/>
            </w:rPr>
            <w:t>其他非流动负债</w:t>
          </w:r>
        </w:p>
      </w:sdtContent>
    </w:sdt>
    <w:sdt>
      <w:sdtPr>
        <w:alias w:val="是否适用：其他非流动负债[双击切换]"/>
        <w:tag w:val="_GBC_05e5676f32624ce18727385761bd1a9a"/>
        <w:id w:val="752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343"/>
    <w:p>
      <w:pPr>
        <w:rPr>
          <w:szCs w:val="21"/>
        </w:rPr>
      </w:pPr>
    </w:p>
    <w:p>
      <w:pPr>
        <w:pStyle w:val="4"/>
        <w:numPr>
          <w:ilvl w:val="0"/>
          <w:numId w:val="62"/>
        </w:numPr>
        <w:tabs>
          <w:tab w:val="left" w:pos="504"/>
        </w:tabs>
        <w:rPr>
          <w:rFonts w:hint="eastAsia" w:ascii="宋体" w:hAnsi="宋体"/>
          <w:szCs w:val="21"/>
        </w:rPr>
      </w:pPr>
      <w:r>
        <w:rPr>
          <w:rFonts w:hint="eastAsia" w:ascii="宋体" w:hAnsi="宋体"/>
          <w:szCs w:val="21"/>
        </w:rPr>
        <w:t>股本</w:t>
      </w:r>
    </w:p>
    <w:sdt>
      <w:sdtPr>
        <w:alias w:val="是否适用：股本[双击切换]"/>
        <w:tag w:val="_GBC_a2069fb3657946ee9810a9154eb11422"/>
        <w:id w:val="7525"/>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股本"/>
          <w:tag w:val="_GBC_e2cacf7f2d9f4ad78dce53a3e345569e"/>
          <w:id w:val="752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股本"/>
          <w:tag w:val="_GBC_a1c9c99744d0466d8ff5672b2b69076a"/>
          <w:id w:val="752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1624"/>
        <w:gridCol w:w="797"/>
        <w:gridCol w:w="894"/>
        <w:gridCol w:w="1071"/>
        <w:gridCol w:w="915"/>
        <w:gridCol w:w="894"/>
        <w:gridCol w:w="1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1158" w:type="dxa"/>
            <w:vMerge w:val="restart"/>
            <w:tcBorders>
              <w:top w:val="single" w:color="auto" w:sz="4" w:space="0"/>
              <w:left w:val="single" w:color="auto" w:sz="4" w:space="0"/>
              <w:bottom w:val="single" w:color="auto" w:sz="4" w:space="0"/>
              <w:right w:val="single" w:color="auto" w:sz="4" w:space="0"/>
            </w:tcBorders>
            <w:vAlign w:val="center"/>
          </w:tcPr>
          <w:sdt>
            <w:sdtPr>
              <w:rPr>
                <w:szCs w:val="21"/>
              </w:rPr>
              <w:tag w:val="_PLD_59c3e97e3f674ae6805374496a9434cd"/>
              <w:id w:val="7528"/>
              <w:showingPlcHdr/>
            </w:sdtPr>
            <w:sdtEndPr>
              <w:rPr>
                <w:szCs w:val="21"/>
              </w:rPr>
            </w:sdtEndPr>
            <w:sdtContent>
              <w:p>
                <w:pPr>
                  <w:jc w:val="center"/>
                  <w:rPr>
                    <w:szCs w:val="21"/>
                  </w:rPr>
                </w:pPr>
                <w:r>
                  <w:rPr>
                    <w:rStyle w:val="71"/>
                    <w:rFonts w:hint="eastAsia"/>
                  </w:rPr>
                  <w:t>　</w:t>
                </w:r>
              </w:p>
            </w:sdtContent>
          </w:sdt>
        </w:tc>
        <w:tc>
          <w:tcPr>
            <w:tcW w:w="1624" w:type="dxa"/>
            <w:vMerge w:val="restart"/>
            <w:tcBorders>
              <w:top w:val="single" w:color="auto" w:sz="4" w:space="0"/>
              <w:left w:val="single" w:color="auto" w:sz="4" w:space="0"/>
              <w:right w:val="single" w:color="auto" w:sz="4" w:space="0"/>
            </w:tcBorders>
            <w:vAlign w:val="center"/>
          </w:tcPr>
          <w:sdt>
            <w:sdtPr>
              <w:tag w:val="_PLD_fd63a619db16496bad52eeb145839158"/>
              <w:id w:val="7529"/>
            </w:sdtPr>
            <w:sdtContent>
              <w:p>
                <w:pPr>
                  <w:jc w:val="center"/>
                  <w:rPr>
                    <w:szCs w:val="21"/>
                  </w:rPr>
                </w:pPr>
                <w:r>
                  <w:rPr>
                    <w:rFonts w:hint="eastAsia"/>
                    <w:szCs w:val="21"/>
                  </w:rPr>
                  <w:t>期初余额</w:t>
                </w:r>
              </w:p>
            </w:sdtContent>
          </w:sdt>
        </w:tc>
        <w:tc>
          <w:tcPr>
            <w:tcW w:w="4571" w:type="dxa"/>
            <w:gridSpan w:val="5"/>
            <w:tcBorders>
              <w:top w:val="single" w:color="auto" w:sz="4" w:space="0"/>
              <w:left w:val="single" w:color="auto" w:sz="4" w:space="0"/>
              <w:bottom w:val="single" w:color="auto" w:sz="4" w:space="0"/>
              <w:right w:val="single" w:color="auto" w:sz="4" w:space="0"/>
            </w:tcBorders>
            <w:vAlign w:val="center"/>
          </w:tcPr>
          <w:sdt>
            <w:sdtPr>
              <w:tag w:val="_PLD_2cb33d9d8b0d47539581498c039e86aa"/>
              <w:id w:val="7530"/>
            </w:sdtPr>
            <w:sdtContent>
              <w:p>
                <w:pPr>
                  <w:jc w:val="center"/>
                  <w:rPr>
                    <w:szCs w:val="21"/>
                  </w:rPr>
                </w:pPr>
                <w:r>
                  <w:rPr>
                    <w:rFonts w:hint="eastAsia"/>
                    <w:szCs w:val="21"/>
                  </w:rPr>
                  <w:t>本次变动增减（+、-）</w:t>
                </w:r>
              </w:p>
            </w:sdtContent>
          </w:sdt>
        </w:tc>
        <w:tc>
          <w:tcPr>
            <w:tcW w:w="1691" w:type="dxa"/>
            <w:vMerge w:val="restart"/>
            <w:tcBorders>
              <w:top w:val="single" w:color="auto" w:sz="4" w:space="0"/>
              <w:left w:val="single" w:color="auto" w:sz="4" w:space="0"/>
              <w:right w:val="single" w:color="auto" w:sz="4" w:space="0"/>
            </w:tcBorders>
            <w:vAlign w:val="center"/>
          </w:tcPr>
          <w:sdt>
            <w:sdtPr>
              <w:tag w:val="_PLD_e579078cb28f47a09273701ab9e2e37a"/>
              <w:id w:val="7531"/>
            </w:sdtPr>
            <w:sdtContent>
              <w:p>
                <w:pPr>
                  <w:jc w:val="center"/>
                  <w:rPr>
                    <w:szCs w:val="21"/>
                  </w:rPr>
                </w:pPr>
                <w:r>
                  <w:rPr>
                    <w:rFonts w:hint="eastAsia"/>
                    <w:szCs w:val="21"/>
                  </w:rPr>
                  <w:t>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158" w:type="dxa"/>
            <w:vMerge w:val="continue"/>
            <w:tcBorders>
              <w:top w:val="single" w:color="auto" w:sz="4" w:space="0"/>
              <w:left w:val="single" w:color="auto" w:sz="4" w:space="0"/>
              <w:bottom w:val="single" w:color="auto" w:sz="4" w:space="0"/>
              <w:right w:val="single" w:color="auto" w:sz="4" w:space="0"/>
            </w:tcBorders>
            <w:vAlign w:val="center"/>
          </w:tcPr>
          <w:p>
            <w:pPr>
              <w:rPr>
                <w:szCs w:val="21"/>
              </w:rPr>
            </w:pPr>
          </w:p>
        </w:tc>
        <w:tc>
          <w:tcPr>
            <w:tcW w:w="1624" w:type="dxa"/>
            <w:vMerge w:val="continue"/>
            <w:tcBorders>
              <w:left w:val="single" w:color="auto" w:sz="4" w:space="0"/>
              <w:bottom w:val="single" w:color="auto" w:sz="4" w:space="0"/>
              <w:right w:val="single" w:color="auto" w:sz="4" w:space="0"/>
            </w:tcBorders>
            <w:vAlign w:val="center"/>
          </w:tcPr>
          <w:p>
            <w:pPr>
              <w:ind w:left="-250" w:leftChars="-119" w:firstLine="249" w:firstLineChars="119"/>
              <w:rPr>
                <w:szCs w:val="21"/>
              </w:rPr>
            </w:pPr>
          </w:p>
        </w:tc>
        <w:tc>
          <w:tcPr>
            <w:tcW w:w="797" w:type="dxa"/>
            <w:tcBorders>
              <w:top w:val="single" w:color="auto" w:sz="4" w:space="0"/>
              <w:left w:val="single" w:color="auto" w:sz="4" w:space="0"/>
              <w:bottom w:val="single" w:color="auto" w:sz="4" w:space="0"/>
              <w:right w:val="single" w:color="auto" w:sz="4" w:space="0"/>
            </w:tcBorders>
            <w:vAlign w:val="center"/>
          </w:tcPr>
          <w:sdt>
            <w:sdtPr>
              <w:tag w:val="_PLD_2f067dcfa40a4e2d896a383f16e2e483"/>
              <w:id w:val="7532"/>
            </w:sdtPr>
            <w:sdtContent>
              <w:p>
                <w:pPr>
                  <w:jc w:val="center"/>
                  <w:rPr>
                    <w:szCs w:val="21"/>
                  </w:rPr>
                </w:pPr>
                <w:r>
                  <w:rPr>
                    <w:rFonts w:hint="eastAsia"/>
                    <w:szCs w:val="21"/>
                  </w:rPr>
                  <w:t>发行</w:t>
                </w:r>
              </w:p>
              <w:p>
                <w:pPr>
                  <w:jc w:val="center"/>
                  <w:rPr>
                    <w:szCs w:val="21"/>
                  </w:rPr>
                </w:pPr>
                <w:r>
                  <w:rPr>
                    <w:rFonts w:hint="eastAsia"/>
                    <w:szCs w:val="21"/>
                  </w:rPr>
                  <w:t>新股</w:t>
                </w:r>
              </w:p>
            </w:sdtContent>
          </w:sdt>
        </w:tc>
        <w:tc>
          <w:tcPr>
            <w:tcW w:w="894" w:type="dxa"/>
            <w:tcBorders>
              <w:top w:val="single" w:color="auto" w:sz="4" w:space="0"/>
              <w:left w:val="single" w:color="auto" w:sz="4" w:space="0"/>
              <w:bottom w:val="single" w:color="auto" w:sz="4" w:space="0"/>
              <w:right w:val="single" w:color="auto" w:sz="4" w:space="0"/>
            </w:tcBorders>
            <w:vAlign w:val="center"/>
          </w:tcPr>
          <w:sdt>
            <w:sdtPr>
              <w:tag w:val="_PLD_afc58df66e0343a29873ec3c2270451e"/>
              <w:id w:val="7533"/>
            </w:sdtPr>
            <w:sdtContent>
              <w:p>
                <w:pPr>
                  <w:jc w:val="center"/>
                  <w:rPr>
                    <w:szCs w:val="21"/>
                  </w:rPr>
                </w:pPr>
                <w:r>
                  <w:rPr>
                    <w:rFonts w:hint="eastAsia"/>
                    <w:szCs w:val="21"/>
                  </w:rPr>
                  <w:t>送股</w:t>
                </w:r>
              </w:p>
            </w:sdtContent>
          </w:sdt>
        </w:tc>
        <w:tc>
          <w:tcPr>
            <w:tcW w:w="1071" w:type="dxa"/>
            <w:tcBorders>
              <w:top w:val="single" w:color="auto" w:sz="4" w:space="0"/>
              <w:left w:val="single" w:color="auto" w:sz="4" w:space="0"/>
              <w:bottom w:val="single" w:color="auto" w:sz="4" w:space="0"/>
              <w:right w:val="single" w:color="auto" w:sz="4" w:space="0"/>
            </w:tcBorders>
            <w:vAlign w:val="center"/>
          </w:tcPr>
          <w:sdt>
            <w:sdtPr>
              <w:tag w:val="_PLD_31d618a387e243239ea8ee139a3a39da"/>
              <w:id w:val="7534"/>
            </w:sdtPr>
            <w:sdtContent>
              <w:p>
                <w:pPr>
                  <w:jc w:val="center"/>
                  <w:rPr>
                    <w:szCs w:val="21"/>
                  </w:rPr>
                </w:pPr>
                <w:r>
                  <w:rPr>
                    <w:rFonts w:hint="eastAsia"/>
                    <w:szCs w:val="21"/>
                  </w:rPr>
                  <w:t>公积金</w:t>
                </w:r>
              </w:p>
              <w:p>
                <w:pPr>
                  <w:jc w:val="center"/>
                  <w:rPr>
                    <w:szCs w:val="21"/>
                  </w:rPr>
                </w:pPr>
                <w:r>
                  <w:rPr>
                    <w:rFonts w:hint="eastAsia"/>
                    <w:szCs w:val="21"/>
                  </w:rPr>
                  <w:t>转股</w:t>
                </w:r>
              </w:p>
            </w:sdtContent>
          </w:sdt>
        </w:tc>
        <w:tc>
          <w:tcPr>
            <w:tcW w:w="915" w:type="dxa"/>
            <w:tcBorders>
              <w:top w:val="single" w:color="auto" w:sz="4" w:space="0"/>
              <w:left w:val="single" w:color="auto" w:sz="4" w:space="0"/>
              <w:bottom w:val="single" w:color="auto" w:sz="4" w:space="0"/>
              <w:right w:val="single" w:color="auto" w:sz="4" w:space="0"/>
            </w:tcBorders>
            <w:vAlign w:val="center"/>
          </w:tcPr>
          <w:sdt>
            <w:sdtPr>
              <w:tag w:val="_PLD_12526084dedd4dc68d673c8a71c73862"/>
              <w:id w:val="7535"/>
            </w:sdtPr>
            <w:sdtContent>
              <w:p>
                <w:pPr>
                  <w:jc w:val="center"/>
                  <w:rPr>
                    <w:szCs w:val="21"/>
                  </w:rPr>
                </w:pPr>
                <w:r>
                  <w:rPr>
                    <w:rFonts w:hint="eastAsia"/>
                    <w:szCs w:val="21"/>
                  </w:rPr>
                  <w:t>其他</w:t>
                </w:r>
              </w:p>
            </w:sdtContent>
          </w:sdt>
        </w:tc>
        <w:tc>
          <w:tcPr>
            <w:tcW w:w="894" w:type="dxa"/>
            <w:tcBorders>
              <w:top w:val="single" w:color="auto" w:sz="4" w:space="0"/>
              <w:left w:val="single" w:color="auto" w:sz="4" w:space="0"/>
              <w:bottom w:val="single" w:color="auto" w:sz="4" w:space="0"/>
              <w:right w:val="single" w:color="auto" w:sz="4" w:space="0"/>
            </w:tcBorders>
            <w:vAlign w:val="center"/>
          </w:tcPr>
          <w:sdt>
            <w:sdtPr>
              <w:tag w:val="_PLD_fe70bd23af2d4fd680087e555e574f82"/>
              <w:id w:val="7536"/>
            </w:sdtPr>
            <w:sdtContent>
              <w:p>
                <w:pPr>
                  <w:jc w:val="center"/>
                  <w:rPr>
                    <w:szCs w:val="21"/>
                  </w:rPr>
                </w:pPr>
                <w:r>
                  <w:rPr>
                    <w:rFonts w:hint="eastAsia"/>
                    <w:szCs w:val="21"/>
                  </w:rPr>
                  <w:t>小计</w:t>
                </w:r>
              </w:p>
            </w:sdtContent>
          </w:sdt>
        </w:tc>
        <w:tc>
          <w:tcPr>
            <w:tcW w:w="1691" w:type="dxa"/>
            <w:vMerge w:val="continue"/>
            <w:tcBorders>
              <w:left w:val="single" w:color="auto" w:sz="4" w:space="0"/>
              <w:bottom w:val="single" w:color="auto" w:sz="4" w:space="0"/>
              <w:right w:val="single" w:color="auto" w:sz="4" w:space="0"/>
            </w:tcBorders>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58"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股份总数</w:t>
            </w:r>
          </w:p>
        </w:tc>
        <w:tc>
          <w:tcPr>
            <w:tcW w:w="162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550,000,000.00</w:t>
            </w:r>
          </w:p>
        </w:tc>
        <w:tc>
          <w:tcPr>
            <w:tcW w:w="79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89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1071"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91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89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1691"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550,000,000.00</w:t>
            </w:r>
          </w:p>
        </w:tc>
      </w:tr>
    </w:tbl>
    <w:p>
      <w:pPr>
        <w:spacing w:before="60" w:after="60"/>
        <w:rPr>
          <w:szCs w:val="21"/>
        </w:rPr>
      </w:pPr>
      <w:r>
        <w:rPr>
          <w:rFonts w:hint="eastAsia"/>
          <w:szCs w:val="21"/>
        </w:rPr>
        <w:t>其他说明：</w:t>
      </w:r>
    </w:p>
    <w:sdt>
      <w:sdtPr>
        <w:rPr>
          <w:szCs w:val="21"/>
        </w:rPr>
        <w:alias w:val="股本变动情况说明"/>
        <w:tag w:val="_GBC_6600e13aac194caa9cb58963beb3073e"/>
        <w:id w:val="7537"/>
        <w:placeholder>
          <w:docPart w:val="GBC22222222222222222222222222222"/>
        </w:placeholder>
      </w:sdtPr>
      <w:sdtEndPr>
        <w:rPr>
          <w:szCs w:val="21"/>
        </w:rPr>
      </w:sdtEndPr>
      <w:sdtContent>
        <w:p>
          <w:pPr>
            <w:rPr>
              <w:szCs w:val="21"/>
            </w:rPr>
          </w:pPr>
          <w:r>
            <w:rPr>
              <w:rFonts w:hint="eastAsia"/>
              <w:szCs w:val="21"/>
            </w:rPr>
            <w:t>无</w:t>
          </w:r>
        </w:p>
      </w:sdtContent>
    </w:sdt>
    <w:p>
      <w:pPr>
        <w:rPr>
          <w:szCs w:val="21"/>
        </w:rPr>
      </w:pPr>
    </w:p>
    <w:p>
      <w:pPr>
        <w:pStyle w:val="4"/>
        <w:numPr>
          <w:ilvl w:val="0"/>
          <w:numId w:val="62"/>
        </w:numPr>
        <w:tabs>
          <w:tab w:val="left" w:pos="504"/>
        </w:tabs>
        <w:rPr>
          <w:rFonts w:hint="eastAsia" w:ascii="宋体" w:hAnsi="宋体"/>
          <w:szCs w:val="21"/>
        </w:rPr>
      </w:pPr>
      <w:r>
        <w:rPr>
          <w:rFonts w:hint="eastAsia" w:ascii="宋体" w:hAnsi="宋体" w:cs="宋体"/>
          <w:bCs w:val="0"/>
          <w:kern w:val="0"/>
          <w:szCs w:val="21"/>
        </w:rPr>
        <w:t>其</w:t>
      </w:r>
      <w:r>
        <w:rPr>
          <w:rFonts w:hint="eastAsia" w:ascii="宋体" w:hAnsi="宋体"/>
          <w:szCs w:val="21"/>
        </w:rPr>
        <w:t>他权益工具</w:t>
      </w:r>
    </w:p>
    <w:p>
      <w:pPr>
        <w:pStyle w:val="5"/>
        <w:numPr>
          <w:ilvl w:val="0"/>
          <w:numId w:val="99"/>
        </w:numPr>
        <w:ind w:left="426" w:hanging="426"/>
        <w:rPr>
          <w:rFonts w:hint="eastAsia"/>
        </w:rPr>
      </w:pPr>
      <w:r>
        <w:rPr>
          <w:rFonts w:hint="eastAsia"/>
        </w:rPr>
        <w:t>期末发行在外的优先股、永续债等其他金融工具基本情况</w:t>
      </w:r>
    </w:p>
    <w:sdt>
      <w:sdtPr>
        <w:alias w:val="是否适用：期末发行在外的优先股、永续债等其他金融工具基本情况[双击切换]"/>
        <w:tag w:val="_GBC_f7317c6562b94e9792fab1b748cf4eee"/>
        <w:id w:val="7538"/>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
        <w:numPr>
          <w:ilvl w:val="0"/>
          <w:numId w:val="99"/>
        </w:numPr>
        <w:ind w:left="426" w:hanging="426"/>
        <w:rPr>
          <w:rFonts w:hint="eastAsia"/>
        </w:rPr>
      </w:pPr>
      <w:bookmarkStart w:id="344" w:name="_Hlk89785156"/>
      <w:r>
        <w:rPr>
          <w:rFonts w:hint="eastAsia"/>
        </w:rPr>
        <w:t>期末发行在外的优先股、永续债等金融工具变动情况表</w:t>
      </w:r>
    </w:p>
    <w:sdt>
      <w:sdtPr>
        <w:alias w:val="是否适用：期末发行在外的优先股、永续债等金融工具变动情况表_其他权益工具[双击切换]"/>
        <w:tag w:val="_GBC_894eb45c6bf3473785ba1a45bf437264"/>
        <w:id w:val="7539"/>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bookmarkEnd w:id="344"/>
    <w:p>
      <w:pPr>
        <w:rPr>
          <w:szCs w:val="21"/>
        </w:rPr>
      </w:pPr>
      <w:bookmarkStart w:id="345" w:name="_Hlk89785136"/>
      <w:r>
        <w:rPr>
          <w:rFonts w:hint="eastAsia"/>
          <w:szCs w:val="21"/>
        </w:rPr>
        <w:t>其他权益工具本期增减变动情况、变动原因说明，以及相关会计处理的依据：</w:t>
      </w:r>
    </w:p>
    <w:sdt>
      <w:sdtPr>
        <w:rPr>
          <w:szCs w:val="21"/>
        </w:rPr>
        <w:alias w:val="是否适用：其他权益工具本期增减变动情况、变动原因说明，以及相关会计处理的依据[双击切换]"/>
        <w:tag w:val="_GBC_e803942788b34e5092c70a4cbf71f4b5"/>
        <w:id w:val="7540"/>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bookmarkEnd w:id="345"/>
    <w:p>
      <w:pPr>
        <w:rPr>
          <w:szCs w:val="21"/>
        </w:rPr>
      </w:pPr>
    </w:p>
    <w:p>
      <w:pPr>
        <w:rPr>
          <w:szCs w:val="21"/>
        </w:rPr>
      </w:pPr>
      <w:bookmarkStart w:id="346" w:name="_Hlk89785124"/>
      <w:r>
        <w:rPr>
          <w:rFonts w:hint="eastAsia"/>
          <w:szCs w:val="21"/>
        </w:rPr>
        <w:t>其他说明：</w:t>
      </w:r>
    </w:p>
    <w:sdt>
      <w:sdtPr>
        <w:rPr>
          <w:szCs w:val="21"/>
        </w:rPr>
        <w:alias w:val="是否适用：其他权益工具的其他说明[双击切换]"/>
        <w:tag w:val="_GBC_af2e32ae9c704175a99ebad592dec5f2"/>
        <w:id w:val="7541"/>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bookmarkEnd w:id="346"/>
    <w:p>
      <w:pPr>
        <w:rPr>
          <w:szCs w:val="21"/>
        </w:rPr>
      </w:pPr>
    </w:p>
    <w:sdt>
      <w:sdtPr>
        <w:tag w:val="_PLD_885198f6f9d04613938d28c728dac8ce"/>
        <w:id w:val="7542"/>
      </w:sdtPr>
      <w:sdtEndPr>
        <w:rPr>
          <w:rFonts w:cs="Times New Roman"/>
          <w:b/>
          <w:bCs/>
          <w:kern w:val="2"/>
        </w:rPr>
      </w:sdtEndPr>
      <w:sdtContent>
        <w:p>
          <w:pPr>
            <w:pStyle w:val="4"/>
            <w:numPr>
              <w:ilvl w:val="0"/>
              <w:numId w:val="62"/>
            </w:numPr>
            <w:tabs>
              <w:tab w:val="left" w:pos="504"/>
            </w:tabs>
            <w:rPr>
              <w:rFonts w:hint="eastAsia" w:ascii="宋体" w:hAnsi="宋体"/>
              <w:szCs w:val="21"/>
            </w:rPr>
          </w:pPr>
          <w:r>
            <w:rPr>
              <w:rFonts w:hint="eastAsia" w:ascii="宋体" w:hAnsi="宋体"/>
              <w:szCs w:val="21"/>
            </w:rPr>
            <w:t>资本公积</w:t>
          </w:r>
        </w:p>
      </w:sdtContent>
    </w:sdt>
    <w:sdt>
      <w:sdtPr>
        <w:alias w:val="是否适用：资本公积[双击切换]"/>
        <w:tag w:val="_GBC_58b0344d8757456787af32396840e233"/>
        <w:id w:val="7543"/>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资本公积"/>
          <w:tag w:val="_GBC_1b11e7474fd44870ad976b16c25b20f4"/>
          <w:id w:val="754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资本公积"/>
          <w:tag w:val="_GBC_6c523a4f3a0744439ef148664a9f722b"/>
          <w:id w:val="754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2159"/>
        <w:gridCol w:w="2025"/>
        <w:gridCol w:w="1662"/>
        <w:gridCol w:w="1438"/>
        <w:gridCol w:w="1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2159" w:type="dxa"/>
            <w:vAlign w:val="center"/>
          </w:tcPr>
          <w:sdt>
            <w:sdtPr>
              <w:tag w:val="_PLD_b4e0b77813064aeb83afd63c7bafbdab"/>
              <w:id w:val="7546"/>
            </w:sdtPr>
            <w:sdtContent>
              <w:p>
                <w:pPr>
                  <w:autoSpaceDE w:val="0"/>
                  <w:autoSpaceDN w:val="0"/>
                  <w:adjustRightInd w:val="0"/>
                  <w:snapToGrid w:val="0"/>
                  <w:jc w:val="center"/>
                  <w:rPr>
                    <w:szCs w:val="21"/>
                  </w:rPr>
                </w:pPr>
                <w:r>
                  <w:rPr>
                    <w:rFonts w:hint="eastAsia"/>
                    <w:szCs w:val="21"/>
                  </w:rPr>
                  <w:t>项目</w:t>
                </w:r>
              </w:p>
            </w:sdtContent>
          </w:sdt>
        </w:tc>
        <w:tc>
          <w:tcPr>
            <w:tcW w:w="2025" w:type="dxa"/>
            <w:vAlign w:val="center"/>
          </w:tcPr>
          <w:sdt>
            <w:sdtPr>
              <w:tag w:val="_PLD_2e3387dfd4d8490ca15036edd55f5d7b"/>
              <w:id w:val="7547"/>
            </w:sdtPr>
            <w:sdtContent>
              <w:p>
                <w:pPr>
                  <w:autoSpaceDE w:val="0"/>
                  <w:autoSpaceDN w:val="0"/>
                  <w:adjustRightInd w:val="0"/>
                  <w:snapToGrid w:val="0"/>
                  <w:jc w:val="center"/>
                  <w:rPr>
                    <w:szCs w:val="21"/>
                  </w:rPr>
                </w:pPr>
                <w:r>
                  <w:rPr>
                    <w:rFonts w:hint="eastAsia"/>
                    <w:szCs w:val="21"/>
                  </w:rPr>
                  <w:t>期初余额</w:t>
                </w:r>
              </w:p>
            </w:sdtContent>
          </w:sdt>
        </w:tc>
        <w:tc>
          <w:tcPr>
            <w:tcW w:w="1662" w:type="dxa"/>
            <w:vAlign w:val="center"/>
          </w:tcPr>
          <w:sdt>
            <w:sdtPr>
              <w:tag w:val="_PLD_48beb7e26e4d4ae4b8c76cfd47809420"/>
              <w:id w:val="7548"/>
            </w:sdtPr>
            <w:sdtContent>
              <w:p>
                <w:pPr>
                  <w:autoSpaceDE w:val="0"/>
                  <w:autoSpaceDN w:val="0"/>
                  <w:adjustRightInd w:val="0"/>
                  <w:snapToGrid w:val="0"/>
                  <w:jc w:val="center"/>
                  <w:rPr>
                    <w:szCs w:val="21"/>
                  </w:rPr>
                </w:pPr>
                <w:r>
                  <w:rPr>
                    <w:rFonts w:hint="eastAsia"/>
                    <w:szCs w:val="21"/>
                  </w:rPr>
                  <w:t>本期增加</w:t>
                </w:r>
              </w:p>
            </w:sdtContent>
          </w:sdt>
        </w:tc>
        <w:tc>
          <w:tcPr>
            <w:tcW w:w="1438" w:type="dxa"/>
            <w:vAlign w:val="center"/>
          </w:tcPr>
          <w:sdt>
            <w:sdtPr>
              <w:tag w:val="_PLD_146cd5e556074222b88edab30b505382"/>
              <w:id w:val="7549"/>
            </w:sdtPr>
            <w:sdtContent>
              <w:p>
                <w:pPr>
                  <w:autoSpaceDE w:val="0"/>
                  <w:autoSpaceDN w:val="0"/>
                  <w:adjustRightInd w:val="0"/>
                  <w:snapToGrid w:val="0"/>
                  <w:jc w:val="center"/>
                  <w:rPr>
                    <w:szCs w:val="21"/>
                  </w:rPr>
                </w:pPr>
                <w:r>
                  <w:rPr>
                    <w:rFonts w:hint="eastAsia"/>
                    <w:szCs w:val="21"/>
                  </w:rPr>
                  <w:t>本期减少</w:t>
                </w:r>
              </w:p>
            </w:sdtContent>
          </w:sdt>
        </w:tc>
        <w:tc>
          <w:tcPr>
            <w:tcW w:w="1772" w:type="dxa"/>
            <w:vAlign w:val="center"/>
          </w:tcPr>
          <w:sdt>
            <w:sdtPr>
              <w:tag w:val="_PLD_ce18950b18064dc1ac40e20c98bf9dcb"/>
              <w:id w:val="7550"/>
            </w:sdtPr>
            <w:sdtContent>
              <w:p>
                <w:pPr>
                  <w:autoSpaceDE w:val="0"/>
                  <w:autoSpaceDN w:val="0"/>
                  <w:adjustRightInd w:val="0"/>
                  <w:snapToGrid w:val="0"/>
                  <w:jc w:val="center"/>
                  <w:rPr>
                    <w:szCs w:val="21"/>
                  </w:rPr>
                </w:pPr>
                <w:r>
                  <w:rPr>
                    <w:rFonts w:hint="eastAsia"/>
                    <w:szCs w:val="21"/>
                  </w:rPr>
                  <w:t>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2159" w:type="dxa"/>
            <w:vAlign w:val="center"/>
          </w:tcPr>
          <w:p>
            <w:pPr>
              <w:autoSpaceDE w:val="0"/>
              <w:autoSpaceDN w:val="0"/>
              <w:adjustRightInd w:val="0"/>
              <w:snapToGrid w:val="0"/>
              <w:rPr>
                <w:szCs w:val="21"/>
              </w:rPr>
            </w:pPr>
            <w:r>
              <w:rPr>
                <w:rFonts w:hint="eastAsia"/>
                <w:szCs w:val="21"/>
              </w:rPr>
              <w:t>资本溢价（股本溢价）</w:t>
            </w:r>
          </w:p>
        </w:tc>
        <w:tc>
          <w:tcPr>
            <w:tcW w:w="2025" w:type="dxa"/>
            <w:vAlign w:val="center"/>
          </w:tcPr>
          <w:p>
            <w:pPr>
              <w:autoSpaceDE w:val="0"/>
              <w:autoSpaceDN w:val="0"/>
              <w:adjustRightInd w:val="0"/>
              <w:snapToGrid w:val="0"/>
              <w:jc w:val="right"/>
              <w:rPr>
                <w:szCs w:val="21"/>
              </w:rPr>
            </w:pPr>
            <w:r>
              <w:rPr>
                <w:rFonts w:hint="eastAsia"/>
                <w:color w:val="auto"/>
                <w:szCs w:val="21"/>
              </w:rPr>
              <w:t>1,184,535,294.95</w:t>
            </w:r>
          </w:p>
        </w:tc>
        <w:tc>
          <w:tcPr>
            <w:tcW w:w="1662" w:type="dxa"/>
            <w:vAlign w:val="center"/>
          </w:tcPr>
          <w:p>
            <w:pPr>
              <w:autoSpaceDE w:val="0"/>
              <w:autoSpaceDN w:val="0"/>
              <w:adjustRightInd w:val="0"/>
              <w:snapToGrid w:val="0"/>
              <w:jc w:val="right"/>
              <w:rPr>
                <w:szCs w:val="21"/>
              </w:rPr>
            </w:pPr>
            <w:r>
              <w:rPr>
                <w:rFonts w:hint="eastAsia"/>
                <w:color w:val="auto"/>
                <w:szCs w:val="21"/>
              </w:rPr>
              <w:t> </w:t>
            </w:r>
          </w:p>
        </w:tc>
        <w:tc>
          <w:tcPr>
            <w:tcW w:w="1438" w:type="dxa"/>
            <w:vAlign w:val="center"/>
          </w:tcPr>
          <w:p>
            <w:pPr>
              <w:autoSpaceDE w:val="0"/>
              <w:autoSpaceDN w:val="0"/>
              <w:adjustRightInd w:val="0"/>
              <w:snapToGrid w:val="0"/>
              <w:jc w:val="right"/>
              <w:rPr>
                <w:szCs w:val="21"/>
              </w:rPr>
            </w:pPr>
            <w:r>
              <w:rPr>
                <w:rFonts w:hint="eastAsia"/>
                <w:color w:val="auto"/>
                <w:szCs w:val="21"/>
              </w:rPr>
              <w:t> </w:t>
            </w:r>
          </w:p>
        </w:tc>
        <w:tc>
          <w:tcPr>
            <w:tcW w:w="1772" w:type="dxa"/>
            <w:vAlign w:val="center"/>
          </w:tcPr>
          <w:p>
            <w:pPr>
              <w:autoSpaceDE w:val="0"/>
              <w:autoSpaceDN w:val="0"/>
              <w:adjustRightInd w:val="0"/>
              <w:snapToGrid w:val="0"/>
              <w:jc w:val="right"/>
              <w:rPr>
                <w:szCs w:val="21"/>
              </w:rPr>
            </w:pPr>
            <w:r>
              <w:rPr>
                <w:rFonts w:hint="eastAsia"/>
                <w:color w:val="auto"/>
                <w:szCs w:val="21"/>
              </w:rPr>
              <w:t>1,184,535,294.95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2159" w:type="dxa"/>
            <w:vAlign w:val="center"/>
          </w:tcPr>
          <w:p>
            <w:pPr>
              <w:autoSpaceDE w:val="0"/>
              <w:autoSpaceDN w:val="0"/>
              <w:adjustRightInd w:val="0"/>
              <w:snapToGrid w:val="0"/>
              <w:rPr>
                <w:szCs w:val="21"/>
              </w:rPr>
            </w:pPr>
            <w:r>
              <w:rPr>
                <w:rFonts w:hint="eastAsia"/>
                <w:szCs w:val="21"/>
              </w:rPr>
              <w:t>其他资本公积</w:t>
            </w:r>
          </w:p>
        </w:tc>
        <w:tc>
          <w:tcPr>
            <w:tcW w:w="2025" w:type="dxa"/>
            <w:vAlign w:val="center"/>
          </w:tcPr>
          <w:p>
            <w:pPr>
              <w:autoSpaceDE w:val="0"/>
              <w:autoSpaceDN w:val="0"/>
              <w:adjustRightInd w:val="0"/>
              <w:snapToGrid w:val="0"/>
              <w:jc w:val="right"/>
              <w:rPr>
                <w:szCs w:val="21"/>
              </w:rPr>
            </w:pPr>
            <w:r>
              <w:rPr>
                <w:rFonts w:hint="eastAsia"/>
                <w:color w:val="auto"/>
                <w:szCs w:val="21"/>
              </w:rPr>
              <w:t>366,576.00</w:t>
            </w:r>
          </w:p>
        </w:tc>
        <w:tc>
          <w:tcPr>
            <w:tcW w:w="1662" w:type="dxa"/>
            <w:vAlign w:val="center"/>
          </w:tcPr>
          <w:p>
            <w:pPr>
              <w:autoSpaceDE w:val="0"/>
              <w:autoSpaceDN w:val="0"/>
              <w:adjustRightInd w:val="0"/>
              <w:snapToGrid w:val="0"/>
              <w:jc w:val="right"/>
              <w:rPr>
                <w:szCs w:val="21"/>
              </w:rPr>
            </w:pPr>
            <w:r>
              <w:rPr>
                <w:rFonts w:hint="eastAsia"/>
                <w:color w:val="auto"/>
                <w:szCs w:val="21"/>
              </w:rPr>
              <w:t> </w:t>
            </w:r>
          </w:p>
        </w:tc>
        <w:tc>
          <w:tcPr>
            <w:tcW w:w="1438" w:type="dxa"/>
            <w:vAlign w:val="center"/>
          </w:tcPr>
          <w:p>
            <w:pPr>
              <w:autoSpaceDE w:val="0"/>
              <w:autoSpaceDN w:val="0"/>
              <w:adjustRightInd w:val="0"/>
              <w:snapToGrid w:val="0"/>
              <w:jc w:val="right"/>
              <w:rPr>
                <w:szCs w:val="21"/>
              </w:rPr>
            </w:pPr>
            <w:r>
              <w:rPr>
                <w:rFonts w:hint="eastAsia"/>
                <w:color w:val="auto"/>
                <w:szCs w:val="21"/>
              </w:rPr>
              <w:t> </w:t>
            </w:r>
          </w:p>
        </w:tc>
        <w:tc>
          <w:tcPr>
            <w:tcW w:w="1772" w:type="dxa"/>
            <w:vAlign w:val="center"/>
          </w:tcPr>
          <w:p>
            <w:pPr>
              <w:autoSpaceDE w:val="0"/>
              <w:autoSpaceDN w:val="0"/>
              <w:adjustRightInd w:val="0"/>
              <w:snapToGrid w:val="0"/>
              <w:jc w:val="right"/>
              <w:rPr>
                <w:szCs w:val="21"/>
              </w:rPr>
            </w:pPr>
            <w:r>
              <w:rPr>
                <w:rFonts w:hint="eastAsia"/>
                <w:color w:val="auto"/>
                <w:szCs w:val="21"/>
              </w:rPr>
              <w:t>366,576.00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2159" w:type="dxa"/>
            <w:vAlign w:val="center"/>
          </w:tcPr>
          <w:p>
            <w:pPr>
              <w:autoSpaceDE w:val="0"/>
              <w:autoSpaceDN w:val="0"/>
              <w:adjustRightInd w:val="0"/>
              <w:snapToGrid w:val="0"/>
              <w:jc w:val="center"/>
              <w:rPr>
                <w:szCs w:val="21"/>
              </w:rPr>
            </w:pPr>
            <w:r>
              <w:rPr>
                <w:rFonts w:hint="eastAsia"/>
                <w:szCs w:val="21"/>
              </w:rPr>
              <w:t>合计</w:t>
            </w:r>
          </w:p>
        </w:tc>
        <w:tc>
          <w:tcPr>
            <w:tcW w:w="2025" w:type="dxa"/>
            <w:vAlign w:val="center"/>
          </w:tcPr>
          <w:p>
            <w:pPr>
              <w:autoSpaceDE w:val="0"/>
              <w:autoSpaceDN w:val="0"/>
              <w:adjustRightInd w:val="0"/>
              <w:snapToGrid w:val="0"/>
              <w:jc w:val="right"/>
              <w:rPr>
                <w:szCs w:val="21"/>
              </w:rPr>
            </w:pPr>
            <w:r>
              <w:rPr>
                <w:rFonts w:hint="eastAsia"/>
                <w:color w:val="auto"/>
                <w:szCs w:val="21"/>
              </w:rPr>
              <w:t>1,184,901,870.95</w:t>
            </w:r>
          </w:p>
        </w:tc>
        <w:tc>
          <w:tcPr>
            <w:tcW w:w="1662" w:type="dxa"/>
            <w:vAlign w:val="center"/>
          </w:tcPr>
          <w:p>
            <w:pPr>
              <w:autoSpaceDE w:val="0"/>
              <w:autoSpaceDN w:val="0"/>
              <w:adjustRightInd w:val="0"/>
              <w:snapToGrid w:val="0"/>
              <w:jc w:val="right"/>
              <w:rPr>
                <w:szCs w:val="21"/>
              </w:rPr>
            </w:pPr>
            <w:r>
              <w:rPr>
                <w:rFonts w:hint="eastAsia"/>
                <w:color w:val="auto"/>
                <w:szCs w:val="21"/>
              </w:rPr>
              <w:t> </w:t>
            </w:r>
          </w:p>
        </w:tc>
        <w:tc>
          <w:tcPr>
            <w:tcW w:w="1438" w:type="dxa"/>
            <w:vAlign w:val="center"/>
          </w:tcPr>
          <w:p>
            <w:pPr>
              <w:autoSpaceDE w:val="0"/>
              <w:autoSpaceDN w:val="0"/>
              <w:adjustRightInd w:val="0"/>
              <w:snapToGrid w:val="0"/>
              <w:jc w:val="right"/>
              <w:rPr>
                <w:szCs w:val="21"/>
              </w:rPr>
            </w:pPr>
            <w:r>
              <w:rPr>
                <w:rFonts w:hint="eastAsia"/>
                <w:color w:val="auto"/>
                <w:szCs w:val="21"/>
              </w:rPr>
              <w:t> </w:t>
            </w:r>
          </w:p>
        </w:tc>
        <w:tc>
          <w:tcPr>
            <w:tcW w:w="1772" w:type="dxa"/>
            <w:vAlign w:val="center"/>
          </w:tcPr>
          <w:p>
            <w:pPr>
              <w:autoSpaceDE w:val="0"/>
              <w:autoSpaceDN w:val="0"/>
              <w:adjustRightInd w:val="0"/>
              <w:snapToGrid w:val="0"/>
              <w:jc w:val="right"/>
              <w:rPr>
                <w:szCs w:val="21"/>
              </w:rPr>
            </w:pPr>
            <w:r>
              <w:rPr>
                <w:rFonts w:hint="eastAsia"/>
                <w:color w:val="auto"/>
                <w:szCs w:val="21"/>
              </w:rPr>
              <w:t>1,184,901,870.95</w:t>
            </w:r>
          </w:p>
        </w:tc>
      </w:tr>
    </w:tbl>
    <w:p>
      <w:pPr>
        <w:rPr>
          <w:szCs w:val="21"/>
        </w:rPr>
      </w:pPr>
      <w:r>
        <w:rPr>
          <w:rFonts w:hint="eastAsia"/>
          <w:szCs w:val="21"/>
        </w:rPr>
        <w:t>其他说明，包括本期增减变动情况、变动原因说明：</w:t>
      </w:r>
    </w:p>
    <w:sdt>
      <w:sdtPr>
        <w:rPr>
          <w:szCs w:val="21"/>
        </w:rPr>
        <w:alias w:val="资本公积说明"/>
        <w:tag w:val="_GBC_bd957b69783b49af88b2c285825bd0fc"/>
        <w:id w:val="7551"/>
        <w:placeholder>
          <w:docPart w:val="GBC22222222222222222222222222222"/>
        </w:placeholder>
      </w:sdtPr>
      <w:sdtEndPr>
        <w:rPr>
          <w:szCs w:val="21"/>
        </w:rPr>
      </w:sdtEndPr>
      <w:sdtContent>
        <w:p>
          <w:pPr>
            <w:rPr>
              <w:szCs w:val="21"/>
            </w:rPr>
          </w:pPr>
          <w:r>
            <w:rPr>
              <w:rFonts w:hint="eastAsia"/>
              <w:szCs w:val="21"/>
            </w:rPr>
            <w:t>无</w:t>
          </w:r>
        </w:p>
      </w:sdtContent>
    </w:sdt>
    <w:p>
      <w:pPr>
        <w:rPr>
          <w:szCs w:val="21"/>
        </w:rPr>
      </w:pPr>
    </w:p>
    <w:p>
      <w:pPr>
        <w:pStyle w:val="4"/>
        <w:numPr>
          <w:ilvl w:val="0"/>
          <w:numId w:val="62"/>
        </w:numPr>
        <w:tabs>
          <w:tab w:val="left" w:pos="504"/>
        </w:tabs>
        <w:rPr>
          <w:rFonts w:hint="eastAsia" w:ascii="宋体" w:hAnsi="宋体"/>
          <w:szCs w:val="21"/>
        </w:rPr>
      </w:pPr>
      <w:r>
        <w:rPr>
          <w:rFonts w:hint="eastAsia" w:ascii="宋体" w:hAnsi="宋体"/>
          <w:szCs w:val="21"/>
        </w:rPr>
        <w:t>库存股</w:t>
      </w:r>
    </w:p>
    <w:sdt>
      <w:sdtPr>
        <w:alias w:val="是否适用：库存股[双击切换]"/>
        <w:tag w:val="_GBC_8e4fbb6e216145d28e75f17bb16e2ed0"/>
        <w:id w:val="7552"/>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pStyle w:val="4"/>
        <w:numPr>
          <w:ilvl w:val="0"/>
          <w:numId w:val="62"/>
        </w:numPr>
        <w:tabs>
          <w:tab w:val="left" w:pos="504"/>
        </w:tabs>
        <w:rPr>
          <w:rFonts w:hint="eastAsia" w:ascii="宋体" w:hAnsi="宋体"/>
          <w:szCs w:val="21"/>
        </w:rPr>
      </w:pPr>
      <w:bookmarkStart w:id="347" w:name="_Hlk10537776"/>
      <w:bookmarkEnd w:id="347"/>
      <w:bookmarkStart w:id="348" w:name="_Hlk24027351"/>
      <w:r>
        <w:rPr>
          <w:rFonts w:hint="eastAsia" w:ascii="宋体" w:hAnsi="宋体"/>
          <w:szCs w:val="21"/>
        </w:rPr>
        <w:t>其他综合收益</w:t>
      </w:r>
    </w:p>
    <w:sdt>
      <w:sdtPr>
        <w:alias w:val="是否适用：其他综合收益[双击切换]"/>
        <w:tag w:val="_GBC_60105f81909745c788232a2118ec8260"/>
        <w:id w:val="7553"/>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其他综合收益情况"/>
          <w:tag w:val="_GBC_e409bf7299734ac38578b7aeaafe4b22"/>
          <w:id w:val="755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其他综合收益情况"/>
          <w:tag w:val="_GBC_27d655d96e764a21a47eae18f25945dc"/>
          <w:id w:val="755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90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429"/>
        <w:gridCol w:w="666"/>
        <w:gridCol w:w="731"/>
        <w:gridCol w:w="927"/>
        <w:gridCol w:w="666"/>
        <w:gridCol w:w="709"/>
        <w:gridCol w:w="840"/>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1560" w:type="dxa"/>
            <w:vMerge w:val="restart"/>
            <w:vAlign w:val="center"/>
          </w:tcPr>
          <w:sdt>
            <w:sdtPr>
              <w:tag w:val="_PLD_b9ff3615ccfb4fb8b5b240bdfb50f58f"/>
              <w:id w:val="7556"/>
            </w:sdtPr>
            <w:sdtContent>
              <w:p>
                <w:pPr>
                  <w:jc w:val="center"/>
                  <w:rPr>
                    <w:szCs w:val="21"/>
                  </w:rPr>
                </w:pPr>
                <w:r>
                  <w:rPr>
                    <w:rFonts w:hint="eastAsia"/>
                    <w:szCs w:val="21"/>
                  </w:rPr>
                  <w:t>项目</w:t>
                </w:r>
              </w:p>
            </w:sdtContent>
          </w:sdt>
        </w:tc>
        <w:tc>
          <w:tcPr>
            <w:tcW w:w="1429" w:type="dxa"/>
            <w:vMerge w:val="restart"/>
            <w:vAlign w:val="center"/>
          </w:tcPr>
          <w:sdt>
            <w:sdtPr>
              <w:tag w:val="_PLD_c452eb3cb7084e41ba725641dbad27ab"/>
              <w:id w:val="7557"/>
            </w:sdtPr>
            <w:sdtContent>
              <w:p>
                <w:pPr>
                  <w:jc w:val="center"/>
                  <w:rPr>
                    <w:szCs w:val="21"/>
                  </w:rPr>
                </w:pPr>
                <w:r>
                  <w:rPr>
                    <w:rFonts w:hint="eastAsia"/>
                    <w:szCs w:val="21"/>
                  </w:rPr>
                  <w:t>期初</w:t>
                </w:r>
              </w:p>
              <w:p>
                <w:pPr>
                  <w:jc w:val="center"/>
                  <w:rPr>
                    <w:szCs w:val="21"/>
                  </w:rPr>
                </w:pPr>
                <w:r>
                  <w:rPr>
                    <w:rFonts w:hint="eastAsia"/>
                    <w:szCs w:val="21"/>
                  </w:rPr>
                  <w:t>余额</w:t>
                </w:r>
              </w:p>
            </w:sdtContent>
          </w:sdt>
        </w:tc>
        <w:tc>
          <w:tcPr>
            <w:tcW w:w="4539" w:type="dxa"/>
            <w:gridSpan w:val="6"/>
            <w:vAlign w:val="center"/>
          </w:tcPr>
          <w:sdt>
            <w:sdtPr>
              <w:tag w:val="_PLD_c4c67158aa744717a253a7b51b99ed00"/>
              <w:id w:val="7558"/>
            </w:sdtPr>
            <w:sdtContent>
              <w:p>
                <w:pPr>
                  <w:jc w:val="center"/>
                  <w:rPr>
                    <w:szCs w:val="21"/>
                  </w:rPr>
                </w:pPr>
                <w:r>
                  <w:rPr>
                    <w:rFonts w:hint="eastAsia"/>
                    <w:szCs w:val="21"/>
                  </w:rPr>
                  <w:t>本期发生金额</w:t>
                </w:r>
              </w:p>
            </w:sdtContent>
          </w:sdt>
        </w:tc>
        <w:tc>
          <w:tcPr>
            <w:tcW w:w="1526" w:type="dxa"/>
            <w:vMerge w:val="restart"/>
            <w:vAlign w:val="center"/>
          </w:tcPr>
          <w:sdt>
            <w:sdtPr>
              <w:tag w:val="_PLD_2fcdc30e089b48d0af01eff4e6c0c7ad"/>
              <w:id w:val="7559"/>
            </w:sdtPr>
            <w:sdtContent>
              <w:p>
                <w:pPr>
                  <w:jc w:val="center"/>
                  <w:rPr>
                    <w:szCs w:val="21"/>
                  </w:rPr>
                </w:pPr>
                <w:r>
                  <w:rPr>
                    <w:rFonts w:hint="eastAsia"/>
                    <w:szCs w:val="21"/>
                  </w:rPr>
                  <w:t>期末</w:t>
                </w:r>
              </w:p>
              <w:p>
                <w:pPr>
                  <w:jc w:val="center"/>
                  <w:rPr>
                    <w:szCs w:val="21"/>
                  </w:rPr>
                </w:pPr>
                <w:r>
                  <w:rPr>
                    <w:rFonts w:hint="eastAsia"/>
                    <w:szCs w:val="21"/>
                  </w:rPr>
                  <w:t>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Merge w:val="continue"/>
            <w:vAlign w:val="center"/>
          </w:tcPr>
          <w:p>
            <w:pPr>
              <w:jc w:val="center"/>
              <w:rPr>
                <w:szCs w:val="21"/>
              </w:rPr>
            </w:pPr>
          </w:p>
        </w:tc>
        <w:tc>
          <w:tcPr>
            <w:tcW w:w="1429" w:type="dxa"/>
            <w:vMerge w:val="continue"/>
            <w:vAlign w:val="center"/>
          </w:tcPr>
          <w:p>
            <w:pPr>
              <w:jc w:val="center"/>
              <w:rPr>
                <w:szCs w:val="21"/>
              </w:rPr>
            </w:pPr>
          </w:p>
        </w:tc>
        <w:tc>
          <w:tcPr>
            <w:tcW w:w="666" w:type="dxa"/>
            <w:vAlign w:val="center"/>
          </w:tcPr>
          <w:sdt>
            <w:sdtPr>
              <w:tag w:val="_PLD_08b0381418824e1685e4223515aed1f1"/>
              <w:id w:val="7560"/>
            </w:sdtPr>
            <w:sdtContent>
              <w:p>
                <w:pPr>
                  <w:jc w:val="center"/>
                  <w:rPr>
                    <w:szCs w:val="21"/>
                  </w:rPr>
                </w:pPr>
                <w:r>
                  <w:rPr>
                    <w:rFonts w:hint="eastAsia"/>
                    <w:szCs w:val="21"/>
                  </w:rPr>
                  <w:t>本期所得税前发生额</w:t>
                </w:r>
              </w:p>
            </w:sdtContent>
          </w:sdt>
        </w:tc>
        <w:tc>
          <w:tcPr>
            <w:tcW w:w="731" w:type="dxa"/>
            <w:vAlign w:val="center"/>
          </w:tcPr>
          <w:sdt>
            <w:sdtPr>
              <w:tag w:val="_PLD_b9b4a9789ab94b46aa682fa396296a6f"/>
              <w:id w:val="7561"/>
            </w:sdtPr>
            <w:sdtContent>
              <w:p>
                <w:pPr>
                  <w:jc w:val="center"/>
                  <w:rPr>
                    <w:szCs w:val="21"/>
                  </w:rPr>
                </w:pPr>
                <w:r>
                  <w:rPr>
                    <w:rFonts w:hint="eastAsia"/>
                    <w:szCs w:val="21"/>
                  </w:rPr>
                  <w:t>减：前期计入其他综合收益当期转入损益</w:t>
                </w:r>
              </w:p>
            </w:sdtContent>
          </w:sdt>
        </w:tc>
        <w:tc>
          <w:tcPr>
            <w:tcW w:w="927" w:type="dxa"/>
            <w:vAlign w:val="center"/>
          </w:tcPr>
          <w:sdt>
            <w:sdtPr>
              <w:tag w:val="_PLD_a38fa46c72bd4d5dbd427d2107ab58cc"/>
              <w:id w:val="7562"/>
            </w:sdtPr>
            <w:sdtContent>
              <w:p>
                <w:pPr>
                  <w:jc w:val="center"/>
                </w:pPr>
                <w:r>
                  <w:rPr>
                    <w:rFonts w:hint="eastAsia"/>
                    <w:szCs w:val="21"/>
                  </w:rPr>
                  <w:t>减：前期计入其他综合收益当期转入留存收益</w:t>
                </w:r>
              </w:p>
            </w:sdtContent>
          </w:sdt>
        </w:tc>
        <w:tc>
          <w:tcPr>
            <w:tcW w:w="666" w:type="dxa"/>
            <w:vAlign w:val="center"/>
          </w:tcPr>
          <w:sdt>
            <w:sdtPr>
              <w:tag w:val="_PLD_3aa0b45624ce4714ba49e23b657915b8"/>
              <w:id w:val="7563"/>
            </w:sdtPr>
            <w:sdtContent>
              <w:p>
                <w:pPr>
                  <w:jc w:val="center"/>
                  <w:rPr>
                    <w:szCs w:val="21"/>
                  </w:rPr>
                </w:pPr>
                <w:r>
                  <w:rPr>
                    <w:rFonts w:hint="eastAsia"/>
                    <w:szCs w:val="21"/>
                  </w:rPr>
                  <w:t>减：所得税费用</w:t>
                </w:r>
              </w:p>
            </w:sdtContent>
          </w:sdt>
        </w:tc>
        <w:tc>
          <w:tcPr>
            <w:tcW w:w="709" w:type="dxa"/>
            <w:vAlign w:val="center"/>
          </w:tcPr>
          <w:sdt>
            <w:sdtPr>
              <w:tag w:val="_PLD_8b3cddc1172740f1a089204a9d0cbe76"/>
              <w:id w:val="7564"/>
            </w:sdtPr>
            <w:sdtContent>
              <w:p>
                <w:pPr>
                  <w:jc w:val="center"/>
                  <w:rPr>
                    <w:szCs w:val="21"/>
                  </w:rPr>
                </w:pPr>
                <w:r>
                  <w:rPr>
                    <w:rFonts w:hint="eastAsia"/>
                    <w:szCs w:val="21"/>
                  </w:rPr>
                  <w:t>税后归属于母公司</w:t>
                </w:r>
              </w:p>
            </w:sdtContent>
          </w:sdt>
        </w:tc>
        <w:tc>
          <w:tcPr>
            <w:tcW w:w="840" w:type="dxa"/>
            <w:vAlign w:val="center"/>
          </w:tcPr>
          <w:sdt>
            <w:sdtPr>
              <w:tag w:val="_PLD_addbe2b10c3b49449f4532c4ee8679a0"/>
              <w:id w:val="7565"/>
            </w:sdtPr>
            <w:sdtContent>
              <w:p>
                <w:pPr>
                  <w:jc w:val="center"/>
                  <w:rPr>
                    <w:szCs w:val="21"/>
                  </w:rPr>
                </w:pPr>
                <w:r>
                  <w:rPr>
                    <w:rFonts w:hint="eastAsia"/>
                    <w:szCs w:val="21"/>
                  </w:rPr>
                  <w:t>税后归属于少数股东</w:t>
                </w:r>
              </w:p>
            </w:sdtContent>
          </w:sdt>
        </w:tc>
        <w:tc>
          <w:tcPr>
            <w:tcW w:w="1526" w:type="dxa"/>
            <w:vMerge w:val="continue"/>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Align w:val="center"/>
          </w:tcPr>
          <w:p>
            <w:pPr>
              <w:rPr>
                <w:szCs w:val="21"/>
              </w:rPr>
            </w:pPr>
            <w:r>
              <w:rPr>
                <w:rFonts w:hint="eastAsia"/>
                <w:szCs w:val="21"/>
              </w:rPr>
              <w:t>一、不能重分类进损益的其他综合收益</w:t>
            </w:r>
          </w:p>
        </w:tc>
        <w:tc>
          <w:tcPr>
            <w:tcW w:w="1429" w:type="dxa"/>
            <w:vAlign w:val="center"/>
          </w:tcPr>
          <w:p>
            <w:pPr>
              <w:jc w:val="right"/>
              <w:rPr>
                <w:szCs w:val="21"/>
              </w:rPr>
            </w:pPr>
            <w:r>
              <w:rPr>
                <w:rFonts w:hint="eastAsia"/>
                <w:color w:val="auto"/>
                <w:szCs w:val="21"/>
              </w:rPr>
              <w:t>-8,825,807.26</w:t>
            </w:r>
          </w:p>
        </w:tc>
        <w:tc>
          <w:tcPr>
            <w:tcW w:w="666" w:type="dxa"/>
            <w:vAlign w:val="center"/>
          </w:tcPr>
          <w:p>
            <w:pPr>
              <w:jc w:val="right"/>
              <w:rPr>
                <w:szCs w:val="21"/>
              </w:rPr>
            </w:pPr>
          </w:p>
        </w:tc>
        <w:tc>
          <w:tcPr>
            <w:tcW w:w="731" w:type="dxa"/>
            <w:vAlign w:val="center"/>
          </w:tcPr>
          <w:p>
            <w:pPr>
              <w:jc w:val="right"/>
              <w:rPr>
                <w:szCs w:val="21"/>
              </w:rPr>
            </w:pPr>
          </w:p>
        </w:tc>
        <w:tc>
          <w:tcPr>
            <w:tcW w:w="927" w:type="dxa"/>
            <w:vAlign w:val="center"/>
          </w:tcPr>
          <w:p>
            <w:pPr>
              <w:jc w:val="right"/>
              <w:rPr>
                <w:szCs w:val="21"/>
              </w:rPr>
            </w:pPr>
          </w:p>
        </w:tc>
        <w:tc>
          <w:tcPr>
            <w:tcW w:w="666" w:type="dxa"/>
            <w:vAlign w:val="center"/>
          </w:tcPr>
          <w:p>
            <w:pPr>
              <w:jc w:val="right"/>
              <w:rPr>
                <w:szCs w:val="21"/>
              </w:rPr>
            </w:pPr>
            <w:r>
              <w:rPr>
                <w:rFonts w:hint="eastAsia"/>
                <w:color w:val="auto"/>
                <w:szCs w:val="21"/>
              </w:rPr>
              <w:t> </w:t>
            </w:r>
          </w:p>
        </w:tc>
        <w:tc>
          <w:tcPr>
            <w:tcW w:w="709" w:type="dxa"/>
            <w:vAlign w:val="center"/>
          </w:tcPr>
          <w:p>
            <w:pPr>
              <w:jc w:val="right"/>
              <w:rPr>
                <w:szCs w:val="21"/>
              </w:rPr>
            </w:pPr>
            <w:r>
              <w:rPr>
                <w:rFonts w:hint="eastAsia"/>
                <w:color w:val="auto"/>
                <w:szCs w:val="21"/>
              </w:rPr>
              <w:t> </w:t>
            </w:r>
          </w:p>
        </w:tc>
        <w:tc>
          <w:tcPr>
            <w:tcW w:w="840" w:type="dxa"/>
            <w:vAlign w:val="center"/>
          </w:tcPr>
          <w:p>
            <w:pPr>
              <w:jc w:val="right"/>
              <w:rPr>
                <w:szCs w:val="21"/>
              </w:rPr>
            </w:pPr>
            <w:r>
              <w:rPr>
                <w:rFonts w:hint="eastAsia"/>
                <w:color w:val="auto"/>
                <w:szCs w:val="21"/>
              </w:rPr>
              <w:t> </w:t>
            </w:r>
          </w:p>
        </w:tc>
        <w:tc>
          <w:tcPr>
            <w:tcW w:w="1526" w:type="dxa"/>
            <w:vAlign w:val="center"/>
          </w:tcPr>
          <w:p>
            <w:pPr>
              <w:jc w:val="right"/>
              <w:rPr>
                <w:szCs w:val="21"/>
              </w:rPr>
            </w:pPr>
            <w:r>
              <w:rPr>
                <w:rFonts w:hint="eastAsia"/>
                <w:color w:val="auto"/>
              </w:rPr>
              <w:t>-8,825,807.26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Align w:val="center"/>
          </w:tcPr>
          <w:p>
            <w:pPr>
              <w:ind w:firstLine="210" w:firstLineChars="100"/>
            </w:pPr>
            <w:r>
              <w:rPr>
                <w:rFonts w:hint="eastAsia"/>
              </w:rPr>
              <w:t>其他权益工具投资公允价值变动</w:t>
            </w:r>
          </w:p>
        </w:tc>
        <w:tc>
          <w:tcPr>
            <w:tcW w:w="1429" w:type="dxa"/>
            <w:vAlign w:val="center"/>
          </w:tcPr>
          <w:p>
            <w:pPr>
              <w:jc w:val="right"/>
              <w:rPr>
                <w:rFonts w:hint="eastAsia"/>
              </w:rPr>
            </w:pPr>
            <w:r>
              <w:rPr>
                <w:rFonts w:hint="eastAsia"/>
                <w:color w:val="auto"/>
              </w:rPr>
              <w:t>-8,825,807.26</w:t>
            </w:r>
          </w:p>
        </w:tc>
        <w:tc>
          <w:tcPr>
            <w:tcW w:w="666" w:type="dxa"/>
            <w:vAlign w:val="center"/>
          </w:tcPr>
          <w:p>
            <w:pPr>
              <w:jc w:val="right"/>
              <w:rPr>
                <w:szCs w:val="21"/>
              </w:rPr>
            </w:pPr>
          </w:p>
        </w:tc>
        <w:tc>
          <w:tcPr>
            <w:tcW w:w="731" w:type="dxa"/>
            <w:vAlign w:val="center"/>
          </w:tcPr>
          <w:p>
            <w:pPr>
              <w:jc w:val="right"/>
              <w:rPr>
                <w:szCs w:val="21"/>
              </w:rPr>
            </w:pPr>
          </w:p>
        </w:tc>
        <w:tc>
          <w:tcPr>
            <w:tcW w:w="927" w:type="dxa"/>
            <w:vAlign w:val="center"/>
          </w:tcPr>
          <w:p>
            <w:pPr>
              <w:jc w:val="right"/>
              <w:rPr>
                <w:szCs w:val="21"/>
              </w:rPr>
            </w:pPr>
          </w:p>
        </w:tc>
        <w:tc>
          <w:tcPr>
            <w:tcW w:w="666" w:type="dxa"/>
            <w:vAlign w:val="center"/>
          </w:tcPr>
          <w:p>
            <w:pPr>
              <w:jc w:val="right"/>
              <w:rPr>
                <w:szCs w:val="21"/>
              </w:rPr>
            </w:pPr>
          </w:p>
        </w:tc>
        <w:tc>
          <w:tcPr>
            <w:tcW w:w="709" w:type="dxa"/>
            <w:vAlign w:val="center"/>
          </w:tcPr>
          <w:p>
            <w:pPr>
              <w:jc w:val="right"/>
              <w:rPr>
                <w:szCs w:val="21"/>
              </w:rPr>
            </w:pPr>
          </w:p>
        </w:tc>
        <w:tc>
          <w:tcPr>
            <w:tcW w:w="840" w:type="dxa"/>
            <w:vAlign w:val="center"/>
          </w:tcPr>
          <w:p>
            <w:pPr>
              <w:jc w:val="right"/>
              <w:rPr>
                <w:szCs w:val="21"/>
              </w:rPr>
            </w:pPr>
          </w:p>
        </w:tc>
        <w:tc>
          <w:tcPr>
            <w:tcW w:w="1526" w:type="dxa"/>
            <w:vAlign w:val="center"/>
          </w:tcPr>
          <w:p>
            <w:pPr>
              <w:jc w:val="right"/>
              <w:rPr>
                <w:szCs w:val="21"/>
              </w:rPr>
            </w:pPr>
            <w:r>
              <w:rPr>
                <w:rFonts w:hint="eastAsia"/>
                <w:color w:val="auto"/>
              </w:rPr>
              <w:t>-8,825,807.26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Align w:val="center"/>
          </w:tcPr>
          <w:p>
            <w:pPr>
              <w:rPr>
                <w:szCs w:val="21"/>
              </w:rPr>
            </w:pPr>
            <w:r>
              <w:rPr>
                <w:rFonts w:hint="eastAsia"/>
                <w:szCs w:val="21"/>
              </w:rPr>
              <w:t>二、将重分类进损益的其他综合收益</w:t>
            </w:r>
          </w:p>
        </w:tc>
        <w:tc>
          <w:tcPr>
            <w:tcW w:w="1429" w:type="dxa"/>
            <w:vAlign w:val="center"/>
          </w:tcPr>
          <w:p>
            <w:pPr>
              <w:jc w:val="right"/>
              <w:rPr>
                <w:szCs w:val="21"/>
              </w:rPr>
            </w:pPr>
          </w:p>
        </w:tc>
        <w:tc>
          <w:tcPr>
            <w:tcW w:w="666" w:type="dxa"/>
            <w:vAlign w:val="center"/>
          </w:tcPr>
          <w:p>
            <w:pPr>
              <w:jc w:val="right"/>
              <w:rPr>
                <w:szCs w:val="21"/>
              </w:rPr>
            </w:pPr>
          </w:p>
        </w:tc>
        <w:tc>
          <w:tcPr>
            <w:tcW w:w="731" w:type="dxa"/>
            <w:vAlign w:val="center"/>
          </w:tcPr>
          <w:p>
            <w:pPr>
              <w:jc w:val="right"/>
              <w:rPr>
                <w:szCs w:val="21"/>
              </w:rPr>
            </w:pPr>
          </w:p>
        </w:tc>
        <w:tc>
          <w:tcPr>
            <w:tcW w:w="927" w:type="dxa"/>
            <w:vAlign w:val="center"/>
          </w:tcPr>
          <w:p>
            <w:pPr>
              <w:jc w:val="right"/>
              <w:rPr>
                <w:szCs w:val="21"/>
              </w:rPr>
            </w:pPr>
          </w:p>
        </w:tc>
        <w:tc>
          <w:tcPr>
            <w:tcW w:w="666" w:type="dxa"/>
            <w:vAlign w:val="center"/>
          </w:tcPr>
          <w:p>
            <w:pPr>
              <w:jc w:val="right"/>
              <w:rPr>
                <w:szCs w:val="21"/>
              </w:rPr>
            </w:pPr>
          </w:p>
        </w:tc>
        <w:tc>
          <w:tcPr>
            <w:tcW w:w="709" w:type="dxa"/>
            <w:vAlign w:val="center"/>
          </w:tcPr>
          <w:p>
            <w:pPr>
              <w:jc w:val="right"/>
              <w:rPr>
                <w:szCs w:val="21"/>
              </w:rPr>
            </w:pPr>
          </w:p>
        </w:tc>
        <w:tc>
          <w:tcPr>
            <w:tcW w:w="840" w:type="dxa"/>
            <w:vAlign w:val="center"/>
          </w:tcPr>
          <w:p>
            <w:pPr>
              <w:jc w:val="right"/>
              <w:rPr>
                <w:szCs w:val="21"/>
              </w:rPr>
            </w:pPr>
          </w:p>
        </w:tc>
        <w:tc>
          <w:tcPr>
            <w:tcW w:w="1526" w:type="dxa"/>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Align w:val="center"/>
          </w:tcPr>
          <w:p>
            <w:pPr>
              <w:rPr>
                <w:szCs w:val="21"/>
              </w:rPr>
            </w:pPr>
            <w:r>
              <w:rPr>
                <w:rFonts w:hint="eastAsia"/>
                <w:szCs w:val="21"/>
              </w:rPr>
              <w:t>其他综合收益合计</w:t>
            </w:r>
          </w:p>
        </w:tc>
        <w:tc>
          <w:tcPr>
            <w:tcW w:w="1429" w:type="dxa"/>
            <w:vAlign w:val="center"/>
          </w:tcPr>
          <w:p>
            <w:pPr>
              <w:jc w:val="right"/>
              <w:rPr>
                <w:szCs w:val="21"/>
              </w:rPr>
            </w:pPr>
            <w:r>
              <w:rPr>
                <w:rFonts w:hint="eastAsia"/>
                <w:color w:val="auto"/>
                <w:szCs w:val="21"/>
              </w:rPr>
              <w:t>-8,825,807.26</w:t>
            </w:r>
          </w:p>
        </w:tc>
        <w:tc>
          <w:tcPr>
            <w:tcW w:w="666" w:type="dxa"/>
            <w:vAlign w:val="center"/>
          </w:tcPr>
          <w:p>
            <w:pPr>
              <w:jc w:val="right"/>
              <w:rPr>
                <w:szCs w:val="21"/>
              </w:rPr>
            </w:pPr>
          </w:p>
        </w:tc>
        <w:tc>
          <w:tcPr>
            <w:tcW w:w="731" w:type="dxa"/>
            <w:vAlign w:val="center"/>
          </w:tcPr>
          <w:p>
            <w:pPr>
              <w:jc w:val="right"/>
              <w:rPr>
                <w:szCs w:val="21"/>
              </w:rPr>
            </w:pPr>
          </w:p>
        </w:tc>
        <w:tc>
          <w:tcPr>
            <w:tcW w:w="927" w:type="dxa"/>
            <w:vAlign w:val="center"/>
          </w:tcPr>
          <w:p>
            <w:pPr>
              <w:jc w:val="right"/>
              <w:rPr>
                <w:szCs w:val="21"/>
              </w:rPr>
            </w:pPr>
          </w:p>
        </w:tc>
        <w:tc>
          <w:tcPr>
            <w:tcW w:w="666" w:type="dxa"/>
            <w:vAlign w:val="center"/>
          </w:tcPr>
          <w:p>
            <w:pPr>
              <w:jc w:val="right"/>
              <w:rPr>
                <w:szCs w:val="21"/>
              </w:rPr>
            </w:pPr>
          </w:p>
        </w:tc>
        <w:tc>
          <w:tcPr>
            <w:tcW w:w="709" w:type="dxa"/>
            <w:vAlign w:val="center"/>
          </w:tcPr>
          <w:p>
            <w:pPr>
              <w:jc w:val="right"/>
              <w:rPr>
                <w:szCs w:val="21"/>
              </w:rPr>
            </w:pPr>
          </w:p>
        </w:tc>
        <w:tc>
          <w:tcPr>
            <w:tcW w:w="840" w:type="dxa"/>
            <w:vAlign w:val="center"/>
          </w:tcPr>
          <w:p>
            <w:pPr>
              <w:jc w:val="right"/>
              <w:rPr>
                <w:szCs w:val="21"/>
              </w:rPr>
            </w:pPr>
          </w:p>
        </w:tc>
        <w:tc>
          <w:tcPr>
            <w:tcW w:w="1526" w:type="dxa"/>
            <w:vAlign w:val="center"/>
          </w:tcPr>
          <w:p>
            <w:pPr>
              <w:jc w:val="right"/>
              <w:rPr>
                <w:szCs w:val="21"/>
              </w:rPr>
            </w:pPr>
            <w:r>
              <w:rPr>
                <w:rFonts w:hint="eastAsia"/>
                <w:color w:val="auto"/>
              </w:rPr>
              <w:t>-8,825,807.26</w:t>
            </w:r>
          </w:p>
        </w:tc>
      </w:tr>
    </w:tbl>
    <w:p/>
    <w:p>
      <w:pPr>
        <w:spacing w:before="60" w:after="60"/>
        <w:rPr>
          <w:b/>
          <w:szCs w:val="21"/>
        </w:rPr>
      </w:pPr>
      <w:r>
        <w:rPr>
          <w:rFonts w:hint="eastAsia"/>
          <w:szCs w:val="21"/>
        </w:rPr>
        <w:t>其他说明，包括对现金流量套期损益的有效部分转为被套期项目初始确认金额调整：</w:t>
      </w:r>
    </w:p>
    <w:sdt>
      <w:sdtPr>
        <w:rPr>
          <w:rFonts w:hint="eastAsia"/>
          <w:szCs w:val="21"/>
        </w:rPr>
        <w:alias w:val="综合收益情况"/>
        <w:tag w:val="_GBC_5d84d969b6cc4ff285c66258c1721a98"/>
        <w:id w:val="7566"/>
        <w:placeholder>
          <w:docPart w:val="GBC22222222222222222222222222222"/>
        </w:placeholder>
      </w:sdtPr>
      <w:sdtEndPr>
        <w:rPr>
          <w:rFonts w:hint="eastAsia"/>
          <w:szCs w:val="21"/>
        </w:rPr>
      </w:sdtEndPr>
      <w:sdtContent>
        <w:p>
          <w:pPr>
            <w:rPr>
              <w:szCs w:val="21"/>
            </w:rPr>
          </w:pPr>
          <w:r>
            <w:rPr>
              <w:rFonts w:hint="eastAsia"/>
              <w:szCs w:val="21"/>
            </w:rPr>
            <w:t>无</w:t>
          </w:r>
        </w:p>
      </w:sdtContent>
    </w:sdt>
    <w:p>
      <w:pPr>
        <w:rPr>
          <w:szCs w:val="21"/>
        </w:rPr>
      </w:pPr>
    </w:p>
    <w:bookmarkEnd w:id="348"/>
    <w:sdt>
      <w:sdtPr>
        <w:tag w:val="_PLD_8fff8ae986744686955f066b48db9c56"/>
        <w:id w:val="7567"/>
      </w:sdtPr>
      <w:sdtEndPr>
        <w:rPr>
          <w:rFonts w:cs="Times New Roman"/>
          <w:b/>
          <w:bCs/>
          <w:kern w:val="2"/>
        </w:rPr>
      </w:sdtEndPr>
      <w:sdtContent>
        <w:p>
          <w:pPr>
            <w:pStyle w:val="4"/>
            <w:numPr>
              <w:ilvl w:val="0"/>
              <w:numId w:val="62"/>
            </w:numPr>
            <w:tabs>
              <w:tab w:val="left" w:pos="504"/>
            </w:tabs>
            <w:rPr>
              <w:rFonts w:hint="eastAsia" w:ascii="宋体" w:hAnsi="宋体"/>
              <w:szCs w:val="21"/>
            </w:rPr>
          </w:pPr>
          <w:r>
            <w:rPr>
              <w:rFonts w:hint="eastAsia" w:ascii="宋体" w:hAnsi="宋体"/>
              <w:szCs w:val="21"/>
            </w:rPr>
            <w:t>专项储备</w:t>
          </w:r>
        </w:p>
      </w:sdtContent>
    </w:sdt>
    <w:sdt>
      <w:sdtPr>
        <w:alias w:val="是否适用：专项储备[双击切换]"/>
        <w:tag w:val="_GBC_0e2f337ccf9a4bc6919cf02a896e57c1"/>
        <w:id w:val="7568"/>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pStyle w:val="4"/>
        <w:numPr>
          <w:ilvl w:val="0"/>
          <w:numId w:val="62"/>
        </w:numPr>
        <w:tabs>
          <w:tab w:val="left" w:pos="504"/>
        </w:tabs>
        <w:rPr>
          <w:rFonts w:hint="eastAsia" w:ascii="宋体" w:hAnsi="宋体"/>
          <w:szCs w:val="21"/>
        </w:rPr>
      </w:pPr>
      <w:r>
        <w:rPr>
          <w:rFonts w:hint="eastAsia" w:ascii="宋体" w:hAnsi="宋体"/>
          <w:szCs w:val="21"/>
        </w:rPr>
        <w:t>盈余公积</w:t>
      </w:r>
    </w:p>
    <w:sdt>
      <w:sdtPr>
        <w:alias w:val="是否适用：盈余公积[双击切换]"/>
        <w:tag w:val="_GBC_5a507b0ba3a44a2c828e4df049852353"/>
        <w:id w:val="7569"/>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盈余公积"/>
          <w:tag w:val="_GBC_8ca7c8f8d04e47ff92c33109bbf55576"/>
          <w:id w:val="757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盈余公积"/>
          <w:tag w:val="_GBC_24d833c69b8448ca876fbf8299519039"/>
          <w:id w:val="757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671"/>
        <w:gridCol w:w="1798"/>
        <w:gridCol w:w="1803"/>
        <w:gridCol w:w="1815"/>
        <w:gridCol w:w="1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671" w:type="dxa"/>
            <w:vAlign w:val="center"/>
          </w:tcPr>
          <w:sdt>
            <w:sdtPr>
              <w:tag w:val="_PLD_448cc13fae91499a9f41c6e4c1f51937"/>
              <w:id w:val="7572"/>
            </w:sdtPr>
            <w:sdtContent>
              <w:p>
                <w:pPr>
                  <w:autoSpaceDE w:val="0"/>
                  <w:autoSpaceDN w:val="0"/>
                  <w:adjustRightInd w:val="0"/>
                  <w:snapToGrid w:val="0"/>
                  <w:jc w:val="center"/>
                  <w:rPr>
                    <w:szCs w:val="21"/>
                  </w:rPr>
                </w:pPr>
                <w:r>
                  <w:rPr>
                    <w:rFonts w:hint="eastAsia"/>
                    <w:szCs w:val="21"/>
                  </w:rPr>
                  <w:t>项目</w:t>
                </w:r>
              </w:p>
            </w:sdtContent>
          </w:sdt>
        </w:tc>
        <w:tc>
          <w:tcPr>
            <w:tcW w:w="1798" w:type="dxa"/>
            <w:vAlign w:val="center"/>
          </w:tcPr>
          <w:sdt>
            <w:sdtPr>
              <w:tag w:val="_PLD_112a59f6ca7b4b5f8ced860f9465eb1a"/>
              <w:id w:val="7573"/>
            </w:sdtPr>
            <w:sdtContent>
              <w:p>
                <w:pPr>
                  <w:autoSpaceDE w:val="0"/>
                  <w:autoSpaceDN w:val="0"/>
                  <w:adjustRightInd w:val="0"/>
                  <w:snapToGrid w:val="0"/>
                  <w:jc w:val="center"/>
                  <w:rPr>
                    <w:szCs w:val="21"/>
                  </w:rPr>
                </w:pPr>
                <w:r>
                  <w:rPr>
                    <w:rFonts w:hint="eastAsia"/>
                    <w:szCs w:val="21"/>
                  </w:rPr>
                  <w:t>期初余额</w:t>
                </w:r>
              </w:p>
            </w:sdtContent>
          </w:sdt>
        </w:tc>
        <w:tc>
          <w:tcPr>
            <w:tcW w:w="1803" w:type="dxa"/>
            <w:vAlign w:val="center"/>
          </w:tcPr>
          <w:sdt>
            <w:sdtPr>
              <w:tag w:val="_PLD_a2c4f4720dd7427b93c04e32666cfd69"/>
              <w:id w:val="7574"/>
            </w:sdtPr>
            <w:sdtContent>
              <w:p>
                <w:pPr>
                  <w:autoSpaceDE w:val="0"/>
                  <w:autoSpaceDN w:val="0"/>
                  <w:adjustRightInd w:val="0"/>
                  <w:snapToGrid w:val="0"/>
                  <w:jc w:val="center"/>
                  <w:rPr>
                    <w:szCs w:val="21"/>
                  </w:rPr>
                </w:pPr>
                <w:r>
                  <w:rPr>
                    <w:rFonts w:hint="eastAsia"/>
                    <w:szCs w:val="21"/>
                  </w:rPr>
                  <w:t>本期增加</w:t>
                </w:r>
              </w:p>
            </w:sdtContent>
          </w:sdt>
        </w:tc>
        <w:tc>
          <w:tcPr>
            <w:tcW w:w="1815" w:type="dxa"/>
            <w:vAlign w:val="center"/>
          </w:tcPr>
          <w:sdt>
            <w:sdtPr>
              <w:tag w:val="_PLD_ad1876bb4d7c41eaa003da876ae9e601"/>
              <w:id w:val="7575"/>
            </w:sdtPr>
            <w:sdtContent>
              <w:p>
                <w:pPr>
                  <w:autoSpaceDE w:val="0"/>
                  <w:autoSpaceDN w:val="0"/>
                  <w:adjustRightInd w:val="0"/>
                  <w:snapToGrid w:val="0"/>
                  <w:jc w:val="center"/>
                  <w:rPr>
                    <w:szCs w:val="21"/>
                  </w:rPr>
                </w:pPr>
                <w:r>
                  <w:rPr>
                    <w:rFonts w:hint="eastAsia"/>
                    <w:szCs w:val="21"/>
                  </w:rPr>
                  <w:t>本期减少</w:t>
                </w:r>
              </w:p>
            </w:sdtContent>
          </w:sdt>
        </w:tc>
        <w:tc>
          <w:tcPr>
            <w:tcW w:w="1803" w:type="dxa"/>
            <w:vAlign w:val="center"/>
          </w:tcPr>
          <w:sdt>
            <w:sdtPr>
              <w:tag w:val="_PLD_45d6cc2a2d2140619579c3f035df8d6a"/>
              <w:id w:val="7576"/>
            </w:sdtPr>
            <w:sdtContent>
              <w:p>
                <w:pPr>
                  <w:autoSpaceDE w:val="0"/>
                  <w:autoSpaceDN w:val="0"/>
                  <w:adjustRightInd w:val="0"/>
                  <w:snapToGrid w:val="0"/>
                  <w:jc w:val="center"/>
                  <w:rPr>
                    <w:szCs w:val="21"/>
                  </w:rPr>
                </w:pPr>
                <w:r>
                  <w:rPr>
                    <w:rFonts w:hint="eastAsia"/>
                    <w:szCs w:val="21"/>
                  </w:rPr>
                  <w:t>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671" w:type="dxa"/>
            <w:vAlign w:val="center"/>
          </w:tcPr>
          <w:p>
            <w:pPr>
              <w:autoSpaceDE w:val="0"/>
              <w:autoSpaceDN w:val="0"/>
              <w:adjustRightInd w:val="0"/>
              <w:snapToGrid w:val="0"/>
              <w:jc w:val="both"/>
              <w:rPr>
                <w:szCs w:val="21"/>
              </w:rPr>
            </w:pPr>
            <w:r>
              <w:rPr>
                <w:rFonts w:hint="eastAsia"/>
                <w:szCs w:val="21"/>
              </w:rPr>
              <w:t>法定盈余公积</w:t>
            </w:r>
          </w:p>
        </w:tc>
        <w:tc>
          <w:tcPr>
            <w:tcW w:w="1798" w:type="dxa"/>
            <w:vAlign w:val="center"/>
          </w:tcPr>
          <w:p>
            <w:pPr>
              <w:autoSpaceDE w:val="0"/>
              <w:autoSpaceDN w:val="0"/>
              <w:adjustRightInd w:val="0"/>
              <w:snapToGrid w:val="0"/>
              <w:ind w:right="180"/>
              <w:jc w:val="right"/>
              <w:rPr>
                <w:szCs w:val="21"/>
              </w:rPr>
            </w:pPr>
            <w:r>
              <w:rPr>
                <w:rFonts w:hint="eastAsia"/>
                <w:color w:val="auto"/>
                <w:szCs w:val="21"/>
              </w:rPr>
              <w:t>174,811,503.03</w:t>
            </w:r>
          </w:p>
        </w:tc>
        <w:tc>
          <w:tcPr>
            <w:tcW w:w="1803" w:type="dxa"/>
            <w:vAlign w:val="center"/>
          </w:tcPr>
          <w:p>
            <w:pPr>
              <w:autoSpaceDE w:val="0"/>
              <w:autoSpaceDN w:val="0"/>
              <w:adjustRightInd w:val="0"/>
              <w:snapToGrid w:val="0"/>
              <w:ind w:right="180"/>
              <w:jc w:val="right"/>
              <w:rPr>
                <w:szCs w:val="21"/>
              </w:rPr>
            </w:pPr>
            <w:r>
              <w:rPr>
                <w:rFonts w:hint="eastAsia"/>
                <w:color w:val="auto"/>
                <w:szCs w:val="21"/>
              </w:rPr>
              <w:t> </w:t>
            </w:r>
          </w:p>
        </w:tc>
        <w:tc>
          <w:tcPr>
            <w:tcW w:w="1815" w:type="dxa"/>
            <w:vAlign w:val="center"/>
          </w:tcPr>
          <w:p>
            <w:pPr>
              <w:autoSpaceDE w:val="0"/>
              <w:autoSpaceDN w:val="0"/>
              <w:adjustRightInd w:val="0"/>
              <w:snapToGrid w:val="0"/>
              <w:ind w:right="180"/>
              <w:jc w:val="right"/>
              <w:rPr>
                <w:szCs w:val="21"/>
              </w:rPr>
            </w:pPr>
            <w:r>
              <w:rPr>
                <w:rFonts w:hint="eastAsia"/>
                <w:color w:val="auto"/>
                <w:szCs w:val="21"/>
              </w:rPr>
              <w:t> </w:t>
            </w:r>
          </w:p>
        </w:tc>
        <w:tc>
          <w:tcPr>
            <w:tcW w:w="1803" w:type="dxa"/>
            <w:vAlign w:val="center"/>
          </w:tcPr>
          <w:p>
            <w:pPr>
              <w:autoSpaceDE w:val="0"/>
              <w:autoSpaceDN w:val="0"/>
              <w:adjustRightInd w:val="0"/>
              <w:snapToGrid w:val="0"/>
              <w:ind w:right="180"/>
              <w:jc w:val="right"/>
              <w:rPr>
                <w:szCs w:val="21"/>
              </w:rPr>
            </w:pPr>
            <w:r>
              <w:rPr>
                <w:rFonts w:hint="eastAsia"/>
                <w:color w:val="auto"/>
                <w:szCs w:val="21"/>
              </w:rPr>
              <w:t>174,811,503.03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671" w:type="dxa"/>
            <w:vAlign w:val="center"/>
          </w:tcPr>
          <w:p>
            <w:pPr>
              <w:autoSpaceDE w:val="0"/>
              <w:autoSpaceDN w:val="0"/>
              <w:adjustRightInd w:val="0"/>
              <w:snapToGrid w:val="0"/>
              <w:jc w:val="both"/>
              <w:rPr>
                <w:szCs w:val="21"/>
              </w:rPr>
            </w:pPr>
            <w:r>
              <w:rPr>
                <w:rFonts w:hint="eastAsia"/>
                <w:szCs w:val="21"/>
              </w:rPr>
              <w:t>任意盈余公积</w:t>
            </w:r>
          </w:p>
        </w:tc>
        <w:tc>
          <w:tcPr>
            <w:tcW w:w="1798" w:type="dxa"/>
            <w:vAlign w:val="center"/>
          </w:tcPr>
          <w:p>
            <w:pPr>
              <w:autoSpaceDE w:val="0"/>
              <w:autoSpaceDN w:val="0"/>
              <w:adjustRightInd w:val="0"/>
              <w:snapToGrid w:val="0"/>
              <w:ind w:right="180"/>
              <w:jc w:val="right"/>
              <w:rPr>
                <w:szCs w:val="21"/>
              </w:rPr>
            </w:pPr>
            <w:r>
              <w:rPr>
                <w:rFonts w:hint="eastAsia"/>
                <w:color w:val="auto"/>
                <w:szCs w:val="21"/>
              </w:rPr>
              <w:t>77,354,638.84</w:t>
            </w:r>
          </w:p>
        </w:tc>
        <w:tc>
          <w:tcPr>
            <w:tcW w:w="1803" w:type="dxa"/>
            <w:vAlign w:val="center"/>
          </w:tcPr>
          <w:p>
            <w:pPr>
              <w:autoSpaceDE w:val="0"/>
              <w:autoSpaceDN w:val="0"/>
              <w:adjustRightInd w:val="0"/>
              <w:snapToGrid w:val="0"/>
              <w:ind w:right="180"/>
              <w:jc w:val="right"/>
              <w:rPr>
                <w:szCs w:val="21"/>
              </w:rPr>
            </w:pPr>
            <w:r>
              <w:rPr>
                <w:rFonts w:hint="eastAsia"/>
                <w:color w:val="auto"/>
                <w:szCs w:val="21"/>
              </w:rPr>
              <w:t> </w:t>
            </w:r>
          </w:p>
        </w:tc>
        <w:tc>
          <w:tcPr>
            <w:tcW w:w="1815" w:type="dxa"/>
            <w:vAlign w:val="center"/>
          </w:tcPr>
          <w:p>
            <w:pPr>
              <w:autoSpaceDE w:val="0"/>
              <w:autoSpaceDN w:val="0"/>
              <w:adjustRightInd w:val="0"/>
              <w:snapToGrid w:val="0"/>
              <w:ind w:right="180"/>
              <w:jc w:val="right"/>
              <w:rPr>
                <w:szCs w:val="21"/>
              </w:rPr>
            </w:pPr>
            <w:r>
              <w:rPr>
                <w:rFonts w:hint="eastAsia"/>
                <w:color w:val="auto"/>
                <w:szCs w:val="21"/>
              </w:rPr>
              <w:t> </w:t>
            </w:r>
          </w:p>
        </w:tc>
        <w:tc>
          <w:tcPr>
            <w:tcW w:w="1803" w:type="dxa"/>
            <w:vAlign w:val="center"/>
          </w:tcPr>
          <w:p>
            <w:pPr>
              <w:autoSpaceDE w:val="0"/>
              <w:autoSpaceDN w:val="0"/>
              <w:adjustRightInd w:val="0"/>
              <w:snapToGrid w:val="0"/>
              <w:ind w:right="180"/>
              <w:jc w:val="right"/>
              <w:rPr>
                <w:szCs w:val="21"/>
              </w:rPr>
            </w:pPr>
            <w:r>
              <w:rPr>
                <w:rFonts w:hint="eastAsia"/>
                <w:color w:val="auto"/>
                <w:szCs w:val="21"/>
              </w:rPr>
              <w:t>77,354,638.84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c>
          <w:tcPr>
            <w:tcW w:w="1671" w:type="dxa"/>
            <w:vAlign w:val="center"/>
          </w:tcPr>
          <w:p>
            <w:pPr>
              <w:autoSpaceDE w:val="0"/>
              <w:autoSpaceDN w:val="0"/>
              <w:adjustRightInd w:val="0"/>
              <w:snapToGrid w:val="0"/>
              <w:jc w:val="center"/>
              <w:rPr>
                <w:szCs w:val="21"/>
              </w:rPr>
            </w:pPr>
            <w:r>
              <w:rPr>
                <w:rFonts w:hint="eastAsia"/>
                <w:szCs w:val="21"/>
              </w:rPr>
              <w:t>合计</w:t>
            </w:r>
          </w:p>
        </w:tc>
        <w:tc>
          <w:tcPr>
            <w:tcW w:w="1798" w:type="dxa"/>
            <w:vAlign w:val="center"/>
          </w:tcPr>
          <w:p>
            <w:pPr>
              <w:autoSpaceDE w:val="0"/>
              <w:autoSpaceDN w:val="0"/>
              <w:adjustRightInd w:val="0"/>
              <w:snapToGrid w:val="0"/>
              <w:ind w:right="180"/>
              <w:jc w:val="right"/>
              <w:rPr>
                <w:szCs w:val="21"/>
              </w:rPr>
            </w:pPr>
            <w:r>
              <w:rPr>
                <w:rFonts w:hint="eastAsia"/>
                <w:color w:val="auto"/>
                <w:szCs w:val="21"/>
              </w:rPr>
              <w:t>252,166,141.87</w:t>
            </w:r>
          </w:p>
        </w:tc>
        <w:tc>
          <w:tcPr>
            <w:tcW w:w="1803" w:type="dxa"/>
            <w:vAlign w:val="center"/>
          </w:tcPr>
          <w:p>
            <w:pPr>
              <w:autoSpaceDE w:val="0"/>
              <w:autoSpaceDN w:val="0"/>
              <w:adjustRightInd w:val="0"/>
              <w:snapToGrid w:val="0"/>
              <w:ind w:right="180"/>
              <w:jc w:val="right"/>
              <w:rPr>
                <w:szCs w:val="21"/>
              </w:rPr>
            </w:pPr>
            <w:r>
              <w:rPr>
                <w:rFonts w:hint="eastAsia"/>
                <w:color w:val="auto"/>
                <w:szCs w:val="21"/>
              </w:rPr>
              <w:t> </w:t>
            </w:r>
          </w:p>
        </w:tc>
        <w:tc>
          <w:tcPr>
            <w:tcW w:w="1815" w:type="dxa"/>
            <w:vAlign w:val="center"/>
          </w:tcPr>
          <w:p>
            <w:pPr>
              <w:autoSpaceDE w:val="0"/>
              <w:autoSpaceDN w:val="0"/>
              <w:adjustRightInd w:val="0"/>
              <w:snapToGrid w:val="0"/>
              <w:ind w:right="180"/>
              <w:jc w:val="right"/>
              <w:rPr>
                <w:szCs w:val="21"/>
              </w:rPr>
            </w:pPr>
            <w:r>
              <w:rPr>
                <w:rFonts w:hint="eastAsia"/>
                <w:color w:val="auto"/>
                <w:szCs w:val="21"/>
              </w:rPr>
              <w:t> </w:t>
            </w:r>
          </w:p>
        </w:tc>
        <w:tc>
          <w:tcPr>
            <w:tcW w:w="1803" w:type="dxa"/>
            <w:vAlign w:val="center"/>
          </w:tcPr>
          <w:p>
            <w:pPr>
              <w:autoSpaceDE w:val="0"/>
              <w:autoSpaceDN w:val="0"/>
              <w:adjustRightInd w:val="0"/>
              <w:snapToGrid w:val="0"/>
              <w:ind w:right="180"/>
              <w:jc w:val="right"/>
              <w:rPr>
                <w:szCs w:val="21"/>
              </w:rPr>
            </w:pPr>
            <w:r>
              <w:rPr>
                <w:rFonts w:hint="eastAsia"/>
                <w:color w:val="auto"/>
                <w:szCs w:val="21"/>
              </w:rPr>
              <w:t>252,166,141.87</w:t>
            </w:r>
          </w:p>
        </w:tc>
      </w:tr>
    </w:tbl>
    <w:p>
      <w:pPr>
        <w:spacing w:before="60" w:after="60"/>
        <w:rPr>
          <w:szCs w:val="21"/>
        </w:rPr>
      </w:pPr>
      <w:r>
        <w:rPr>
          <w:rFonts w:hint="eastAsia"/>
          <w:szCs w:val="21"/>
        </w:rPr>
        <w:t>盈余公积说明，包括本期增减变动情况、变动原因说明：</w:t>
      </w:r>
    </w:p>
    <w:sdt>
      <w:sdtPr>
        <w:rPr>
          <w:szCs w:val="21"/>
        </w:rPr>
        <w:alias w:val="盈余公积说明"/>
        <w:tag w:val="_GBC_538b8c4ba55d480592f5f9485177617e"/>
        <w:id w:val="7577"/>
        <w:placeholder>
          <w:docPart w:val="GBC22222222222222222222222222222"/>
        </w:placeholder>
      </w:sdtPr>
      <w:sdtEndPr>
        <w:rPr>
          <w:szCs w:val="21"/>
        </w:rPr>
      </w:sdtEndPr>
      <w:sdtContent>
        <w:p>
          <w:pPr>
            <w:autoSpaceDE w:val="0"/>
            <w:autoSpaceDN w:val="0"/>
            <w:adjustRightInd w:val="0"/>
            <w:rPr>
              <w:szCs w:val="21"/>
            </w:rPr>
          </w:pPr>
          <w:r>
            <w:rPr>
              <w:rFonts w:hint="eastAsia"/>
              <w:szCs w:val="21"/>
            </w:rPr>
            <w:t>无</w:t>
          </w:r>
        </w:p>
      </w:sdtContent>
    </w:sdt>
    <w:p>
      <w:pPr>
        <w:autoSpaceDE w:val="0"/>
        <w:autoSpaceDN w:val="0"/>
        <w:adjustRightInd w:val="0"/>
        <w:rPr>
          <w:color w:val="000000" w:themeColor="text1"/>
          <w:szCs w:val="21"/>
          <w14:textFill>
            <w14:solidFill>
              <w14:schemeClr w14:val="tx1"/>
            </w14:solidFill>
          </w14:textFill>
        </w:rPr>
      </w:pPr>
    </w:p>
    <w:p>
      <w:pPr>
        <w:pStyle w:val="4"/>
        <w:numPr>
          <w:ilvl w:val="0"/>
          <w:numId w:val="62"/>
        </w:numPr>
        <w:tabs>
          <w:tab w:val="left" w:pos="504"/>
        </w:tabs>
        <w:rPr>
          <w:rFonts w:hint="eastAsia" w:ascii="宋体" w:hAnsi="宋体"/>
          <w:szCs w:val="21"/>
        </w:rPr>
      </w:pPr>
      <w:r>
        <w:rPr>
          <w:rFonts w:hint="eastAsia" w:ascii="宋体" w:hAnsi="宋体"/>
          <w:szCs w:val="21"/>
        </w:rPr>
        <w:t>未分配利润</w:t>
      </w:r>
    </w:p>
    <w:p>
      <w:sdt>
        <w:sdtPr>
          <w:alias w:val="是否适用：未分配利润[双击切换]"/>
          <w:tag w:val="_GBC_0ccb002da9b649db91afd1ca2a9330f8"/>
          <w:id w:val="7578"/>
          <w:lock w:val="contentLocked"/>
          <w:placeholder>
            <w:docPart w:val="GBC22222222222222222222222222222"/>
          </w:placeholder>
        </w:sdtPr>
        <w:sdtContent>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pPr>
        <w:jc w:val="right"/>
        <w:rPr>
          <w:szCs w:val="21"/>
        </w:rPr>
      </w:pPr>
      <w:r>
        <w:rPr>
          <w:rFonts w:hint="eastAsia"/>
          <w:szCs w:val="21"/>
        </w:rPr>
        <w:t>单位：</w:t>
      </w:r>
      <w:sdt>
        <w:sdtPr>
          <w:rPr>
            <w:rFonts w:hint="eastAsia"/>
            <w:szCs w:val="21"/>
          </w:rPr>
          <w:alias w:val="单位：财务附注：未分配利润"/>
          <w:tag w:val="_GBC_fc12fabcd66949d39f6f74b747284465"/>
          <w:id w:val="757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未分配利润"/>
          <w:tag w:val="_GBC_7b3accd97aa744c08d773ec06b05684e"/>
          <w:id w:val="758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3491"/>
        <w:gridCol w:w="2826"/>
        <w:gridCol w:w="2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491" w:type="dxa"/>
            <w:vAlign w:val="center"/>
          </w:tcPr>
          <w:sdt>
            <w:sdtPr>
              <w:tag w:val="_PLD_30da0a90f08b46f090b6fee887a691bc"/>
              <w:id w:val="7581"/>
            </w:sdtPr>
            <w:sdtContent>
              <w:p>
                <w:pPr>
                  <w:jc w:val="center"/>
                  <w:rPr>
                    <w:szCs w:val="21"/>
                  </w:rPr>
                </w:pPr>
                <w:r>
                  <w:rPr>
                    <w:rFonts w:hint="eastAsia"/>
                    <w:szCs w:val="21"/>
                  </w:rPr>
                  <w:t>项目</w:t>
                </w:r>
              </w:p>
            </w:sdtContent>
          </w:sdt>
        </w:tc>
        <w:tc>
          <w:tcPr>
            <w:tcW w:w="2826" w:type="dxa"/>
            <w:vAlign w:val="center"/>
          </w:tcPr>
          <w:sdt>
            <w:sdtPr>
              <w:tag w:val="_PLD_27c0ff4064964dc5b9e335151d04b603"/>
              <w:id w:val="7582"/>
            </w:sdtPr>
            <w:sdtContent>
              <w:p>
                <w:pPr>
                  <w:jc w:val="center"/>
                  <w:rPr>
                    <w:szCs w:val="21"/>
                  </w:rPr>
                </w:pPr>
                <w:r>
                  <w:rPr>
                    <w:rFonts w:hint="eastAsia"/>
                    <w:szCs w:val="21"/>
                  </w:rPr>
                  <w:t>本期</w:t>
                </w:r>
              </w:p>
            </w:sdtContent>
          </w:sdt>
        </w:tc>
        <w:tc>
          <w:tcPr>
            <w:tcW w:w="2739" w:type="dxa"/>
            <w:vAlign w:val="center"/>
          </w:tcPr>
          <w:sdt>
            <w:sdtPr>
              <w:tag w:val="_PLD_613460741a0147b7be8212812793694e"/>
              <w:id w:val="7583"/>
            </w:sdtPr>
            <w:sdtContent>
              <w:p>
                <w:pPr>
                  <w:jc w:val="center"/>
                  <w:rPr>
                    <w:szCs w:val="21"/>
                  </w:rPr>
                </w:pPr>
                <w:r>
                  <w:rPr>
                    <w:rFonts w:hint="eastAsia"/>
                    <w:szCs w:val="21"/>
                  </w:rPr>
                  <w:t>上期</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491" w:type="dxa"/>
            <w:vAlign w:val="center"/>
          </w:tcPr>
          <w:p>
            <w:pPr>
              <w:rPr>
                <w:szCs w:val="21"/>
              </w:rPr>
            </w:pPr>
            <w:r>
              <w:rPr>
                <w:rFonts w:hint="eastAsia"/>
                <w:szCs w:val="21"/>
              </w:rPr>
              <w:t>调整前上期末未分配利润</w:t>
            </w:r>
          </w:p>
        </w:tc>
        <w:tc>
          <w:tcPr>
            <w:tcW w:w="2826" w:type="dxa"/>
            <w:vAlign w:val="center"/>
          </w:tcPr>
          <w:p>
            <w:pPr>
              <w:ind w:right="6"/>
              <w:jc w:val="right"/>
              <w:rPr>
                <w:szCs w:val="21"/>
              </w:rPr>
            </w:pPr>
            <w:r>
              <w:rPr>
                <w:rFonts w:hint="eastAsia"/>
                <w:color w:val="auto"/>
              </w:rPr>
              <w:t>206,206,942.51</w:t>
            </w:r>
          </w:p>
        </w:tc>
        <w:tc>
          <w:tcPr>
            <w:tcW w:w="2739" w:type="dxa"/>
            <w:vAlign w:val="center"/>
          </w:tcPr>
          <w:p>
            <w:pPr>
              <w:jc w:val="right"/>
              <w:rPr>
                <w:szCs w:val="21"/>
              </w:rPr>
            </w:pPr>
            <w:r>
              <w:rPr>
                <w:rFonts w:hint="eastAsia"/>
                <w:color w:val="auto"/>
              </w:rPr>
              <w:t>148,075,203.88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491" w:type="dxa"/>
            <w:vAlign w:val="center"/>
          </w:tcPr>
          <w:p>
            <w:pPr>
              <w:rPr>
                <w:szCs w:val="21"/>
              </w:rPr>
            </w:pPr>
            <w:r>
              <w:rPr>
                <w:rFonts w:hint="eastAsia"/>
                <w:szCs w:val="21"/>
              </w:rPr>
              <w:t>调整期初未分配利润合计数（调增</w:t>
            </w:r>
            <w:r>
              <w:rPr>
                <w:szCs w:val="21"/>
              </w:rPr>
              <w:t>+</w:t>
            </w:r>
            <w:r>
              <w:rPr>
                <w:rFonts w:hint="eastAsia"/>
                <w:szCs w:val="21"/>
              </w:rPr>
              <w:t>，调减－）</w:t>
            </w:r>
          </w:p>
        </w:tc>
        <w:tc>
          <w:tcPr>
            <w:tcW w:w="2826" w:type="dxa"/>
            <w:vAlign w:val="center"/>
          </w:tcPr>
          <w:p>
            <w:pPr>
              <w:ind w:right="6"/>
              <w:jc w:val="right"/>
              <w:rPr>
                <w:szCs w:val="21"/>
              </w:rPr>
            </w:pPr>
          </w:p>
        </w:tc>
        <w:tc>
          <w:tcPr>
            <w:tcW w:w="2739" w:type="dxa"/>
            <w:vAlign w:val="center"/>
          </w:tcPr>
          <w:p>
            <w:pPr>
              <w:ind w:right="6"/>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491" w:type="dxa"/>
            <w:vAlign w:val="center"/>
          </w:tcPr>
          <w:p>
            <w:pPr>
              <w:rPr>
                <w:szCs w:val="21"/>
              </w:rPr>
            </w:pPr>
            <w:r>
              <w:rPr>
                <w:rFonts w:hint="eastAsia"/>
                <w:szCs w:val="21"/>
              </w:rPr>
              <w:t>调整后期初未分配利润</w:t>
            </w:r>
          </w:p>
        </w:tc>
        <w:tc>
          <w:tcPr>
            <w:tcW w:w="2826" w:type="dxa"/>
            <w:vAlign w:val="center"/>
          </w:tcPr>
          <w:p>
            <w:pPr>
              <w:ind w:right="6"/>
              <w:jc w:val="right"/>
              <w:rPr>
                <w:szCs w:val="21"/>
              </w:rPr>
            </w:pPr>
            <w:r>
              <w:rPr>
                <w:rFonts w:hint="eastAsia"/>
                <w:color w:val="auto"/>
              </w:rPr>
              <w:t>206,206,942.51</w:t>
            </w:r>
          </w:p>
        </w:tc>
        <w:tc>
          <w:tcPr>
            <w:tcW w:w="2739" w:type="dxa"/>
            <w:vAlign w:val="center"/>
          </w:tcPr>
          <w:p>
            <w:pPr>
              <w:ind w:right="6"/>
              <w:jc w:val="right"/>
              <w:rPr>
                <w:szCs w:val="21"/>
              </w:rPr>
            </w:pPr>
            <w:r>
              <w:rPr>
                <w:rFonts w:hint="eastAsia"/>
                <w:color w:val="auto"/>
                <w:szCs w:val="21"/>
              </w:rPr>
              <w:t>148,075,203.88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491" w:type="dxa"/>
            <w:vAlign w:val="center"/>
          </w:tcPr>
          <w:p>
            <w:pPr>
              <w:ind w:right="6"/>
              <w:rPr>
                <w:szCs w:val="21"/>
              </w:rPr>
            </w:pPr>
            <w:r>
              <w:rPr>
                <w:rFonts w:hint="eastAsia"/>
                <w:szCs w:val="21"/>
              </w:rPr>
              <w:t>加：本期归属于母公司所有者的净利润</w:t>
            </w:r>
          </w:p>
        </w:tc>
        <w:tc>
          <w:tcPr>
            <w:tcW w:w="2826" w:type="dxa"/>
            <w:vAlign w:val="center"/>
          </w:tcPr>
          <w:p>
            <w:pPr>
              <w:ind w:right="6"/>
              <w:jc w:val="right"/>
              <w:rPr>
                <w:szCs w:val="21"/>
              </w:rPr>
            </w:pPr>
            <w:r>
              <w:rPr>
                <w:rFonts w:hint="eastAsia"/>
                <w:color w:val="auto"/>
              </w:rPr>
              <w:t>9,846,147.90</w:t>
            </w:r>
          </w:p>
        </w:tc>
        <w:tc>
          <w:tcPr>
            <w:tcW w:w="2739" w:type="dxa"/>
            <w:vAlign w:val="center"/>
          </w:tcPr>
          <w:p>
            <w:pPr>
              <w:ind w:right="6"/>
              <w:jc w:val="right"/>
              <w:rPr>
                <w:szCs w:val="21"/>
              </w:rPr>
            </w:pPr>
            <w:r>
              <w:rPr>
                <w:rFonts w:hint="eastAsia"/>
                <w:color w:val="auto"/>
                <w:szCs w:val="21"/>
              </w:rPr>
              <w:t>81,098,815.85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491" w:type="dxa"/>
            <w:vAlign w:val="center"/>
          </w:tcPr>
          <w:p>
            <w:pPr>
              <w:autoSpaceDE w:val="0"/>
              <w:autoSpaceDN w:val="0"/>
              <w:adjustRightInd w:val="0"/>
              <w:rPr>
                <w:szCs w:val="21"/>
              </w:rPr>
            </w:pPr>
            <w:r>
              <w:rPr>
                <w:rFonts w:hint="eastAsia"/>
                <w:szCs w:val="21"/>
              </w:rPr>
              <w:t>减：提取法定盈余公积</w:t>
            </w:r>
          </w:p>
        </w:tc>
        <w:tc>
          <w:tcPr>
            <w:tcW w:w="2826" w:type="dxa"/>
            <w:vAlign w:val="center"/>
          </w:tcPr>
          <w:p>
            <w:pPr>
              <w:jc w:val="right"/>
              <w:rPr>
                <w:szCs w:val="21"/>
              </w:rPr>
            </w:pPr>
          </w:p>
        </w:tc>
        <w:tc>
          <w:tcPr>
            <w:tcW w:w="2739" w:type="dxa"/>
            <w:vAlign w:val="center"/>
          </w:tcPr>
          <w:p>
            <w:pPr>
              <w:ind w:right="6"/>
              <w:jc w:val="right"/>
              <w:rPr>
                <w:rFonts w:hint="eastAsia" w:eastAsia="宋体"/>
                <w:szCs w:val="21"/>
                <w:lang w:eastAsia="zh-CN"/>
              </w:rPr>
            </w:pPr>
            <w:r>
              <w:rPr>
                <w:rFonts w:hint="eastAsia"/>
                <w:color w:val="auto"/>
                <w:szCs w:val="21"/>
                <w:lang w:eastAsia="zh-CN"/>
              </w:rPr>
              <w:t>6,467,077.22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491" w:type="dxa"/>
            <w:vAlign w:val="center"/>
          </w:tcPr>
          <w:p>
            <w:pPr>
              <w:autoSpaceDE w:val="0"/>
              <w:autoSpaceDN w:val="0"/>
              <w:adjustRightInd w:val="0"/>
              <w:ind w:firstLine="420"/>
              <w:rPr>
                <w:szCs w:val="21"/>
              </w:rPr>
            </w:pPr>
            <w:r>
              <w:rPr>
                <w:rFonts w:hint="eastAsia"/>
                <w:szCs w:val="21"/>
              </w:rPr>
              <w:t>提取任意盈余公积</w:t>
            </w:r>
          </w:p>
        </w:tc>
        <w:tc>
          <w:tcPr>
            <w:tcW w:w="2826" w:type="dxa"/>
            <w:vAlign w:val="center"/>
          </w:tcPr>
          <w:p>
            <w:pPr>
              <w:jc w:val="right"/>
              <w:rPr>
                <w:szCs w:val="21"/>
              </w:rPr>
            </w:pPr>
          </w:p>
        </w:tc>
        <w:tc>
          <w:tcPr>
            <w:tcW w:w="2739" w:type="dxa"/>
            <w:vAlign w:val="center"/>
          </w:tcPr>
          <w:p>
            <w:pPr>
              <w:ind w:right="6"/>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491" w:type="dxa"/>
            <w:vAlign w:val="center"/>
          </w:tcPr>
          <w:p>
            <w:pPr>
              <w:autoSpaceDE w:val="0"/>
              <w:autoSpaceDN w:val="0"/>
              <w:adjustRightInd w:val="0"/>
              <w:ind w:firstLine="420"/>
              <w:rPr>
                <w:szCs w:val="21"/>
              </w:rPr>
            </w:pPr>
            <w:r>
              <w:rPr>
                <w:rFonts w:hint="eastAsia"/>
                <w:szCs w:val="21"/>
              </w:rPr>
              <w:t>提取一般风险准备</w:t>
            </w:r>
          </w:p>
        </w:tc>
        <w:tc>
          <w:tcPr>
            <w:tcW w:w="2826" w:type="dxa"/>
            <w:vAlign w:val="center"/>
          </w:tcPr>
          <w:p>
            <w:pPr>
              <w:jc w:val="right"/>
              <w:rPr>
                <w:szCs w:val="21"/>
              </w:rPr>
            </w:pPr>
          </w:p>
        </w:tc>
        <w:tc>
          <w:tcPr>
            <w:tcW w:w="2739" w:type="dxa"/>
            <w:vAlign w:val="center"/>
          </w:tcPr>
          <w:p>
            <w:pPr>
              <w:ind w:right="6"/>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491" w:type="dxa"/>
            <w:vAlign w:val="center"/>
          </w:tcPr>
          <w:p>
            <w:pPr>
              <w:autoSpaceDE w:val="0"/>
              <w:autoSpaceDN w:val="0"/>
              <w:adjustRightInd w:val="0"/>
              <w:ind w:firstLine="420"/>
              <w:rPr>
                <w:szCs w:val="21"/>
              </w:rPr>
            </w:pPr>
            <w:r>
              <w:rPr>
                <w:rFonts w:hint="eastAsia"/>
                <w:szCs w:val="21"/>
              </w:rPr>
              <w:t>应付普通股股利</w:t>
            </w:r>
          </w:p>
        </w:tc>
        <w:tc>
          <w:tcPr>
            <w:tcW w:w="2826" w:type="dxa"/>
            <w:vAlign w:val="center"/>
          </w:tcPr>
          <w:p>
            <w:pPr>
              <w:jc w:val="right"/>
              <w:rPr>
                <w:szCs w:val="21"/>
              </w:rPr>
            </w:pPr>
            <w:r>
              <w:rPr>
                <w:rFonts w:hint="eastAsia"/>
                <w:color w:val="auto"/>
              </w:rPr>
              <w:t>16,500,000.00</w:t>
            </w:r>
          </w:p>
        </w:tc>
        <w:tc>
          <w:tcPr>
            <w:tcW w:w="2739" w:type="dxa"/>
            <w:vAlign w:val="center"/>
          </w:tcPr>
          <w:p>
            <w:pPr>
              <w:ind w:right="6"/>
              <w:jc w:val="right"/>
              <w:rPr>
                <w:szCs w:val="21"/>
              </w:rPr>
            </w:pPr>
            <w:r>
              <w:rPr>
                <w:rFonts w:hint="eastAsia"/>
                <w:color w:val="auto"/>
                <w:szCs w:val="21"/>
              </w:rPr>
              <w:t>16,500,000.00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491" w:type="dxa"/>
            <w:vAlign w:val="center"/>
          </w:tcPr>
          <w:p>
            <w:pPr>
              <w:autoSpaceDE w:val="0"/>
              <w:autoSpaceDN w:val="0"/>
              <w:adjustRightInd w:val="0"/>
              <w:ind w:firstLine="420"/>
              <w:rPr>
                <w:szCs w:val="21"/>
              </w:rPr>
            </w:pPr>
            <w:r>
              <w:rPr>
                <w:rFonts w:hint="eastAsia"/>
                <w:szCs w:val="21"/>
              </w:rPr>
              <w:t>转作股本的普通股股利</w:t>
            </w:r>
          </w:p>
        </w:tc>
        <w:tc>
          <w:tcPr>
            <w:tcW w:w="2826" w:type="dxa"/>
            <w:vAlign w:val="center"/>
          </w:tcPr>
          <w:p>
            <w:pPr>
              <w:jc w:val="right"/>
              <w:rPr>
                <w:szCs w:val="21"/>
              </w:rPr>
            </w:pPr>
          </w:p>
        </w:tc>
        <w:tc>
          <w:tcPr>
            <w:tcW w:w="2739" w:type="dxa"/>
            <w:vAlign w:val="center"/>
          </w:tcPr>
          <w:p>
            <w:pPr>
              <w:ind w:right="6"/>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491" w:type="dxa"/>
            <w:vAlign w:val="center"/>
          </w:tcPr>
          <w:p>
            <w:pPr>
              <w:autoSpaceDE w:val="0"/>
              <w:autoSpaceDN w:val="0"/>
              <w:adjustRightInd w:val="0"/>
              <w:rPr>
                <w:rFonts w:hint="eastAsia"/>
                <w:szCs w:val="21"/>
              </w:rPr>
            </w:pPr>
            <w:r>
              <w:rPr>
                <w:rFonts w:hint="eastAsia"/>
                <w:color w:val="auto"/>
                <w:szCs w:val="21"/>
              </w:rPr>
              <w:t>其他</w:t>
            </w:r>
          </w:p>
        </w:tc>
        <w:tc>
          <w:tcPr>
            <w:tcW w:w="2826" w:type="dxa"/>
            <w:vAlign w:val="center"/>
          </w:tcPr>
          <w:p>
            <w:pPr>
              <w:ind w:right="6"/>
              <w:jc w:val="right"/>
              <w:rPr>
                <w:szCs w:val="21"/>
              </w:rPr>
            </w:pPr>
          </w:p>
        </w:tc>
        <w:tc>
          <w:tcPr>
            <w:tcW w:w="2739" w:type="dxa"/>
            <w:vAlign w:val="center"/>
          </w:tcPr>
          <w:p>
            <w:pPr>
              <w:ind w:right="6"/>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491" w:type="dxa"/>
            <w:vAlign w:val="center"/>
          </w:tcPr>
          <w:p>
            <w:pPr>
              <w:autoSpaceDE w:val="0"/>
              <w:autoSpaceDN w:val="0"/>
              <w:adjustRightInd w:val="0"/>
              <w:rPr>
                <w:szCs w:val="21"/>
              </w:rPr>
            </w:pPr>
            <w:r>
              <w:rPr>
                <w:rFonts w:hint="eastAsia"/>
                <w:szCs w:val="21"/>
              </w:rPr>
              <w:t>期末未分配利润</w:t>
            </w:r>
          </w:p>
        </w:tc>
        <w:tc>
          <w:tcPr>
            <w:tcW w:w="2826" w:type="dxa"/>
            <w:vAlign w:val="center"/>
          </w:tcPr>
          <w:p>
            <w:pPr>
              <w:jc w:val="right"/>
              <w:rPr>
                <w:szCs w:val="21"/>
              </w:rPr>
            </w:pPr>
            <w:r>
              <w:rPr>
                <w:rFonts w:hint="eastAsia"/>
                <w:color w:val="auto"/>
              </w:rPr>
              <w:t>199,553,090.41</w:t>
            </w:r>
          </w:p>
        </w:tc>
        <w:tc>
          <w:tcPr>
            <w:tcW w:w="2739" w:type="dxa"/>
            <w:vAlign w:val="center"/>
          </w:tcPr>
          <w:p>
            <w:pPr>
              <w:ind w:right="6"/>
              <w:jc w:val="right"/>
              <w:rPr>
                <w:szCs w:val="21"/>
              </w:rPr>
            </w:pPr>
            <w:r>
              <w:rPr>
                <w:rFonts w:hint="eastAsia"/>
                <w:color w:val="auto"/>
                <w:szCs w:val="21"/>
              </w:rPr>
              <w:t>206,206,942.51</w:t>
            </w:r>
          </w:p>
        </w:tc>
      </w:tr>
    </w:tbl>
    <w:p>
      <w:pPr>
        <w:keepNext w:val="0"/>
        <w:keepLines w:val="0"/>
        <w:pageBreakBefore w:val="0"/>
        <w:widowControl/>
        <w:kinsoku/>
        <w:wordWrap/>
        <w:overflowPunct/>
        <w:topLinePunct w:val="0"/>
        <w:autoSpaceDE/>
        <w:autoSpaceDN/>
        <w:bidi w:val="0"/>
        <w:adjustRightInd/>
        <w:snapToGrid/>
        <w:spacing w:before="60" w:after="60" w:line="400" w:lineRule="exact"/>
        <w:textAlignment w:val="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调整期初未分配利润明细：</w:t>
      </w:r>
    </w:p>
    <w:p>
      <w:pPr>
        <w:keepNext w:val="0"/>
        <w:keepLines w:val="0"/>
        <w:pageBreakBefore w:val="0"/>
        <w:widowControl/>
        <w:kinsoku/>
        <w:wordWrap/>
        <w:overflowPunct/>
        <w:topLinePunct w:val="0"/>
        <w:autoSpaceDE/>
        <w:autoSpaceDN/>
        <w:bidi w:val="0"/>
        <w:adjustRightInd/>
        <w:snapToGrid/>
        <w:spacing w:line="400" w:lineRule="exact"/>
        <w:textAlignment w:val="auto"/>
        <w:rPr>
          <w:sz w:val="21"/>
          <w:szCs w:val="21"/>
        </w:rPr>
      </w:pPr>
      <w:r>
        <w:rPr>
          <w:rFonts w:hint="eastAsia"/>
          <w:sz w:val="21"/>
          <w:szCs w:val="21"/>
        </w:rPr>
        <w:t>1、由于《企业会计准则》及其相关新规定进行追溯调整，影响期初未分配利润</w:t>
      </w:r>
      <w:sdt>
        <w:sdtPr>
          <w:rPr>
            <w:rFonts w:hint="eastAsia"/>
            <w:sz w:val="21"/>
            <w:szCs w:val="21"/>
          </w:rPr>
          <w:alias w:val="依据《企业会计准则》及其相关规定进行追溯调整影响年初未分配利润合计"/>
          <w:tag w:val="_GBC_1fcb28b764eb43c48b913d5e107ed4eb"/>
          <w:id w:val="7584"/>
          <w:placeholder>
            <w:docPart w:val="GBC22222222222222222222222222222"/>
          </w:placeholder>
        </w:sdtPr>
        <w:sdtEndPr>
          <w:rPr>
            <w:rFonts w:hint="eastAsia"/>
            <w:sz w:val="21"/>
            <w:szCs w:val="21"/>
          </w:rPr>
        </w:sdtEndPr>
        <w:sdtContent>
          <w:r>
            <w:rPr>
              <w:rFonts w:hint="eastAsia"/>
              <w:sz w:val="21"/>
              <w:szCs w:val="21"/>
            </w:rPr>
            <w:t>0</w:t>
          </w:r>
        </w:sdtContent>
      </w:sdt>
      <w:r>
        <w:rPr>
          <w:rFonts w:hint="eastAsia"/>
          <w:sz w:val="21"/>
          <w:szCs w:val="21"/>
        </w:rPr>
        <w:t xml:space="preserve"> 元。</w:t>
      </w:r>
    </w:p>
    <w:p>
      <w:pPr>
        <w:keepNext w:val="0"/>
        <w:keepLines w:val="0"/>
        <w:pageBreakBefore w:val="0"/>
        <w:widowControl/>
        <w:kinsoku/>
        <w:wordWrap/>
        <w:overflowPunct/>
        <w:topLinePunct w:val="0"/>
        <w:autoSpaceDE/>
        <w:autoSpaceDN/>
        <w:bidi w:val="0"/>
        <w:adjustRightInd/>
        <w:snapToGrid/>
        <w:spacing w:line="400" w:lineRule="exact"/>
        <w:textAlignment w:val="auto"/>
        <w:rPr>
          <w:sz w:val="21"/>
          <w:szCs w:val="21"/>
        </w:rPr>
      </w:pPr>
      <w:r>
        <w:rPr>
          <w:rFonts w:hint="eastAsia"/>
          <w:sz w:val="21"/>
          <w:szCs w:val="21"/>
        </w:rPr>
        <w:t>2、由于会计政策变更，影响期初未分配利润</w:t>
      </w:r>
      <w:sdt>
        <w:sdtPr>
          <w:rPr>
            <w:rFonts w:hint="eastAsia"/>
            <w:sz w:val="21"/>
            <w:szCs w:val="21"/>
          </w:rPr>
          <w:alias w:val="由于会计政策变更影响年初未分配利润"/>
          <w:tag w:val="_GBC_0f2691a265a44dd08d91157d1df0cf3f"/>
          <w:id w:val="7585"/>
          <w:placeholder>
            <w:docPart w:val="GBC22222222222222222222222222222"/>
          </w:placeholder>
        </w:sdtPr>
        <w:sdtEndPr>
          <w:rPr>
            <w:rFonts w:hint="eastAsia"/>
            <w:sz w:val="21"/>
            <w:szCs w:val="21"/>
          </w:rPr>
        </w:sdtEndPr>
        <w:sdtContent>
          <w:r>
            <w:rPr>
              <w:rFonts w:hint="eastAsia"/>
              <w:sz w:val="21"/>
              <w:szCs w:val="21"/>
            </w:rPr>
            <w:t>0</w:t>
          </w:r>
        </w:sdtContent>
      </w:sdt>
      <w:r>
        <w:rPr>
          <w:rFonts w:hint="eastAsia"/>
          <w:sz w:val="21"/>
          <w:szCs w:val="21"/>
        </w:rPr>
        <w:t xml:space="preserve"> 元。</w:t>
      </w:r>
    </w:p>
    <w:p>
      <w:pPr>
        <w:keepNext w:val="0"/>
        <w:keepLines w:val="0"/>
        <w:pageBreakBefore w:val="0"/>
        <w:widowControl/>
        <w:kinsoku/>
        <w:wordWrap/>
        <w:overflowPunct/>
        <w:topLinePunct w:val="0"/>
        <w:autoSpaceDE/>
        <w:autoSpaceDN/>
        <w:bidi w:val="0"/>
        <w:adjustRightInd/>
        <w:snapToGrid/>
        <w:spacing w:line="400" w:lineRule="exact"/>
        <w:textAlignment w:val="auto"/>
        <w:rPr>
          <w:sz w:val="21"/>
          <w:szCs w:val="21"/>
        </w:rPr>
      </w:pPr>
      <w:r>
        <w:rPr>
          <w:rFonts w:hint="eastAsia"/>
          <w:sz w:val="21"/>
          <w:szCs w:val="21"/>
        </w:rPr>
        <w:t>3、由于重大会计差错更正，影响期初未分配利润</w:t>
      </w:r>
      <w:sdt>
        <w:sdtPr>
          <w:rPr>
            <w:rFonts w:hint="eastAsia"/>
            <w:sz w:val="21"/>
            <w:szCs w:val="21"/>
          </w:rPr>
          <w:alias w:val="由于重大会计差错更正影响年初未分配利润"/>
          <w:tag w:val="_GBC_6558a990019646559dec1140b9f53b0c"/>
          <w:id w:val="7586"/>
          <w:placeholder>
            <w:docPart w:val="GBC22222222222222222222222222222"/>
          </w:placeholder>
        </w:sdtPr>
        <w:sdtEndPr>
          <w:rPr>
            <w:rFonts w:hint="eastAsia"/>
            <w:sz w:val="21"/>
            <w:szCs w:val="21"/>
          </w:rPr>
        </w:sdtEndPr>
        <w:sdtContent>
          <w:r>
            <w:rPr>
              <w:rFonts w:hint="eastAsia"/>
              <w:sz w:val="21"/>
              <w:szCs w:val="21"/>
            </w:rPr>
            <w:t>0</w:t>
          </w:r>
        </w:sdtContent>
      </w:sdt>
      <w:r>
        <w:rPr>
          <w:rFonts w:hint="eastAsia"/>
          <w:sz w:val="21"/>
          <w:szCs w:val="21"/>
        </w:rPr>
        <w:t xml:space="preserve"> 元。</w:t>
      </w:r>
    </w:p>
    <w:p>
      <w:pPr>
        <w:keepNext w:val="0"/>
        <w:keepLines w:val="0"/>
        <w:pageBreakBefore w:val="0"/>
        <w:widowControl/>
        <w:kinsoku/>
        <w:wordWrap/>
        <w:overflowPunct/>
        <w:topLinePunct w:val="0"/>
        <w:autoSpaceDE/>
        <w:autoSpaceDN/>
        <w:bidi w:val="0"/>
        <w:adjustRightInd/>
        <w:snapToGrid/>
        <w:spacing w:line="400" w:lineRule="exact"/>
        <w:textAlignment w:val="auto"/>
        <w:rPr>
          <w:sz w:val="21"/>
          <w:szCs w:val="21"/>
        </w:rPr>
      </w:pPr>
      <w:r>
        <w:rPr>
          <w:rFonts w:hint="eastAsia"/>
          <w:sz w:val="21"/>
          <w:szCs w:val="21"/>
        </w:rPr>
        <w:t>4、由于同一控制导致的合并范围变更，影响期初未分配利润</w:t>
      </w:r>
      <w:sdt>
        <w:sdtPr>
          <w:rPr>
            <w:rFonts w:hint="eastAsia"/>
            <w:sz w:val="21"/>
            <w:szCs w:val="21"/>
          </w:rPr>
          <w:alias w:val="同一控制导致的合并范围变更影响年初未分配利润"/>
          <w:tag w:val="_GBC_f30de8253e8b446d94ba7a482cf7cae5"/>
          <w:id w:val="7587"/>
          <w:placeholder>
            <w:docPart w:val="GBC22222222222222222222222222222"/>
          </w:placeholder>
        </w:sdtPr>
        <w:sdtEndPr>
          <w:rPr>
            <w:rFonts w:hint="eastAsia"/>
            <w:sz w:val="21"/>
            <w:szCs w:val="21"/>
          </w:rPr>
        </w:sdtEndPr>
        <w:sdtContent>
          <w:r>
            <w:rPr>
              <w:rFonts w:hint="eastAsia"/>
              <w:sz w:val="21"/>
              <w:szCs w:val="21"/>
            </w:rPr>
            <w:t>0</w:t>
          </w:r>
        </w:sdtContent>
      </w:sdt>
      <w:r>
        <w:rPr>
          <w:rFonts w:hint="eastAsia"/>
          <w:sz w:val="21"/>
          <w:szCs w:val="21"/>
        </w:rPr>
        <w:t xml:space="preserve"> 元。</w:t>
      </w:r>
    </w:p>
    <w:p>
      <w:pPr>
        <w:keepNext w:val="0"/>
        <w:keepLines w:val="0"/>
        <w:pageBreakBefore w:val="0"/>
        <w:widowControl/>
        <w:kinsoku/>
        <w:wordWrap/>
        <w:overflowPunct/>
        <w:topLinePunct w:val="0"/>
        <w:autoSpaceDE/>
        <w:autoSpaceDN/>
        <w:bidi w:val="0"/>
        <w:adjustRightInd/>
        <w:snapToGrid/>
        <w:spacing w:line="400" w:lineRule="exact"/>
        <w:textAlignment w:val="auto"/>
        <w:rPr>
          <w:sz w:val="21"/>
          <w:szCs w:val="21"/>
        </w:rPr>
      </w:pPr>
      <w:r>
        <w:rPr>
          <w:rFonts w:hint="eastAsia"/>
          <w:sz w:val="21"/>
          <w:szCs w:val="21"/>
        </w:rPr>
        <w:t>5、其他调整合计影响期初未分配利润</w:t>
      </w:r>
      <w:sdt>
        <w:sdtPr>
          <w:rPr>
            <w:rFonts w:hint="eastAsia"/>
            <w:sz w:val="21"/>
            <w:szCs w:val="21"/>
          </w:rPr>
          <w:alias w:val="其他调整合计影响年初未分配利润"/>
          <w:tag w:val="_GBC_7fea08c189344f12b9e1dc7c084896bb"/>
          <w:id w:val="7588"/>
          <w:placeholder>
            <w:docPart w:val="GBC22222222222222222222222222222"/>
          </w:placeholder>
        </w:sdtPr>
        <w:sdtEndPr>
          <w:rPr>
            <w:rFonts w:hint="eastAsia"/>
            <w:sz w:val="21"/>
            <w:szCs w:val="21"/>
          </w:rPr>
        </w:sdtEndPr>
        <w:sdtContent>
          <w:r>
            <w:rPr>
              <w:rFonts w:hint="eastAsia"/>
              <w:sz w:val="21"/>
              <w:szCs w:val="21"/>
            </w:rPr>
            <w:t>0</w:t>
          </w:r>
        </w:sdtContent>
      </w:sdt>
      <w:r>
        <w:rPr>
          <w:rFonts w:hint="eastAsia"/>
          <w:sz w:val="21"/>
          <w:szCs w:val="21"/>
        </w:rPr>
        <w:t xml:space="preserve"> 元。</w:t>
      </w:r>
    </w:p>
    <w:p>
      <w:pPr>
        <w:keepNext w:val="0"/>
        <w:keepLines w:val="0"/>
        <w:pageBreakBefore w:val="0"/>
        <w:widowControl/>
        <w:kinsoku/>
        <w:wordWrap/>
        <w:overflowPunct/>
        <w:topLinePunct w:val="0"/>
        <w:autoSpaceDE/>
        <w:autoSpaceDN/>
        <w:bidi w:val="0"/>
        <w:adjustRightInd/>
        <w:snapToGrid/>
        <w:spacing w:line="400" w:lineRule="exact"/>
        <w:textAlignment w:val="auto"/>
        <w:rPr>
          <w:sz w:val="21"/>
          <w:szCs w:val="21"/>
        </w:rPr>
      </w:pPr>
    </w:p>
    <w:sdt>
      <w:sdtPr>
        <w:tag w:val="_PLD_c91e544e4fd64c728e0d48f291cdd66a"/>
        <w:id w:val="7589"/>
      </w:sdtPr>
      <w:sdtEndPr>
        <w:rPr>
          <w:rFonts w:hint="default" w:ascii="Calibri" w:hAnsi="Calibri" w:cs="Times New Roman"/>
          <w:b/>
          <w:bCs/>
          <w:kern w:val="2"/>
        </w:rPr>
      </w:sdtEndPr>
      <w:sdtContent>
        <w:p>
          <w:pPr>
            <w:pStyle w:val="4"/>
            <w:numPr>
              <w:ilvl w:val="0"/>
              <w:numId w:val="62"/>
            </w:numPr>
            <w:tabs>
              <w:tab w:val="left" w:pos="504"/>
            </w:tabs>
            <w:rPr>
              <w:szCs w:val="21"/>
            </w:rPr>
          </w:pPr>
          <w:r>
            <w:rPr>
              <w:szCs w:val="21"/>
            </w:rPr>
            <w:t>营业</w:t>
          </w:r>
          <w:r>
            <w:rPr>
              <w:rFonts w:ascii="宋体" w:hAnsi="宋体"/>
              <w:szCs w:val="21"/>
            </w:rPr>
            <w:t>收入</w:t>
          </w:r>
          <w:r>
            <w:rPr>
              <w:szCs w:val="21"/>
            </w:rPr>
            <w:t>和营业成本</w:t>
          </w:r>
        </w:p>
      </w:sdtContent>
    </w:sdt>
    <w:p>
      <w:pPr>
        <w:pStyle w:val="5"/>
        <w:numPr>
          <w:ilvl w:val="0"/>
          <w:numId w:val="100"/>
        </w:numPr>
        <w:ind w:left="426" w:hanging="426"/>
        <w:rPr>
          <w:rFonts w:hint="eastAsia"/>
        </w:rPr>
      </w:pPr>
      <w:r>
        <w:rPr>
          <w:rFonts w:hint="eastAsia"/>
        </w:rPr>
        <w:t>营业收入和营业成本情况</w:t>
      </w:r>
    </w:p>
    <w:sdt>
      <w:sdtPr>
        <w:alias w:val="是否适用：营业收入和营业成本[双击切换]"/>
        <w:tag w:val="_GBC_c0388196e3634afc823f4b5822c5937a"/>
        <w:id w:val="759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bCs/>
          <w:szCs w:val="21"/>
        </w:rPr>
        <w:t>单位：</w:t>
      </w:r>
      <w:sdt>
        <w:sdtPr>
          <w:rPr>
            <w:rFonts w:hint="eastAsia"/>
            <w:bCs/>
            <w:szCs w:val="21"/>
          </w:rPr>
          <w:alias w:val="单位：财务附注：营业收入"/>
          <w:tag w:val="_GBC_65cadde8ae1e4b178e7f2737b89bb434"/>
          <w:id w:val="759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bCs/>
            <w:szCs w:val="21"/>
          </w:rPr>
        </w:sdtEndPr>
        <w:sdtContent>
          <w:r>
            <w:rPr>
              <w:rFonts w:hint="eastAsia"/>
              <w:bCs/>
              <w:szCs w:val="21"/>
            </w:rPr>
            <w:t>元</w:t>
          </w:r>
        </w:sdtContent>
      </w:sdt>
      <w:r>
        <w:rPr>
          <w:rFonts w:hint="eastAsia"/>
          <w:bCs/>
          <w:szCs w:val="21"/>
        </w:rPr>
        <w:t xml:space="preserve">  币种：</w:t>
      </w:r>
      <w:sdt>
        <w:sdtPr>
          <w:rPr>
            <w:rFonts w:hint="eastAsia"/>
            <w:bCs/>
            <w:szCs w:val="21"/>
          </w:rPr>
          <w:alias w:val="币种：财务附注：营业收入"/>
          <w:tag w:val="_GBC_1371c944b91f437595273e807317f64f"/>
          <w:id w:val="759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bCs/>
            <w:szCs w:val="21"/>
          </w:rPr>
        </w:sdtEndPr>
        <w:sdtContent>
          <w:r>
            <w:rPr>
              <w:rFonts w:hint="eastAsia"/>
              <w:bCs/>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6"/>
        <w:gridCol w:w="1889"/>
        <w:gridCol w:w="1902"/>
        <w:gridCol w:w="1900"/>
        <w:gridCol w:w="1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6" w:type="dxa"/>
            <w:vMerge w:val="restart"/>
            <w:tcBorders>
              <w:top w:val="single" w:color="auto" w:sz="4" w:space="0"/>
              <w:left w:val="single" w:color="auto" w:sz="4" w:space="0"/>
              <w:right w:val="single" w:color="auto" w:sz="4" w:space="0"/>
            </w:tcBorders>
            <w:vAlign w:val="center"/>
          </w:tcPr>
          <w:sdt>
            <w:sdtPr>
              <w:tag w:val="_PLD_77e8683f75cd4c9e919404e1278fe9a0"/>
              <w:id w:val="7593"/>
            </w:sdtPr>
            <w:sdtContent>
              <w:p>
                <w:pPr>
                  <w:jc w:val="center"/>
                  <w:rPr>
                    <w:szCs w:val="21"/>
                  </w:rPr>
                </w:pPr>
                <w:r>
                  <w:rPr>
                    <w:rFonts w:hint="eastAsia"/>
                    <w:szCs w:val="21"/>
                  </w:rPr>
                  <w:t>项目</w:t>
                </w:r>
              </w:p>
            </w:sdtContent>
          </w:sdt>
        </w:tc>
        <w:tc>
          <w:tcPr>
            <w:tcW w:w="3791" w:type="dxa"/>
            <w:gridSpan w:val="2"/>
            <w:tcBorders>
              <w:top w:val="single" w:color="auto" w:sz="4" w:space="0"/>
              <w:left w:val="single" w:color="auto" w:sz="4" w:space="0"/>
              <w:bottom w:val="single" w:color="auto" w:sz="4" w:space="0"/>
              <w:right w:val="single" w:color="auto" w:sz="4" w:space="0"/>
            </w:tcBorders>
            <w:vAlign w:val="center"/>
          </w:tcPr>
          <w:sdt>
            <w:sdtPr>
              <w:tag w:val="_PLD_e956f55a311f45a19dc3ce9396b931c9"/>
              <w:id w:val="7594"/>
            </w:sdtPr>
            <w:sdtContent>
              <w:p>
                <w:pPr>
                  <w:jc w:val="center"/>
                  <w:rPr>
                    <w:szCs w:val="21"/>
                  </w:rPr>
                </w:pPr>
                <w:r>
                  <w:rPr>
                    <w:rFonts w:hint="eastAsia"/>
                    <w:szCs w:val="21"/>
                  </w:rPr>
                  <w:t>本期发生额</w:t>
                </w:r>
              </w:p>
            </w:sdtContent>
          </w:sdt>
        </w:tc>
        <w:tc>
          <w:tcPr>
            <w:tcW w:w="3800" w:type="dxa"/>
            <w:gridSpan w:val="2"/>
            <w:tcBorders>
              <w:top w:val="single" w:color="auto" w:sz="4" w:space="0"/>
              <w:left w:val="single" w:color="auto" w:sz="4" w:space="0"/>
              <w:bottom w:val="single" w:color="auto" w:sz="4" w:space="0"/>
              <w:right w:val="single" w:color="auto" w:sz="4" w:space="0"/>
            </w:tcBorders>
            <w:vAlign w:val="center"/>
          </w:tcPr>
          <w:sdt>
            <w:sdtPr>
              <w:tag w:val="_PLD_d175a7df90684e2bbdccc1ba942f2760"/>
              <w:id w:val="7595"/>
            </w:sdtPr>
            <w:sdtContent>
              <w:p>
                <w:pPr>
                  <w:jc w:val="center"/>
                  <w:rPr>
                    <w:szCs w:val="21"/>
                  </w:rPr>
                </w:pPr>
                <w:r>
                  <w:rPr>
                    <w:rFonts w:hint="eastAsia"/>
                    <w:szCs w:val="21"/>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6" w:type="dxa"/>
            <w:vMerge w:val="continue"/>
            <w:tcBorders>
              <w:left w:val="single" w:color="auto" w:sz="4" w:space="0"/>
              <w:bottom w:val="single" w:color="auto" w:sz="4" w:space="0"/>
              <w:right w:val="single" w:color="auto" w:sz="4" w:space="0"/>
            </w:tcBorders>
            <w:vAlign w:val="center"/>
          </w:tcPr>
          <w:p>
            <w:pPr>
              <w:jc w:val="center"/>
              <w:rPr>
                <w:szCs w:val="21"/>
              </w:rPr>
            </w:pPr>
          </w:p>
        </w:tc>
        <w:tc>
          <w:tcPr>
            <w:tcW w:w="1889" w:type="dxa"/>
            <w:tcBorders>
              <w:top w:val="single" w:color="auto" w:sz="4" w:space="0"/>
              <w:left w:val="single" w:color="auto" w:sz="4" w:space="0"/>
              <w:bottom w:val="single" w:color="auto" w:sz="4" w:space="0"/>
              <w:right w:val="single" w:color="auto" w:sz="4" w:space="0"/>
            </w:tcBorders>
            <w:vAlign w:val="center"/>
          </w:tcPr>
          <w:sdt>
            <w:sdtPr>
              <w:tag w:val="_PLD_fe053e4bca564a1fbda44c85256ce067"/>
              <w:id w:val="7596"/>
            </w:sdtPr>
            <w:sdtContent>
              <w:p>
                <w:pPr>
                  <w:jc w:val="center"/>
                  <w:rPr>
                    <w:szCs w:val="21"/>
                  </w:rPr>
                </w:pPr>
                <w:r>
                  <w:rPr>
                    <w:rFonts w:hint="eastAsia"/>
                    <w:szCs w:val="21"/>
                  </w:rPr>
                  <w:t>收入</w:t>
                </w:r>
              </w:p>
            </w:sdtContent>
          </w:sdt>
        </w:tc>
        <w:tc>
          <w:tcPr>
            <w:tcW w:w="1902" w:type="dxa"/>
            <w:tcBorders>
              <w:top w:val="single" w:color="auto" w:sz="4" w:space="0"/>
              <w:left w:val="single" w:color="auto" w:sz="4" w:space="0"/>
              <w:bottom w:val="single" w:color="auto" w:sz="4" w:space="0"/>
              <w:right w:val="single" w:color="auto" w:sz="4" w:space="0"/>
            </w:tcBorders>
            <w:vAlign w:val="center"/>
          </w:tcPr>
          <w:sdt>
            <w:sdtPr>
              <w:tag w:val="_PLD_88be7d92d03d4168a79d4492be4a258c"/>
              <w:id w:val="7597"/>
            </w:sdtPr>
            <w:sdtContent>
              <w:p>
                <w:pPr>
                  <w:jc w:val="center"/>
                  <w:rPr>
                    <w:szCs w:val="21"/>
                  </w:rPr>
                </w:pPr>
                <w:r>
                  <w:rPr>
                    <w:rFonts w:hint="eastAsia"/>
                    <w:szCs w:val="21"/>
                  </w:rPr>
                  <w:t>成本</w:t>
                </w:r>
              </w:p>
            </w:sdtContent>
          </w:sdt>
        </w:tc>
        <w:tc>
          <w:tcPr>
            <w:tcW w:w="1900" w:type="dxa"/>
            <w:tcBorders>
              <w:top w:val="single" w:color="auto" w:sz="4" w:space="0"/>
              <w:left w:val="single" w:color="auto" w:sz="4" w:space="0"/>
              <w:bottom w:val="single" w:color="auto" w:sz="4" w:space="0"/>
              <w:right w:val="single" w:color="auto" w:sz="4" w:space="0"/>
            </w:tcBorders>
            <w:vAlign w:val="center"/>
          </w:tcPr>
          <w:sdt>
            <w:sdtPr>
              <w:tag w:val="_PLD_5ba4682bc5644bc38c4b795c78508b1f"/>
              <w:id w:val="7598"/>
            </w:sdtPr>
            <w:sdtContent>
              <w:p>
                <w:pPr>
                  <w:jc w:val="center"/>
                  <w:rPr>
                    <w:szCs w:val="21"/>
                  </w:rPr>
                </w:pPr>
                <w:r>
                  <w:rPr>
                    <w:rFonts w:hint="eastAsia"/>
                    <w:szCs w:val="21"/>
                  </w:rPr>
                  <w:t>收入</w:t>
                </w:r>
              </w:p>
            </w:sdtContent>
          </w:sdt>
        </w:tc>
        <w:tc>
          <w:tcPr>
            <w:tcW w:w="1900" w:type="dxa"/>
            <w:tcBorders>
              <w:top w:val="single" w:color="auto" w:sz="4" w:space="0"/>
              <w:left w:val="single" w:color="auto" w:sz="4" w:space="0"/>
              <w:bottom w:val="single" w:color="auto" w:sz="4" w:space="0"/>
              <w:right w:val="single" w:color="auto" w:sz="4" w:space="0"/>
            </w:tcBorders>
            <w:vAlign w:val="center"/>
          </w:tcPr>
          <w:sdt>
            <w:sdtPr>
              <w:tag w:val="_PLD_94a3ede4ab834e37a20364f2c6897976"/>
              <w:id w:val="7599"/>
            </w:sdtPr>
            <w:sdtContent>
              <w:p>
                <w:pPr>
                  <w:jc w:val="center"/>
                  <w:rPr>
                    <w:szCs w:val="21"/>
                  </w:rPr>
                </w:pPr>
                <w:r>
                  <w:rPr>
                    <w:rFonts w:hint="eastAsia"/>
                    <w:szCs w:val="21"/>
                  </w:rPr>
                  <w:t>成本</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主营业务</w:t>
            </w:r>
          </w:p>
        </w:tc>
        <w:tc>
          <w:tcPr>
            <w:tcW w:w="188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1,048,207,883.46</w:t>
            </w:r>
          </w:p>
        </w:tc>
        <w:tc>
          <w:tcPr>
            <w:tcW w:w="190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877,454,810.78</w:t>
            </w:r>
          </w:p>
        </w:tc>
        <w:tc>
          <w:tcPr>
            <w:tcW w:w="190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1,040,551,321.43</w:t>
            </w:r>
          </w:p>
        </w:tc>
        <w:tc>
          <w:tcPr>
            <w:tcW w:w="190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870,003,234.65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其他业务</w:t>
            </w:r>
          </w:p>
        </w:tc>
        <w:tc>
          <w:tcPr>
            <w:tcW w:w="188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14,368,826.42</w:t>
            </w:r>
          </w:p>
        </w:tc>
        <w:tc>
          <w:tcPr>
            <w:tcW w:w="190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6,336,829.69</w:t>
            </w:r>
          </w:p>
        </w:tc>
        <w:tc>
          <w:tcPr>
            <w:tcW w:w="190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12,500,556.19</w:t>
            </w:r>
          </w:p>
        </w:tc>
        <w:tc>
          <w:tcPr>
            <w:tcW w:w="190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7,183,132.69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合计</w:t>
            </w:r>
          </w:p>
        </w:tc>
        <w:tc>
          <w:tcPr>
            <w:tcW w:w="188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1,062,576,709.88</w:t>
            </w:r>
          </w:p>
        </w:tc>
        <w:tc>
          <w:tcPr>
            <w:tcW w:w="190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883,791,640.47</w:t>
            </w:r>
          </w:p>
        </w:tc>
        <w:tc>
          <w:tcPr>
            <w:tcW w:w="190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1,053,051,877.62</w:t>
            </w:r>
          </w:p>
        </w:tc>
        <w:tc>
          <w:tcPr>
            <w:tcW w:w="190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877,186,367.34</w:t>
            </w:r>
          </w:p>
        </w:tc>
      </w:tr>
    </w:tbl>
    <w:p/>
    <w:p>
      <w:pPr>
        <w:pStyle w:val="5"/>
        <w:numPr>
          <w:ilvl w:val="0"/>
          <w:numId w:val="100"/>
        </w:numPr>
        <w:ind w:left="426" w:hanging="426"/>
        <w:rPr>
          <w:rFonts w:hint="eastAsia"/>
        </w:rPr>
      </w:pPr>
      <w:bookmarkStart w:id="349" w:name="_Hlk533756233"/>
      <w:r>
        <w:rPr>
          <w:rFonts w:hint="eastAsia"/>
        </w:rPr>
        <w:t>营业收入、营业成本的分解信息</w:t>
      </w:r>
      <w:r>
        <w:t xml:space="preserve"> </w:t>
      </w:r>
    </w:p>
    <w:sdt>
      <w:sdtPr>
        <w:rPr>
          <w:rFonts w:ascii="宋体" w:hAnsi="宋体"/>
          <w:szCs w:val="21"/>
        </w:rPr>
        <w:alias w:val="是否适用：营业收入、营业成本的分解信息 [双击切换]"/>
        <w:tag w:val="_GBC_9ca3964974eb4c71856442f0683fa140"/>
        <w:id w:val="7600"/>
        <w:placeholder>
          <w:docPart w:val="GBC22222222222222222222222222222"/>
        </w:placeholder>
      </w:sdtPr>
      <w:sdtEndPr>
        <w:rPr>
          <w:rFonts w:ascii="宋体" w:hAnsi="宋体"/>
          <w:szCs w:val="21"/>
        </w:rPr>
      </w:sdtEndPr>
      <w:sdtContent>
        <w:p>
          <w:pPr>
            <w:pStyle w:val="56"/>
            <w:ind w:firstLine="0" w:firstLineChars="0"/>
            <w:jc w:val="left"/>
            <w:rPr>
              <w:rFonts w:hint="eastAsia" w:ascii="宋体" w:hAnsi="宋体"/>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pStyle w:val="56"/>
        <w:ind w:firstLine="0" w:firstLineChars="0"/>
        <w:jc w:val="right"/>
        <w:rPr>
          <w:rFonts w:hint="eastAsia" w:ascii="宋体" w:hAnsi="宋体"/>
          <w:szCs w:val="21"/>
        </w:rPr>
      </w:pPr>
      <w:r>
        <w:rPr>
          <w:rFonts w:hint="eastAsia" w:ascii="宋体" w:hAnsi="宋体"/>
          <w:szCs w:val="21"/>
        </w:rPr>
        <w:t>单位：</w:t>
      </w:r>
      <w:sdt>
        <w:sdtPr>
          <w:rPr>
            <w:rFonts w:hint="eastAsia" w:ascii="宋体" w:hAnsi="宋体"/>
            <w:szCs w:val="21"/>
          </w:rPr>
          <w:alias w:val="单位：营业收入、营业成本的分解信息 "/>
          <w:tag w:val="_GBC_712aadfd959247489c16d4246880bfef"/>
          <w:id w:val="760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ascii="宋体" w:hAnsi="宋体"/>
            <w:szCs w:val="21"/>
          </w:rPr>
        </w:sdtEndPr>
        <w:sdtContent>
          <w:r>
            <w:rPr>
              <w:rFonts w:hint="eastAsia" w:ascii="宋体" w:hAnsi="宋体"/>
              <w:szCs w:val="21"/>
            </w:rPr>
            <w:t>元</w:t>
          </w:r>
        </w:sdtContent>
      </w:sdt>
      <w:r>
        <w:rPr>
          <w:rFonts w:hint="eastAsia" w:ascii="宋体" w:hAnsi="宋体"/>
          <w:szCs w:val="21"/>
        </w:rPr>
        <w:t xml:space="preserve">  币种：</w:t>
      </w:r>
      <w:sdt>
        <w:sdtPr>
          <w:rPr>
            <w:rFonts w:hint="eastAsia" w:ascii="宋体" w:hAnsi="宋体"/>
            <w:szCs w:val="21"/>
          </w:rPr>
          <w:alias w:val="币种：营业收入、营业成本的分解信息 "/>
          <w:tag w:val="_GBC_ca9b26593dbf458b829ac632033cd724"/>
          <w:id w:val="760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ascii="宋体" w:hAnsi="宋体"/>
            <w:szCs w:val="21"/>
          </w:rPr>
        </w:sdtEndPr>
        <w:sdtContent>
          <w:r>
            <w:rPr>
              <w:rFonts w:hint="eastAsia" w:ascii="宋体" w:hAnsi="宋体"/>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6"/>
        <w:gridCol w:w="1777"/>
        <w:gridCol w:w="1722"/>
        <w:gridCol w:w="1722"/>
        <w:gridCol w:w="1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6" w:type="dxa"/>
            <w:vMerge w:val="restart"/>
            <w:tcBorders>
              <w:top w:val="single" w:color="auto" w:sz="4" w:space="0"/>
              <w:left w:val="single" w:color="auto" w:sz="4" w:space="0"/>
              <w:right w:val="single" w:color="auto" w:sz="4" w:space="0"/>
            </w:tcBorders>
            <w:vAlign w:val="center"/>
          </w:tcPr>
          <w:sdt>
            <w:sdtPr>
              <w:tag w:val="_PLD_0e9269f20e6e4b7f8a6a8c59b9077225"/>
              <w:id w:val="7603"/>
            </w:sdtPr>
            <w:sdtContent>
              <w:p>
                <w:pPr>
                  <w:jc w:val="center"/>
                  <w:rPr>
                    <w:szCs w:val="21"/>
                  </w:rPr>
                </w:pPr>
                <w:r>
                  <w:rPr>
                    <w:rFonts w:hint="eastAsia"/>
                    <w:szCs w:val="21"/>
                  </w:rPr>
                  <w:t>合同分类</w:t>
                </w:r>
              </w:p>
            </w:sdtContent>
          </w:sdt>
        </w:tc>
        <w:tc>
          <w:tcPr>
            <w:tcW w:w="3499" w:type="dxa"/>
            <w:gridSpan w:val="2"/>
            <w:tcBorders>
              <w:top w:val="single" w:color="auto" w:sz="4" w:space="0"/>
              <w:left w:val="single" w:color="auto" w:sz="4" w:space="0"/>
              <w:bottom w:val="single" w:color="auto" w:sz="4" w:space="0"/>
              <w:right w:val="single" w:color="auto" w:sz="4" w:space="0"/>
            </w:tcBorders>
            <w:vAlign w:val="center"/>
          </w:tcPr>
          <w:sdt>
            <w:sdtPr>
              <w:rPr>
                <w:rFonts w:hint="eastAsia"/>
                <w:szCs w:val="21"/>
              </w:rPr>
              <w:alias w:val="合同产生的收入分部名称"/>
              <w:tag w:val="_GBC_ab0118fbe71a45709156970254ce1192"/>
              <w:id w:val="7604"/>
            </w:sdtPr>
            <w:sdtEndPr>
              <w:rPr>
                <w:rFonts w:hint="default"/>
                <w:szCs w:val="21"/>
                <w:lang w:val="en-US"/>
              </w:rPr>
            </w:sdtEndPr>
            <w:sdtContent>
              <w:p>
                <w:pPr>
                  <w:jc w:val="center"/>
                  <w:rPr>
                    <w:szCs w:val="21"/>
                  </w:rPr>
                </w:pPr>
                <w:r>
                  <w:rPr>
                    <w:rFonts w:hint="eastAsia"/>
                    <w:szCs w:val="21"/>
                    <w:lang w:val="en-US" w:eastAsia="zh-CN"/>
                  </w:rPr>
                  <w:t>本期发生额</w:t>
                </w:r>
              </w:p>
            </w:sdtContent>
          </w:sdt>
        </w:tc>
        <w:tc>
          <w:tcPr>
            <w:tcW w:w="3441" w:type="dxa"/>
            <w:gridSpan w:val="2"/>
            <w:tcBorders>
              <w:top w:val="single" w:color="auto" w:sz="4" w:space="0"/>
              <w:left w:val="single" w:color="auto" w:sz="4" w:space="0"/>
              <w:bottom w:val="single" w:color="auto" w:sz="4" w:space="0"/>
              <w:right w:val="single" w:color="auto" w:sz="4" w:space="0"/>
            </w:tcBorders>
            <w:vAlign w:val="center"/>
          </w:tcPr>
          <w:sdt>
            <w:sdtPr>
              <w:tag w:val="_PLD_4c617eb15d544d45ba3090cf4fb369da"/>
              <w:id w:val="7605"/>
            </w:sdtPr>
            <w:sdtContent>
              <w:p>
                <w:pPr>
                  <w:jc w:val="center"/>
                  <w:rPr>
                    <w:szCs w:val="21"/>
                  </w:rPr>
                </w:pPr>
                <w:r>
                  <w:rPr>
                    <w:rFonts w:hint="eastAsia"/>
                    <w:szCs w:val="21"/>
                    <w:lang w:val="en-US" w:eastAsia="zh-CN"/>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6" w:type="dxa"/>
            <w:vMerge w:val="continue"/>
            <w:tcBorders>
              <w:left w:val="single" w:color="auto" w:sz="4" w:space="0"/>
              <w:bottom w:val="single" w:color="auto" w:sz="4" w:space="0"/>
              <w:right w:val="single" w:color="auto" w:sz="4" w:space="0"/>
            </w:tcBorders>
            <w:vAlign w:val="center"/>
          </w:tcPr>
          <w:p>
            <w:pPr>
              <w:jc w:val="center"/>
              <w:rPr>
                <w:szCs w:val="21"/>
              </w:rPr>
            </w:pPr>
          </w:p>
        </w:tc>
        <w:tc>
          <w:tcPr>
            <w:tcW w:w="1777" w:type="dxa"/>
            <w:tcBorders>
              <w:top w:val="single" w:color="auto" w:sz="4" w:space="0"/>
              <w:left w:val="single" w:color="auto" w:sz="4" w:space="0"/>
              <w:bottom w:val="single" w:color="auto" w:sz="4" w:space="0"/>
              <w:right w:val="single" w:color="auto" w:sz="4" w:space="0"/>
            </w:tcBorders>
            <w:vAlign w:val="center"/>
          </w:tcPr>
          <w:sdt>
            <w:sdtPr>
              <w:tag w:val="_PLD_812056a1dd1146b887b2fe5989c7c698"/>
              <w:id w:val="7606"/>
            </w:sdtPr>
            <w:sdtContent>
              <w:p>
                <w:pPr>
                  <w:jc w:val="center"/>
                  <w:rPr>
                    <w:szCs w:val="21"/>
                  </w:rPr>
                </w:pPr>
                <w:r>
                  <w:rPr>
                    <w:rFonts w:hint="eastAsia"/>
                    <w:szCs w:val="21"/>
                  </w:rPr>
                  <w:t>营业收入</w:t>
                </w:r>
              </w:p>
            </w:sdtContent>
          </w:sdt>
        </w:tc>
        <w:tc>
          <w:tcPr>
            <w:tcW w:w="1722" w:type="dxa"/>
            <w:tcBorders>
              <w:top w:val="single" w:color="auto" w:sz="4" w:space="0"/>
              <w:left w:val="single" w:color="auto" w:sz="4" w:space="0"/>
              <w:bottom w:val="single" w:color="auto" w:sz="4" w:space="0"/>
              <w:right w:val="single" w:color="auto" w:sz="4" w:space="0"/>
            </w:tcBorders>
            <w:vAlign w:val="center"/>
          </w:tcPr>
          <w:sdt>
            <w:sdtPr>
              <w:tag w:val="_PLD_a596be33430c4e278795102f77bfea46"/>
              <w:id w:val="7607"/>
            </w:sdtPr>
            <w:sdtContent>
              <w:p>
                <w:pPr>
                  <w:jc w:val="center"/>
                  <w:rPr>
                    <w:szCs w:val="21"/>
                  </w:rPr>
                </w:pPr>
                <w:r>
                  <w:rPr>
                    <w:rFonts w:hint="eastAsia"/>
                    <w:szCs w:val="21"/>
                  </w:rPr>
                  <w:t>营业成本</w:t>
                </w:r>
              </w:p>
            </w:sdtContent>
          </w:sdt>
        </w:tc>
        <w:tc>
          <w:tcPr>
            <w:tcW w:w="1722" w:type="dxa"/>
            <w:tcBorders>
              <w:top w:val="single" w:color="auto" w:sz="4" w:space="0"/>
              <w:left w:val="single" w:color="auto" w:sz="4" w:space="0"/>
              <w:bottom w:val="single" w:color="auto" w:sz="4" w:space="0"/>
              <w:right w:val="single" w:color="auto" w:sz="4" w:space="0"/>
            </w:tcBorders>
            <w:vAlign w:val="center"/>
          </w:tcPr>
          <w:sdt>
            <w:sdtPr>
              <w:tag w:val="_PLD_63400df9f177476bb0975376f62b78b9"/>
              <w:id w:val="7608"/>
            </w:sdtPr>
            <w:sdtContent>
              <w:p>
                <w:pPr>
                  <w:jc w:val="center"/>
                  <w:rPr>
                    <w:szCs w:val="21"/>
                  </w:rPr>
                </w:pPr>
                <w:r>
                  <w:rPr>
                    <w:rFonts w:hint="eastAsia"/>
                    <w:szCs w:val="21"/>
                  </w:rPr>
                  <w:t>营业收入</w:t>
                </w:r>
              </w:p>
            </w:sdtContent>
          </w:sdt>
        </w:tc>
        <w:tc>
          <w:tcPr>
            <w:tcW w:w="1719" w:type="dxa"/>
            <w:tcBorders>
              <w:top w:val="single" w:color="auto" w:sz="4" w:space="0"/>
              <w:left w:val="single" w:color="auto" w:sz="4" w:space="0"/>
              <w:bottom w:val="single" w:color="auto" w:sz="4" w:space="0"/>
              <w:right w:val="single" w:color="auto" w:sz="4" w:space="0"/>
            </w:tcBorders>
            <w:vAlign w:val="center"/>
          </w:tcPr>
          <w:sdt>
            <w:sdtPr>
              <w:tag w:val="_PLD_ccb1ce0fea894f5892ff4f8ace575517"/>
              <w:id w:val="7609"/>
            </w:sdtPr>
            <w:sdtContent>
              <w:p>
                <w:pPr>
                  <w:jc w:val="center"/>
                  <w:rPr>
                    <w:szCs w:val="21"/>
                  </w:rPr>
                </w:pPr>
                <w:r>
                  <w:rPr>
                    <w:rFonts w:hint="eastAsia"/>
                    <w:szCs w:val="21"/>
                  </w:rPr>
                  <w:t>营业成本</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6" w:type="dxa"/>
            <w:tcBorders>
              <w:top w:val="single" w:color="auto" w:sz="4" w:space="0"/>
              <w:left w:val="single" w:color="auto" w:sz="4" w:space="0"/>
              <w:bottom w:val="single" w:color="auto" w:sz="4" w:space="0"/>
              <w:right w:val="single" w:color="auto" w:sz="4" w:space="0"/>
            </w:tcBorders>
            <w:vAlign w:val="center"/>
          </w:tcPr>
          <w:sdt>
            <w:sdtPr>
              <w:tag w:val="_PLD_b92765c3e6564760896007fd46d35dc8"/>
              <w:id w:val="7610"/>
            </w:sdtPr>
            <w:sdtContent>
              <w:p>
                <w:pPr>
                  <w:rPr>
                    <w:szCs w:val="21"/>
                  </w:rPr>
                </w:pPr>
                <w:r>
                  <w:rPr>
                    <w:rFonts w:hint="eastAsia"/>
                    <w:szCs w:val="21"/>
                  </w:rPr>
                  <w:t>主营业务：</w:t>
                </w:r>
              </w:p>
            </w:sdtContent>
          </w:sdt>
        </w:tc>
        <w:tc>
          <w:tcPr>
            <w:tcW w:w="177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rPr>
              <w:t>　</w:t>
            </w:r>
          </w:p>
        </w:tc>
        <w:tc>
          <w:tcPr>
            <w:tcW w:w="172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rPr>
              <w:t>　</w:t>
            </w:r>
          </w:p>
        </w:tc>
        <w:tc>
          <w:tcPr>
            <w:tcW w:w="172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rPr>
              <w:t>　</w:t>
            </w:r>
          </w:p>
        </w:tc>
        <w:tc>
          <w:tcPr>
            <w:tcW w:w="171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6" w:type="dxa"/>
            <w:tcBorders>
              <w:top w:val="single" w:color="auto" w:sz="4" w:space="0"/>
              <w:left w:val="single" w:color="auto" w:sz="4" w:space="0"/>
              <w:bottom w:val="single" w:color="auto" w:sz="4" w:space="0"/>
              <w:right w:val="single" w:color="auto" w:sz="4" w:space="0"/>
            </w:tcBorders>
            <w:vAlign w:val="center"/>
          </w:tcPr>
          <w:p>
            <w:pPr>
              <w:ind w:firstLine="420" w:firstLineChars="200"/>
              <w:rPr>
                <w:szCs w:val="21"/>
              </w:rPr>
            </w:pPr>
            <w:r>
              <w:rPr>
                <w:rFonts w:hint="eastAsia"/>
                <w:szCs w:val="21"/>
              </w:rPr>
              <w:t>日化产品</w:t>
            </w:r>
          </w:p>
        </w:tc>
        <w:tc>
          <w:tcPr>
            <w:tcW w:w="177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932,781,847.95</w:t>
            </w:r>
          </w:p>
        </w:tc>
        <w:tc>
          <w:tcPr>
            <w:tcW w:w="172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807,292,570.31</w:t>
            </w:r>
          </w:p>
        </w:tc>
        <w:tc>
          <w:tcPr>
            <w:tcW w:w="172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928,848,600.16</w:t>
            </w:r>
          </w:p>
        </w:tc>
        <w:tc>
          <w:tcPr>
            <w:tcW w:w="171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800,300,416.59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6" w:type="dxa"/>
            <w:tcBorders>
              <w:top w:val="single" w:color="auto" w:sz="4" w:space="0"/>
              <w:left w:val="single" w:color="auto" w:sz="4" w:space="0"/>
              <w:bottom w:val="single" w:color="auto" w:sz="4" w:space="0"/>
              <w:right w:val="single" w:color="auto" w:sz="4" w:space="0"/>
            </w:tcBorders>
            <w:vAlign w:val="center"/>
          </w:tcPr>
          <w:p>
            <w:pPr>
              <w:ind w:leftChars="0" w:firstLine="420" w:firstLineChars="200"/>
              <w:jc w:val="left"/>
              <w:rPr>
                <w:szCs w:val="21"/>
              </w:rPr>
            </w:pPr>
            <w:r>
              <w:rPr>
                <w:rFonts w:hint="eastAsia"/>
                <w:szCs w:val="21"/>
              </w:rPr>
              <w:t>药品</w:t>
            </w:r>
          </w:p>
        </w:tc>
        <w:tc>
          <w:tcPr>
            <w:tcW w:w="177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102,707,247.43</w:t>
            </w:r>
          </w:p>
        </w:tc>
        <w:tc>
          <w:tcPr>
            <w:tcW w:w="172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59,337,598.10</w:t>
            </w:r>
          </w:p>
        </w:tc>
        <w:tc>
          <w:tcPr>
            <w:tcW w:w="172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103,855,955.94</w:t>
            </w:r>
          </w:p>
        </w:tc>
        <w:tc>
          <w:tcPr>
            <w:tcW w:w="171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62,403,654.78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6" w:type="dxa"/>
            <w:tcBorders>
              <w:top w:val="single" w:color="auto" w:sz="4" w:space="0"/>
              <w:left w:val="single" w:color="auto" w:sz="4" w:space="0"/>
              <w:bottom w:val="single" w:color="auto" w:sz="4" w:space="0"/>
              <w:right w:val="single" w:color="auto" w:sz="4" w:space="0"/>
            </w:tcBorders>
            <w:vAlign w:val="center"/>
          </w:tcPr>
          <w:p>
            <w:pPr>
              <w:ind w:leftChars="0" w:firstLine="420" w:firstLineChars="200"/>
              <w:jc w:val="left"/>
              <w:rPr>
                <w:szCs w:val="21"/>
              </w:rPr>
            </w:pPr>
            <w:r>
              <w:rPr>
                <w:rFonts w:hint="eastAsia"/>
                <w:szCs w:val="21"/>
              </w:rPr>
              <w:t>商业贸易</w:t>
            </w:r>
          </w:p>
        </w:tc>
        <w:tc>
          <w:tcPr>
            <w:tcW w:w="177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12,718,788.08</w:t>
            </w:r>
          </w:p>
        </w:tc>
        <w:tc>
          <w:tcPr>
            <w:tcW w:w="172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10,824,642.37</w:t>
            </w:r>
          </w:p>
        </w:tc>
        <w:tc>
          <w:tcPr>
            <w:tcW w:w="172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7,846,765.33</w:t>
            </w:r>
          </w:p>
        </w:tc>
        <w:tc>
          <w:tcPr>
            <w:tcW w:w="171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7,299,163.28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6" w:type="dxa"/>
            <w:tcBorders>
              <w:top w:val="single" w:color="auto" w:sz="4" w:space="0"/>
              <w:left w:val="single" w:color="auto" w:sz="4" w:space="0"/>
              <w:bottom w:val="single" w:color="auto" w:sz="4" w:space="0"/>
              <w:right w:val="single" w:color="auto" w:sz="4" w:space="0"/>
            </w:tcBorders>
            <w:vAlign w:val="center"/>
          </w:tcPr>
          <w:sdt>
            <w:sdtPr>
              <w:tag w:val="_PLD_33985b1c4b4545a8892482dac9792bfc"/>
              <w:id w:val="7611"/>
            </w:sdtPr>
            <w:sdtContent>
              <w:p>
                <w:pPr>
                  <w:rPr>
                    <w:szCs w:val="21"/>
                  </w:rPr>
                </w:pPr>
                <w:r>
                  <w:rPr>
                    <w:rFonts w:hint="eastAsia"/>
                    <w:lang w:val="en-US" w:eastAsia="zh-CN"/>
                  </w:rPr>
                  <w:t xml:space="preserve">    </w:t>
                </w:r>
                <w:r>
                  <w:rPr>
                    <w:rFonts w:hint="eastAsia"/>
                    <w:szCs w:val="21"/>
                  </w:rPr>
                  <w:t>小计</w:t>
                </w:r>
              </w:p>
            </w:sdtContent>
          </w:sdt>
        </w:tc>
        <w:tc>
          <w:tcPr>
            <w:tcW w:w="177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1,048,207,883.46</w:t>
            </w:r>
          </w:p>
        </w:tc>
        <w:tc>
          <w:tcPr>
            <w:tcW w:w="172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877,454,810.78</w:t>
            </w:r>
          </w:p>
        </w:tc>
        <w:tc>
          <w:tcPr>
            <w:tcW w:w="172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1,040,551,321.43</w:t>
            </w:r>
          </w:p>
        </w:tc>
        <w:tc>
          <w:tcPr>
            <w:tcW w:w="171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870,003,234.65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6" w:type="dxa"/>
            <w:tcBorders>
              <w:top w:val="single" w:color="auto" w:sz="4" w:space="0"/>
              <w:left w:val="single" w:color="auto" w:sz="4" w:space="0"/>
              <w:bottom w:val="single" w:color="auto" w:sz="4" w:space="0"/>
              <w:right w:val="single" w:color="auto" w:sz="4" w:space="0"/>
            </w:tcBorders>
            <w:vAlign w:val="center"/>
          </w:tcPr>
          <w:p>
            <w:pPr>
              <w:jc w:val="left"/>
              <w:rPr>
                <w:szCs w:val="21"/>
              </w:rPr>
            </w:pPr>
            <w:r>
              <w:rPr>
                <w:rFonts w:hint="eastAsia"/>
                <w:szCs w:val="21"/>
              </w:rPr>
              <w:t>其他业务：</w:t>
            </w:r>
          </w:p>
        </w:tc>
        <w:tc>
          <w:tcPr>
            <w:tcW w:w="177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　</w:t>
            </w:r>
          </w:p>
        </w:tc>
        <w:tc>
          <w:tcPr>
            <w:tcW w:w="172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　</w:t>
            </w:r>
          </w:p>
        </w:tc>
        <w:tc>
          <w:tcPr>
            <w:tcW w:w="172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　</w:t>
            </w:r>
          </w:p>
        </w:tc>
        <w:tc>
          <w:tcPr>
            <w:tcW w:w="171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6" w:type="dxa"/>
            <w:tcBorders>
              <w:top w:val="single" w:color="auto" w:sz="4" w:space="0"/>
              <w:left w:val="single" w:color="auto" w:sz="4" w:space="0"/>
              <w:bottom w:val="single" w:color="auto" w:sz="4" w:space="0"/>
              <w:right w:val="single" w:color="auto" w:sz="4" w:space="0"/>
            </w:tcBorders>
            <w:vAlign w:val="center"/>
          </w:tcPr>
          <w:sdt>
            <w:sdtPr>
              <w:tag w:val="_PLD_170d95e16f9145b28977f8a21950ec19"/>
              <w:id w:val="7612"/>
            </w:sdtPr>
            <w:sdtContent>
              <w:p>
                <w:pPr>
                  <w:rPr>
                    <w:szCs w:val="21"/>
                  </w:rPr>
                </w:pPr>
                <w:r>
                  <w:rPr>
                    <w:rFonts w:hint="eastAsia"/>
                    <w:lang w:val="en-US" w:eastAsia="zh-CN"/>
                  </w:rPr>
                  <w:t xml:space="preserve">    </w:t>
                </w:r>
                <w:r>
                  <w:rPr>
                    <w:rFonts w:hint="eastAsia"/>
                    <w:szCs w:val="21"/>
                  </w:rPr>
                  <w:t>销售材料、出租资产等</w:t>
                </w:r>
              </w:p>
            </w:sdtContent>
          </w:sdt>
        </w:tc>
        <w:tc>
          <w:tcPr>
            <w:tcW w:w="177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14,368,826.42</w:t>
            </w:r>
          </w:p>
        </w:tc>
        <w:tc>
          <w:tcPr>
            <w:tcW w:w="172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6,336,829.69</w:t>
            </w:r>
          </w:p>
        </w:tc>
        <w:tc>
          <w:tcPr>
            <w:tcW w:w="172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12,500,556.19</w:t>
            </w:r>
          </w:p>
        </w:tc>
        <w:tc>
          <w:tcPr>
            <w:tcW w:w="171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7,183,132.69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6" w:type="dxa"/>
            <w:tcBorders>
              <w:top w:val="single" w:color="auto" w:sz="4" w:space="0"/>
              <w:left w:val="single" w:color="auto" w:sz="4" w:space="0"/>
              <w:bottom w:val="single" w:color="auto" w:sz="4" w:space="0"/>
              <w:right w:val="single" w:color="auto" w:sz="4" w:space="0"/>
            </w:tcBorders>
            <w:vAlign w:val="center"/>
          </w:tcPr>
          <w:p>
            <w:pPr>
              <w:ind w:firstLine="420" w:firstLineChars="200"/>
              <w:rPr>
                <w:szCs w:val="21"/>
              </w:rPr>
            </w:pPr>
            <w:r>
              <w:rPr>
                <w:rFonts w:hint="eastAsia"/>
                <w:szCs w:val="21"/>
              </w:rPr>
              <w:t>小计</w:t>
            </w:r>
          </w:p>
        </w:tc>
        <w:tc>
          <w:tcPr>
            <w:tcW w:w="177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14,368,826.42</w:t>
            </w:r>
          </w:p>
        </w:tc>
        <w:tc>
          <w:tcPr>
            <w:tcW w:w="172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6,336,829.69</w:t>
            </w:r>
          </w:p>
        </w:tc>
        <w:tc>
          <w:tcPr>
            <w:tcW w:w="172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12,500,556.19</w:t>
            </w:r>
          </w:p>
        </w:tc>
        <w:tc>
          <w:tcPr>
            <w:tcW w:w="171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7,183,132.69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合计</w:t>
            </w:r>
          </w:p>
        </w:tc>
        <w:tc>
          <w:tcPr>
            <w:tcW w:w="177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1,062,576,709.88</w:t>
            </w:r>
          </w:p>
        </w:tc>
        <w:tc>
          <w:tcPr>
            <w:tcW w:w="172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883,791,640.47</w:t>
            </w:r>
          </w:p>
        </w:tc>
        <w:tc>
          <w:tcPr>
            <w:tcW w:w="172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1,053,051,877.62</w:t>
            </w:r>
          </w:p>
        </w:tc>
        <w:tc>
          <w:tcPr>
            <w:tcW w:w="171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877,186,367.34</w:t>
            </w:r>
          </w:p>
        </w:tc>
      </w:tr>
    </w:tbl>
    <w:p/>
    <w:p>
      <w:r>
        <w:rPr>
          <w:rFonts w:hint="eastAsia"/>
        </w:rPr>
        <w:t>其他说明：</w:t>
      </w:r>
    </w:p>
    <w:sdt>
      <w:sdtPr>
        <w:alias w:val="是否适用：营业收入、营业成本的分解信息说明 [双击切换]"/>
        <w:tag w:val="_GBC_f134aa472e8b45f8af819092314ab743"/>
        <w:id w:val="7613"/>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bookmarkEnd w:id="349"/>
    <w:p>
      <w:pPr>
        <w:pStyle w:val="5"/>
        <w:numPr>
          <w:ilvl w:val="0"/>
          <w:numId w:val="100"/>
        </w:numPr>
        <w:ind w:left="426" w:hanging="426"/>
        <w:rPr>
          <w:rFonts w:hint="eastAsia"/>
        </w:rPr>
      </w:pPr>
      <w:bookmarkStart w:id="350" w:name="_Hlk533670431"/>
      <w:r>
        <w:rPr>
          <w:rFonts w:hint="eastAsia"/>
        </w:rPr>
        <w:t>履约义务的说明</w:t>
      </w:r>
    </w:p>
    <w:sdt>
      <w:sdtPr>
        <w:alias w:val="是否适用：履约义务的说明[双击切换]"/>
        <w:tag w:val="_GBC_2bcc2970f5df4fc982ad2497089d8292"/>
        <w:id w:val="7614"/>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bookmarkEnd w:id="350"/>
    <w:p>
      <w:pPr>
        <w:pStyle w:val="5"/>
        <w:numPr>
          <w:ilvl w:val="0"/>
          <w:numId w:val="100"/>
        </w:numPr>
        <w:ind w:left="426" w:hanging="426"/>
        <w:rPr>
          <w:rFonts w:hint="eastAsia"/>
        </w:rPr>
      </w:pPr>
      <w:bookmarkStart w:id="351" w:name="_Hlk533423938"/>
      <w:r>
        <w:rPr>
          <w:rFonts w:hint="eastAsia"/>
        </w:rPr>
        <w:t>分摊至剩余履约义务的说明</w:t>
      </w:r>
    </w:p>
    <w:sdt>
      <w:sdtPr>
        <w:alias w:val="是否适用：分摊至剩余履约义务的说明[双击切换]"/>
        <w:tag w:val="_GBC_67defaacf38a42549a2ed747c0fdb075"/>
        <w:id w:val="7615"/>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rFonts w:ascii="Arial" w:hAnsi="Arial"/>
          <w:szCs w:val="21"/>
        </w:rPr>
      </w:pPr>
    </w:p>
    <w:bookmarkEnd w:id="351"/>
    <w:p>
      <w:pPr>
        <w:pStyle w:val="5"/>
        <w:numPr>
          <w:ilvl w:val="0"/>
          <w:numId w:val="100"/>
        </w:numPr>
        <w:ind w:left="426" w:hanging="426"/>
        <w:rPr>
          <w:rFonts w:hint="eastAsia"/>
        </w:rPr>
      </w:pPr>
      <w:r>
        <w:rPr>
          <w:rFonts w:hint="eastAsia"/>
        </w:rPr>
        <w:t>重大合同变更或重大交易价格调整</w:t>
      </w:r>
    </w:p>
    <w:sdt>
      <w:sdtPr>
        <w:alias w:val="是否适用：重大合同变更或重大交易价格调整[双击切换]"/>
        <w:tag w:val="_GBC_0445697eb8d6440497b15f440010cd1d"/>
        <w:id w:val="7616"/>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rFonts w:ascii="Arial" w:hAnsi="Arial"/>
          <w:szCs w:val="21"/>
        </w:rPr>
      </w:pPr>
    </w:p>
    <w:p>
      <w:pPr>
        <w:spacing w:before="60" w:after="60"/>
        <w:rPr>
          <w:szCs w:val="21"/>
        </w:rPr>
      </w:pPr>
      <w:bookmarkStart w:id="352" w:name="_Hlk26364697"/>
      <w:r>
        <w:rPr>
          <w:rFonts w:hint="eastAsia"/>
          <w:szCs w:val="21"/>
        </w:rPr>
        <w:t>其他说明：</w:t>
      </w:r>
    </w:p>
    <w:sdt>
      <w:sdtPr>
        <w:rPr>
          <w:szCs w:val="21"/>
        </w:rPr>
        <w:alias w:val="主营业务说明"/>
        <w:tag w:val="_GBC_817222ab73384ad1a188a632c919c846"/>
        <w:id w:val="7617"/>
        <w:placeholder>
          <w:docPart w:val="GBC22222222222222222222222222222"/>
        </w:placeholder>
      </w:sdtPr>
      <w:sdtEndPr>
        <w:rPr>
          <w:szCs w:val="21"/>
        </w:rPr>
      </w:sdtEndPr>
      <w:sdtContent>
        <w:p>
          <w:pPr>
            <w:rPr>
              <w:szCs w:val="21"/>
            </w:rPr>
          </w:pPr>
          <w:r>
            <w:rPr>
              <w:rFonts w:hint="eastAsia"/>
              <w:szCs w:val="21"/>
            </w:rPr>
            <w:t>无</w:t>
          </w:r>
        </w:p>
      </w:sdtContent>
    </w:sdt>
    <w:p>
      <w:pPr>
        <w:rPr>
          <w:szCs w:val="21"/>
        </w:rPr>
      </w:pPr>
    </w:p>
    <w:bookmarkEnd w:id="352"/>
    <w:p>
      <w:pPr>
        <w:pStyle w:val="4"/>
        <w:numPr>
          <w:ilvl w:val="0"/>
          <w:numId w:val="62"/>
        </w:numPr>
        <w:tabs>
          <w:tab w:val="left" w:pos="504"/>
        </w:tabs>
        <w:rPr>
          <w:rFonts w:hint="eastAsia" w:ascii="宋体" w:hAnsi="宋体"/>
          <w:szCs w:val="21"/>
        </w:rPr>
      </w:pPr>
      <w:r>
        <w:rPr>
          <w:rFonts w:hint="eastAsia" w:ascii="宋体" w:hAnsi="宋体"/>
          <w:szCs w:val="21"/>
        </w:rPr>
        <w:t>税金及附加</w:t>
      </w:r>
    </w:p>
    <w:sdt>
      <w:sdtPr>
        <w:alias w:val="是否适用：税金及附加[双击切换]"/>
        <w:tag w:val="_GBC_08eb9cdd2a3940549b0f2b47081f0a3d"/>
        <w:id w:val="7618"/>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b/>
          <w:szCs w:val="21"/>
        </w:rPr>
      </w:pPr>
      <w:r>
        <w:rPr>
          <w:rFonts w:hint="eastAsia"/>
          <w:szCs w:val="21"/>
        </w:rPr>
        <w:t>单位：</w:t>
      </w:r>
      <w:sdt>
        <w:sdtPr>
          <w:rPr>
            <w:rFonts w:hint="eastAsia"/>
            <w:szCs w:val="21"/>
          </w:rPr>
          <w:alias w:val="单位：财务附注：税金及附加"/>
          <w:tag w:val="_GBC_6e5742d697d44a7dabc4411d4cd3c055"/>
          <w:id w:val="761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税金及附加"/>
          <w:tag w:val="_GBC_7ad96346369145ef9c54edaefcc18214"/>
          <w:id w:val="762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2907"/>
        <w:gridCol w:w="3074"/>
        <w:gridCol w:w="3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2907" w:type="dxa"/>
            <w:vAlign w:val="center"/>
          </w:tcPr>
          <w:sdt>
            <w:sdtPr>
              <w:tag w:val="_PLD_82dcdcc171754a7b940a70d1c7daa5c1"/>
              <w:id w:val="7621"/>
            </w:sdtPr>
            <w:sdtContent>
              <w:p>
                <w:pPr>
                  <w:autoSpaceDE w:val="0"/>
                  <w:autoSpaceDN w:val="0"/>
                  <w:adjustRightInd w:val="0"/>
                  <w:snapToGrid w:val="0"/>
                  <w:spacing w:line="240" w:lineRule="atLeast"/>
                  <w:jc w:val="center"/>
                  <w:rPr>
                    <w:szCs w:val="21"/>
                  </w:rPr>
                </w:pPr>
                <w:r>
                  <w:rPr>
                    <w:rFonts w:hint="eastAsia"/>
                    <w:szCs w:val="21"/>
                  </w:rPr>
                  <w:t>项目</w:t>
                </w:r>
              </w:p>
            </w:sdtContent>
          </w:sdt>
        </w:tc>
        <w:tc>
          <w:tcPr>
            <w:tcW w:w="3074" w:type="dxa"/>
            <w:vAlign w:val="center"/>
          </w:tcPr>
          <w:sdt>
            <w:sdtPr>
              <w:tag w:val="_PLD_a015e641f9074bee9ed1ee81511407cc"/>
              <w:id w:val="7622"/>
            </w:sdtPr>
            <w:sdtContent>
              <w:p>
                <w:pPr>
                  <w:jc w:val="center"/>
                  <w:rPr>
                    <w:szCs w:val="21"/>
                  </w:rPr>
                </w:pPr>
                <w:r>
                  <w:rPr>
                    <w:rFonts w:hint="eastAsia"/>
                    <w:szCs w:val="21"/>
                  </w:rPr>
                  <w:t>本期发生额</w:t>
                </w:r>
              </w:p>
            </w:sdtContent>
          </w:sdt>
        </w:tc>
        <w:tc>
          <w:tcPr>
            <w:tcW w:w="3074" w:type="dxa"/>
            <w:vAlign w:val="center"/>
          </w:tcPr>
          <w:sdt>
            <w:sdtPr>
              <w:tag w:val="_PLD_5e944d291c9a4b0aab9f6558226d9112"/>
              <w:id w:val="7623"/>
            </w:sdtPr>
            <w:sdtContent>
              <w:p>
                <w:pPr>
                  <w:jc w:val="center"/>
                  <w:rPr>
                    <w:szCs w:val="21"/>
                  </w:rPr>
                </w:pPr>
                <w:r>
                  <w:rPr>
                    <w:rFonts w:hint="eastAsia"/>
                    <w:szCs w:val="21"/>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2907" w:type="dxa"/>
            <w:vAlign w:val="center"/>
          </w:tcPr>
          <w:p>
            <w:pPr>
              <w:autoSpaceDE w:val="0"/>
              <w:autoSpaceDN w:val="0"/>
              <w:adjustRightInd w:val="0"/>
              <w:snapToGrid w:val="0"/>
              <w:spacing w:line="240" w:lineRule="atLeast"/>
              <w:rPr>
                <w:szCs w:val="21"/>
              </w:rPr>
            </w:pPr>
            <w:r>
              <w:rPr>
                <w:rFonts w:hint="eastAsia"/>
                <w:szCs w:val="21"/>
              </w:rPr>
              <w:t>城市维护建设税</w:t>
            </w:r>
          </w:p>
        </w:tc>
        <w:tc>
          <w:tcPr>
            <w:tcW w:w="3074" w:type="dxa"/>
            <w:vAlign w:val="center"/>
          </w:tcPr>
          <w:p>
            <w:pPr>
              <w:autoSpaceDE w:val="0"/>
              <w:autoSpaceDN w:val="0"/>
              <w:adjustRightInd w:val="0"/>
              <w:snapToGrid w:val="0"/>
              <w:spacing w:line="240" w:lineRule="atLeast"/>
              <w:jc w:val="right"/>
              <w:rPr>
                <w:szCs w:val="21"/>
              </w:rPr>
            </w:pPr>
            <w:r>
              <w:rPr>
                <w:rFonts w:hint="eastAsia"/>
                <w:color w:val="auto"/>
                <w:szCs w:val="21"/>
              </w:rPr>
              <w:t>1,761,540.20</w:t>
            </w:r>
          </w:p>
        </w:tc>
        <w:tc>
          <w:tcPr>
            <w:tcW w:w="3074" w:type="dxa"/>
            <w:vAlign w:val="center"/>
          </w:tcPr>
          <w:p>
            <w:pPr>
              <w:jc w:val="right"/>
              <w:rPr>
                <w:szCs w:val="21"/>
              </w:rPr>
            </w:pPr>
            <w:r>
              <w:rPr>
                <w:rFonts w:hint="eastAsia"/>
                <w:color w:val="auto"/>
                <w:szCs w:val="21"/>
              </w:rPr>
              <w:t>1,749,437.04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2907" w:type="dxa"/>
            <w:vAlign w:val="center"/>
          </w:tcPr>
          <w:p>
            <w:pPr>
              <w:autoSpaceDE w:val="0"/>
              <w:autoSpaceDN w:val="0"/>
              <w:adjustRightInd w:val="0"/>
              <w:snapToGrid w:val="0"/>
              <w:spacing w:line="240" w:lineRule="atLeast"/>
              <w:rPr>
                <w:szCs w:val="21"/>
              </w:rPr>
            </w:pPr>
            <w:r>
              <w:rPr>
                <w:rFonts w:hint="eastAsia"/>
                <w:szCs w:val="21"/>
              </w:rPr>
              <w:t>教育费附加</w:t>
            </w:r>
          </w:p>
        </w:tc>
        <w:tc>
          <w:tcPr>
            <w:tcW w:w="3074" w:type="dxa"/>
            <w:vAlign w:val="center"/>
          </w:tcPr>
          <w:p>
            <w:pPr>
              <w:autoSpaceDE w:val="0"/>
              <w:autoSpaceDN w:val="0"/>
              <w:adjustRightInd w:val="0"/>
              <w:snapToGrid w:val="0"/>
              <w:spacing w:line="240" w:lineRule="atLeast"/>
              <w:jc w:val="right"/>
              <w:rPr>
                <w:szCs w:val="21"/>
              </w:rPr>
            </w:pPr>
            <w:r>
              <w:rPr>
                <w:rFonts w:hint="eastAsia"/>
                <w:color w:val="auto"/>
                <w:szCs w:val="21"/>
              </w:rPr>
              <w:t>1,407,392.55</w:t>
            </w:r>
          </w:p>
        </w:tc>
        <w:tc>
          <w:tcPr>
            <w:tcW w:w="3074" w:type="dxa"/>
            <w:vAlign w:val="center"/>
          </w:tcPr>
          <w:p>
            <w:pPr>
              <w:jc w:val="right"/>
              <w:rPr>
                <w:szCs w:val="21"/>
              </w:rPr>
            </w:pPr>
            <w:r>
              <w:rPr>
                <w:rFonts w:hint="eastAsia"/>
                <w:color w:val="auto"/>
                <w:szCs w:val="21"/>
              </w:rPr>
              <w:t>1,352,230.33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2907" w:type="dxa"/>
            <w:vAlign w:val="center"/>
          </w:tcPr>
          <w:p>
            <w:pPr>
              <w:autoSpaceDE w:val="0"/>
              <w:autoSpaceDN w:val="0"/>
              <w:adjustRightInd w:val="0"/>
              <w:snapToGrid w:val="0"/>
              <w:spacing w:line="240" w:lineRule="atLeast"/>
              <w:rPr>
                <w:szCs w:val="21"/>
              </w:rPr>
            </w:pPr>
            <w:r>
              <w:rPr>
                <w:rFonts w:hint="eastAsia"/>
              </w:rPr>
              <w:t>房产税</w:t>
            </w:r>
          </w:p>
        </w:tc>
        <w:tc>
          <w:tcPr>
            <w:tcW w:w="3074" w:type="dxa"/>
            <w:vAlign w:val="center"/>
          </w:tcPr>
          <w:p>
            <w:pPr>
              <w:autoSpaceDE w:val="0"/>
              <w:autoSpaceDN w:val="0"/>
              <w:adjustRightInd w:val="0"/>
              <w:snapToGrid w:val="0"/>
              <w:spacing w:line="240" w:lineRule="atLeast"/>
              <w:jc w:val="right"/>
              <w:rPr>
                <w:szCs w:val="21"/>
              </w:rPr>
            </w:pPr>
            <w:r>
              <w:rPr>
                <w:rFonts w:hint="eastAsia"/>
                <w:color w:val="auto"/>
              </w:rPr>
              <w:t>3,659,889.40</w:t>
            </w:r>
          </w:p>
        </w:tc>
        <w:tc>
          <w:tcPr>
            <w:tcW w:w="3074" w:type="dxa"/>
            <w:vAlign w:val="center"/>
          </w:tcPr>
          <w:p>
            <w:pPr>
              <w:jc w:val="right"/>
              <w:rPr>
                <w:szCs w:val="21"/>
              </w:rPr>
            </w:pPr>
            <w:r>
              <w:rPr>
                <w:rFonts w:hint="eastAsia"/>
                <w:color w:val="auto"/>
              </w:rPr>
              <w:t>3,688,685.57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2907" w:type="dxa"/>
            <w:vAlign w:val="center"/>
          </w:tcPr>
          <w:p>
            <w:pPr>
              <w:autoSpaceDE w:val="0"/>
              <w:autoSpaceDN w:val="0"/>
              <w:adjustRightInd w:val="0"/>
              <w:snapToGrid w:val="0"/>
              <w:spacing w:line="240" w:lineRule="atLeast"/>
              <w:rPr>
                <w:szCs w:val="21"/>
              </w:rPr>
            </w:pPr>
            <w:r>
              <w:rPr>
                <w:rFonts w:hint="eastAsia"/>
              </w:rPr>
              <w:t>土地使用税</w:t>
            </w:r>
          </w:p>
        </w:tc>
        <w:tc>
          <w:tcPr>
            <w:tcW w:w="3074" w:type="dxa"/>
            <w:vAlign w:val="center"/>
          </w:tcPr>
          <w:p>
            <w:pPr>
              <w:autoSpaceDE w:val="0"/>
              <w:autoSpaceDN w:val="0"/>
              <w:adjustRightInd w:val="0"/>
              <w:snapToGrid w:val="0"/>
              <w:spacing w:line="240" w:lineRule="atLeast"/>
              <w:jc w:val="right"/>
              <w:rPr>
                <w:szCs w:val="21"/>
              </w:rPr>
            </w:pPr>
            <w:r>
              <w:rPr>
                <w:rFonts w:hint="eastAsia"/>
                <w:color w:val="auto"/>
              </w:rPr>
              <w:t>1,275,038.28</w:t>
            </w:r>
          </w:p>
        </w:tc>
        <w:tc>
          <w:tcPr>
            <w:tcW w:w="3074" w:type="dxa"/>
            <w:vAlign w:val="center"/>
          </w:tcPr>
          <w:p>
            <w:pPr>
              <w:jc w:val="right"/>
              <w:rPr>
                <w:szCs w:val="21"/>
              </w:rPr>
            </w:pPr>
            <w:r>
              <w:rPr>
                <w:rFonts w:hint="eastAsia"/>
                <w:color w:val="auto"/>
              </w:rPr>
              <w:t>1,275,038.28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2907" w:type="dxa"/>
            <w:vAlign w:val="center"/>
          </w:tcPr>
          <w:p>
            <w:pPr>
              <w:autoSpaceDE w:val="0"/>
              <w:autoSpaceDN w:val="0"/>
              <w:adjustRightInd w:val="0"/>
              <w:snapToGrid w:val="0"/>
              <w:spacing w:line="240" w:lineRule="atLeast"/>
              <w:rPr>
                <w:szCs w:val="21"/>
              </w:rPr>
            </w:pPr>
            <w:r>
              <w:rPr>
                <w:rFonts w:hint="eastAsia"/>
                <w:color w:val="auto"/>
                <w:szCs w:val="21"/>
              </w:rPr>
              <w:t>其他</w:t>
            </w:r>
          </w:p>
        </w:tc>
        <w:tc>
          <w:tcPr>
            <w:tcW w:w="3074" w:type="dxa"/>
            <w:vAlign w:val="center"/>
          </w:tcPr>
          <w:p>
            <w:pPr>
              <w:autoSpaceDE w:val="0"/>
              <w:autoSpaceDN w:val="0"/>
              <w:adjustRightInd w:val="0"/>
              <w:snapToGrid w:val="0"/>
              <w:spacing w:line="240" w:lineRule="atLeast"/>
              <w:jc w:val="right"/>
              <w:rPr>
                <w:szCs w:val="21"/>
              </w:rPr>
            </w:pPr>
            <w:r>
              <w:rPr>
                <w:rFonts w:hint="eastAsia"/>
                <w:color w:val="auto"/>
                <w:szCs w:val="21"/>
              </w:rPr>
              <w:t>753,846.26</w:t>
            </w:r>
          </w:p>
        </w:tc>
        <w:tc>
          <w:tcPr>
            <w:tcW w:w="3074" w:type="dxa"/>
            <w:vAlign w:val="center"/>
          </w:tcPr>
          <w:p>
            <w:pPr>
              <w:jc w:val="right"/>
              <w:rPr>
                <w:szCs w:val="21"/>
              </w:rPr>
            </w:pPr>
            <w:r>
              <w:rPr>
                <w:rFonts w:hint="eastAsia"/>
                <w:color w:val="auto"/>
              </w:rPr>
              <w:t>787,647.77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2907" w:type="dxa"/>
            <w:vAlign w:val="center"/>
          </w:tcPr>
          <w:p>
            <w:pPr>
              <w:autoSpaceDE w:val="0"/>
              <w:autoSpaceDN w:val="0"/>
              <w:adjustRightInd w:val="0"/>
              <w:snapToGrid w:val="0"/>
              <w:spacing w:line="240" w:lineRule="atLeast"/>
              <w:jc w:val="center"/>
              <w:rPr>
                <w:szCs w:val="21"/>
              </w:rPr>
            </w:pPr>
            <w:r>
              <w:rPr>
                <w:rFonts w:hint="eastAsia"/>
                <w:szCs w:val="21"/>
              </w:rPr>
              <w:t>合计</w:t>
            </w:r>
          </w:p>
        </w:tc>
        <w:tc>
          <w:tcPr>
            <w:tcW w:w="3074" w:type="dxa"/>
            <w:vAlign w:val="center"/>
          </w:tcPr>
          <w:p>
            <w:pPr>
              <w:autoSpaceDE w:val="0"/>
              <w:autoSpaceDN w:val="0"/>
              <w:adjustRightInd w:val="0"/>
              <w:snapToGrid w:val="0"/>
              <w:spacing w:line="240" w:lineRule="atLeast"/>
              <w:jc w:val="right"/>
              <w:rPr>
                <w:szCs w:val="21"/>
              </w:rPr>
            </w:pPr>
            <w:r>
              <w:rPr>
                <w:rFonts w:hint="eastAsia"/>
                <w:color w:val="auto"/>
                <w:szCs w:val="21"/>
              </w:rPr>
              <w:t>8,857,706.69</w:t>
            </w:r>
          </w:p>
        </w:tc>
        <w:tc>
          <w:tcPr>
            <w:tcW w:w="3074" w:type="dxa"/>
            <w:vAlign w:val="center"/>
          </w:tcPr>
          <w:p>
            <w:pPr>
              <w:jc w:val="right"/>
              <w:rPr>
                <w:szCs w:val="21"/>
              </w:rPr>
            </w:pPr>
            <w:r>
              <w:rPr>
                <w:rFonts w:hint="eastAsia"/>
                <w:color w:val="auto"/>
                <w:szCs w:val="21"/>
              </w:rPr>
              <w:t>8,853,038.99</w:t>
            </w:r>
          </w:p>
        </w:tc>
      </w:tr>
    </w:tbl>
    <w:p>
      <w:pPr>
        <w:spacing w:before="60" w:after="60"/>
        <w:rPr>
          <w:szCs w:val="21"/>
        </w:rPr>
      </w:pPr>
      <w:r>
        <w:rPr>
          <w:rFonts w:hint="eastAsia"/>
          <w:szCs w:val="21"/>
        </w:rPr>
        <w:t>其他说明：</w:t>
      </w:r>
    </w:p>
    <w:sdt>
      <w:sdtPr>
        <w:rPr>
          <w:rFonts w:hint="eastAsia"/>
          <w:szCs w:val="21"/>
        </w:rPr>
        <w:alias w:val="税金及附加说明"/>
        <w:tag w:val="_GBC_d333a7e7c5ed4b7896c9db975439c1ec"/>
        <w:id w:val="7624"/>
        <w:placeholder>
          <w:docPart w:val="GBC22222222222222222222222222222"/>
        </w:placeholder>
      </w:sdtPr>
      <w:sdtEndPr>
        <w:rPr>
          <w:rFonts w:hint="eastAsia"/>
          <w:szCs w:val="21"/>
        </w:rPr>
      </w:sdtEndPr>
      <w:sdtContent>
        <w:p>
          <w:pPr>
            <w:rPr>
              <w:szCs w:val="21"/>
            </w:rPr>
          </w:pPr>
          <w:r>
            <w:rPr>
              <w:rFonts w:hint="eastAsia"/>
              <w:szCs w:val="21"/>
            </w:rPr>
            <w:t>无</w:t>
          </w:r>
        </w:p>
      </w:sdtContent>
    </w:sdt>
    <w:p>
      <w:pPr>
        <w:rPr>
          <w:szCs w:val="21"/>
        </w:rPr>
      </w:pPr>
    </w:p>
    <w:sdt>
      <w:sdtPr>
        <w:tag w:val="_PLD_86c92c2e1f1a4f66a97d80725f66474b"/>
        <w:id w:val="7625"/>
      </w:sdtPr>
      <w:sdtEndPr>
        <w:rPr>
          <w:b/>
        </w:rPr>
      </w:sdtEndPr>
      <w:sdtContent>
        <w:p>
          <w:pPr>
            <w:pStyle w:val="4"/>
            <w:numPr>
              <w:ilvl w:val="0"/>
              <w:numId w:val="62"/>
            </w:numPr>
            <w:tabs>
              <w:tab w:val="left" w:pos="504"/>
            </w:tabs>
            <w:rPr>
              <w:rFonts w:hint="eastAsia" w:ascii="宋体" w:hAnsi="宋体" w:cs="宋体"/>
              <w:bCs w:val="0"/>
              <w:kern w:val="0"/>
              <w:szCs w:val="21"/>
            </w:rPr>
          </w:pPr>
          <w:r>
            <w:rPr>
              <w:rFonts w:hint="eastAsia" w:ascii="宋体" w:hAnsi="宋体" w:cs="宋体"/>
              <w:bCs w:val="0"/>
              <w:kern w:val="0"/>
              <w:szCs w:val="21"/>
            </w:rPr>
            <w:t>销售费用</w:t>
          </w:r>
        </w:p>
      </w:sdtContent>
    </w:sdt>
    <w:sdt>
      <w:sdtPr>
        <w:alias w:val="是否适用：销售费用[双击切换]"/>
        <w:tag w:val="_GBC_1a0ad35d35924f068ce1b2a2dc02a25f"/>
        <w:id w:val="7626"/>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pStyle w:val="56"/>
        <w:ind w:firstLine="0" w:firstLineChars="0"/>
        <w:jc w:val="right"/>
        <w:rPr>
          <w:rFonts w:hint="eastAsia" w:ascii="宋体" w:hAnsi="宋体"/>
          <w:szCs w:val="21"/>
        </w:rPr>
      </w:pPr>
      <w:r>
        <w:rPr>
          <w:rFonts w:hint="eastAsia" w:ascii="宋体" w:hAnsi="宋体"/>
          <w:szCs w:val="21"/>
        </w:rPr>
        <w:t>单位：</w:t>
      </w:r>
      <w:sdt>
        <w:sdtPr>
          <w:rPr>
            <w:rFonts w:hint="eastAsia" w:ascii="宋体" w:hAnsi="宋体"/>
            <w:szCs w:val="21"/>
          </w:rPr>
          <w:alias w:val="单位：销售费用"/>
          <w:tag w:val="_GBC_c5a59d97d8a94cda9b9fbd8a93ad19dc"/>
          <w:id w:val="762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ascii="宋体" w:hAnsi="宋体"/>
            <w:szCs w:val="21"/>
          </w:rPr>
        </w:sdtEndPr>
        <w:sdtContent>
          <w:r>
            <w:rPr>
              <w:rFonts w:hint="eastAsia" w:ascii="宋体" w:hAnsi="宋体"/>
              <w:szCs w:val="21"/>
            </w:rPr>
            <w:t>元</w:t>
          </w:r>
        </w:sdtContent>
      </w:sdt>
      <w:r>
        <w:rPr>
          <w:rFonts w:hint="eastAsia" w:ascii="宋体" w:hAnsi="宋体"/>
          <w:szCs w:val="21"/>
        </w:rPr>
        <w:t xml:space="preserve">  币种：</w:t>
      </w:r>
      <w:sdt>
        <w:sdtPr>
          <w:rPr>
            <w:rFonts w:hint="eastAsia" w:ascii="宋体" w:hAnsi="宋体"/>
            <w:szCs w:val="21"/>
          </w:rPr>
          <w:alias w:val="币种：销售费用"/>
          <w:tag w:val="_GBC_57a629bddf6343a1aebbefc90d9378b0"/>
          <w:id w:val="76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ascii="宋体" w:hAnsi="宋体"/>
            <w:szCs w:val="21"/>
          </w:rPr>
        </w:sdtEndPr>
        <w:sdtContent>
          <w:r>
            <w:rPr>
              <w:rFonts w:hint="eastAsia" w:ascii="宋体" w:hAnsi="宋体"/>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1"/>
        <w:gridCol w:w="2859"/>
        <w:gridCol w:w="2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1" w:type="dxa"/>
            <w:tcBorders>
              <w:top w:val="single" w:color="auto" w:sz="4" w:space="0"/>
              <w:left w:val="single" w:color="auto" w:sz="4" w:space="0"/>
              <w:bottom w:val="single" w:color="auto" w:sz="4" w:space="0"/>
              <w:right w:val="single" w:color="auto" w:sz="4" w:space="0"/>
            </w:tcBorders>
            <w:vAlign w:val="center"/>
          </w:tcPr>
          <w:sdt>
            <w:sdtPr>
              <w:tag w:val="_PLD_27c4bc503cfe4eafa415de62f182f2c1"/>
              <w:id w:val="7629"/>
            </w:sdtPr>
            <w:sdtContent>
              <w:p>
                <w:pPr>
                  <w:jc w:val="center"/>
                  <w:rPr>
                    <w:szCs w:val="21"/>
                  </w:rPr>
                </w:pPr>
                <w:r>
                  <w:rPr>
                    <w:rFonts w:hint="eastAsia"/>
                    <w:szCs w:val="21"/>
                  </w:rPr>
                  <w:t>项目</w:t>
                </w:r>
              </w:p>
            </w:sdtContent>
          </w:sdt>
        </w:tc>
        <w:tc>
          <w:tcPr>
            <w:tcW w:w="2859" w:type="dxa"/>
            <w:tcBorders>
              <w:top w:val="single" w:color="auto" w:sz="4" w:space="0"/>
              <w:left w:val="single" w:color="auto" w:sz="4" w:space="0"/>
              <w:bottom w:val="single" w:color="auto" w:sz="4" w:space="0"/>
              <w:right w:val="single" w:color="auto" w:sz="4" w:space="0"/>
            </w:tcBorders>
            <w:vAlign w:val="center"/>
          </w:tcPr>
          <w:sdt>
            <w:sdtPr>
              <w:tag w:val="_PLD_105cce5212fb42a182b1fd8e309ba67c"/>
              <w:id w:val="7630"/>
            </w:sdtPr>
            <w:sdtContent>
              <w:p>
                <w:pPr>
                  <w:jc w:val="center"/>
                  <w:rPr>
                    <w:szCs w:val="21"/>
                  </w:rPr>
                </w:pPr>
                <w:r>
                  <w:rPr>
                    <w:rFonts w:hint="eastAsia"/>
                    <w:szCs w:val="21"/>
                  </w:rPr>
                  <w:t>本期发生额</w:t>
                </w:r>
              </w:p>
            </w:sdtContent>
          </w:sdt>
        </w:tc>
        <w:tc>
          <w:tcPr>
            <w:tcW w:w="2857" w:type="dxa"/>
            <w:tcBorders>
              <w:top w:val="single" w:color="auto" w:sz="4" w:space="0"/>
              <w:left w:val="single" w:color="auto" w:sz="4" w:space="0"/>
              <w:bottom w:val="single" w:color="auto" w:sz="4" w:space="0"/>
              <w:right w:val="single" w:color="auto" w:sz="4" w:space="0"/>
            </w:tcBorders>
            <w:vAlign w:val="center"/>
          </w:tcPr>
          <w:sdt>
            <w:sdtPr>
              <w:tag w:val="_PLD_5f148659054c4187a80f7bdffc9e9cde"/>
              <w:id w:val="7631"/>
            </w:sdtPr>
            <w:sdtContent>
              <w:p>
                <w:pPr>
                  <w:jc w:val="center"/>
                  <w:rPr>
                    <w:szCs w:val="21"/>
                  </w:rPr>
                </w:pPr>
                <w:r>
                  <w:rPr>
                    <w:rFonts w:hint="eastAsia"/>
                    <w:szCs w:val="21"/>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1"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终端服务费用</w:t>
            </w:r>
          </w:p>
        </w:tc>
        <w:tc>
          <w:tcPr>
            <w:tcW w:w="285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47,628,090.31</w:t>
            </w:r>
          </w:p>
        </w:tc>
        <w:tc>
          <w:tcPr>
            <w:tcW w:w="285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47,507,538.90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1"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工资</w:t>
            </w:r>
          </w:p>
        </w:tc>
        <w:tc>
          <w:tcPr>
            <w:tcW w:w="285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21,564,689.20</w:t>
            </w:r>
          </w:p>
        </w:tc>
        <w:tc>
          <w:tcPr>
            <w:tcW w:w="285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22,763,417.97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1"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广告及宣传费</w:t>
            </w:r>
          </w:p>
        </w:tc>
        <w:tc>
          <w:tcPr>
            <w:tcW w:w="285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20,513,550.97</w:t>
            </w:r>
          </w:p>
        </w:tc>
        <w:tc>
          <w:tcPr>
            <w:tcW w:w="285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21,401,606.08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1"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差旅费及会议费</w:t>
            </w:r>
          </w:p>
        </w:tc>
        <w:tc>
          <w:tcPr>
            <w:tcW w:w="285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6,289,880.67</w:t>
            </w:r>
          </w:p>
        </w:tc>
        <w:tc>
          <w:tcPr>
            <w:tcW w:w="285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6,553,592.96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1"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社保公积金</w:t>
            </w:r>
          </w:p>
        </w:tc>
        <w:tc>
          <w:tcPr>
            <w:tcW w:w="285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6,009,949.43</w:t>
            </w:r>
          </w:p>
        </w:tc>
        <w:tc>
          <w:tcPr>
            <w:tcW w:w="285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6,130,708.66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1"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业务费</w:t>
            </w:r>
          </w:p>
        </w:tc>
        <w:tc>
          <w:tcPr>
            <w:tcW w:w="285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661,678.05</w:t>
            </w:r>
          </w:p>
        </w:tc>
        <w:tc>
          <w:tcPr>
            <w:tcW w:w="285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750,209.62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1"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办公费</w:t>
            </w:r>
          </w:p>
        </w:tc>
        <w:tc>
          <w:tcPr>
            <w:tcW w:w="285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854,446.32</w:t>
            </w:r>
          </w:p>
        </w:tc>
        <w:tc>
          <w:tcPr>
            <w:tcW w:w="285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865,073.17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1"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其他</w:t>
            </w:r>
          </w:p>
        </w:tc>
        <w:tc>
          <w:tcPr>
            <w:tcW w:w="285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4,654,592.91</w:t>
            </w:r>
          </w:p>
        </w:tc>
        <w:tc>
          <w:tcPr>
            <w:tcW w:w="285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7,052,049.65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1"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合计</w:t>
            </w:r>
          </w:p>
        </w:tc>
        <w:tc>
          <w:tcPr>
            <w:tcW w:w="285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108,176,877.86</w:t>
            </w:r>
          </w:p>
        </w:tc>
        <w:tc>
          <w:tcPr>
            <w:tcW w:w="285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113,024,197.01</w:t>
            </w:r>
          </w:p>
        </w:tc>
      </w:tr>
    </w:tbl>
    <w:p>
      <w:pPr>
        <w:spacing w:before="60" w:after="60"/>
        <w:rPr>
          <w:szCs w:val="21"/>
        </w:rPr>
      </w:pPr>
      <w:r>
        <w:rPr>
          <w:rFonts w:hint="eastAsia"/>
          <w:szCs w:val="21"/>
        </w:rPr>
        <w:t>其他说明：</w:t>
      </w:r>
    </w:p>
    <w:sdt>
      <w:sdtPr>
        <w:rPr>
          <w:szCs w:val="21"/>
        </w:rPr>
        <w:alias w:val="销售费用的其他说明事项"/>
        <w:tag w:val="_GBC_da5acaab2dfe4976b479907a904edb4f"/>
        <w:id w:val="7632"/>
        <w:placeholder>
          <w:docPart w:val="GBC22222222222222222222222222222"/>
        </w:placeholder>
      </w:sdtPr>
      <w:sdtEndPr>
        <w:rPr>
          <w:szCs w:val="21"/>
        </w:rPr>
      </w:sdtEndPr>
      <w:sdtContent>
        <w:p>
          <w:pPr>
            <w:rPr>
              <w:szCs w:val="21"/>
            </w:rPr>
          </w:pPr>
          <w:r>
            <w:rPr>
              <w:rFonts w:hint="eastAsia"/>
              <w:szCs w:val="21"/>
            </w:rPr>
            <w:t>无</w:t>
          </w:r>
        </w:p>
      </w:sdtContent>
    </w:sdt>
    <w:p>
      <w:pPr>
        <w:rPr>
          <w:szCs w:val="21"/>
        </w:rPr>
      </w:pPr>
    </w:p>
    <w:p>
      <w:pPr>
        <w:pStyle w:val="4"/>
        <w:numPr>
          <w:ilvl w:val="0"/>
          <w:numId w:val="62"/>
        </w:numPr>
        <w:tabs>
          <w:tab w:val="left" w:pos="504"/>
        </w:tabs>
        <w:rPr>
          <w:szCs w:val="21"/>
        </w:rPr>
      </w:pPr>
      <w:bookmarkStart w:id="353" w:name="_Hlk155098459"/>
      <w:bookmarkStart w:id="354" w:name="_Hlk532912714"/>
      <w:r>
        <w:rPr>
          <w:rFonts w:hint="eastAsia"/>
          <w:szCs w:val="21"/>
        </w:rPr>
        <w:t>管理费用</w:t>
      </w:r>
    </w:p>
    <w:sdt>
      <w:sdtPr>
        <w:alias w:val="是否适用：管理费用[双击切换]"/>
        <w:tag w:val="_GBC_b376fd9abaac4f3b8e5956b8dcd72faf"/>
        <w:id w:val="7633"/>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管理费用"/>
          <w:tag w:val="_GBC_73606f31bd404afb8bfe5aabe1a68278"/>
          <w:id w:val="763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管理费用"/>
          <w:tag w:val="_GBC_0549259a290d43c39c63d67cdad7f80d"/>
          <w:id w:val="76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5"/>
        <w:gridCol w:w="2604"/>
        <w:gridCol w:w="2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sdt>
            <w:sdtPr>
              <w:tag w:val="_PLD_588268d9a550441d943c27cfc1105eb0"/>
              <w:id w:val="147457647"/>
            </w:sdtPr>
            <w:sdtContent>
              <w:p>
                <w:pPr>
                  <w:jc w:val="center"/>
                </w:pPr>
                <w:r>
                  <w:rPr>
                    <w:rFonts w:hint="eastAsia"/>
                  </w:rPr>
                  <w:t>项目</w:t>
                </w:r>
              </w:p>
            </w:sdtContent>
          </w:sdt>
        </w:tc>
        <w:tc>
          <w:tcPr>
            <w:tcW w:w="2604" w:type="dxa"/>
            <w:tcBorders>
              <w:top w:val="single" w:color="auto" w:sz="4" w:space="0"/>
              <w:left w:val="single" w:color="auto" w:sz="4" w:space="0"/>
              <w:bottom w:val="single" w:color="auto" w:sz="4" w:space="0"/>
              <w:right w:val="single" w:color="auto" w:sz="4" w:space="0"/>
            </w:tcBorders>
            <w:vAlign w:val="center"/>
          </w:tcPr>
          <w:sdt>
            <w:sdtPr>
              <w:tag w:val="_PLD_0e4f4d04bcb2408d8a5744ac90a1f89b"/>
              <w:id w:val="147463229"/>
            </w:sdtPr>
            <w:sdtContent>
              <w:p>
                <w:pPr>
                  <w:jc w:val="center"/>
                </w:pPr>
                <w:r>
                  <w:rPr>
                    <w:rFonts w:hint="eastAsia"/>
                  </w:rPr>
                  <w:t>本期发生额</w:t>
                </w:r>
              </w:p>
            </w:sdtContent>
          </w:sdt>
        </w:tc>
        <w:tc>
          <w:tcPr>
            <w:tcW w:w="2439" w:type="dxa"/>
            <w:tcBorders>
              <w:top w:val="single" w:color="auto" w:sz="4" w:space="0"/>
              <w:left w:val="single" w:color="auto" w:sz="4" w:space="0"/>
              <w:bottom w:val="single" w:color="auto" w:sz="4" w:space="0"/>
              <w:right w:val="single" w:color="auto" w:sz="4" w:space="0"/>
            </w:tcBorders>
            <w:vAlign w:val="center"/>
          </w:tcPr>
          <w:sdt>
            <w:sdtPr>
              <w:tag w:val="_PLD_6f1ab61237164c0db56540ae1980b62c"/>
              <w:id w:val="147466816"/>
            </w:sdtPr>
            <w:sdtContent>
              <w:p>
                <w:pPr>
                  <w:jc w:val="center"/>
                </w:pPr>
                <w:r>
                  <w:rPr>
                    <w:rFonts w:hint="eastAsia"/>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r>
              <w:rPr>
                <w:rFonts w:hint="eastAsia"/>
                <w:color w:val="auto"/>
              </w:rPr>
              <w:t>职工薪酬</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46,264,778.66</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45,883,131.00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r>
              <w:rPr>
                <w:rFonts w:hint="eastAsia"/>
                <w:color w:val="auto"/>
              </w:rPr>
              <w:t>折旧及摊销</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14,596,553.05</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13,001,649.30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r>
              <w:rPr>
                <w:rFonts w:hint="eastAsia"/>
                <w:color w:val="auto"/>
              </w:rPr>
              <w:t>水电费</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3,774,090.22</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3,984,419.82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r>
              <w:rPr>
                <w:rFonts w:hint="eastAsia"/>
                <w:color w:val="auto"/>
              </w:rPr>
              <w:t>修理费</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3,745,805.61</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3,278,430.07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r>
              <w:rPr>
                <w:rFonts w:hint="eastAsia"/>
                <w:color w:val="auto"/>
              </w:rPr>
              <w:t>办公费</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3,046,105.00</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2,271,082.30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r>
              <w:rPr>
                <w:rFonts w:hint="eastAsia"/>
                <w:color w:val="auto"/>
              </w:rPr>
              <w:t>中介费用</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1,908,647.51</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1,577,283.62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r>
              <w:rPr>
                <w:rFonts w:hint="eastAsia"/>
                <w:color w:val="auto"/>
              </w:rPr>
              <w:t>租赁费</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1,241,429.75</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1,564,370.13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r>
              <w:rPr>
                <w:rFonts w:hint="eastAsia"/>
                <w:color w:val="auto"/>
              </w:rPr>
              <w:t>物料消耗</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1,214,174.01</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1,455,022.86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r>
              <w:rPr>
                <w:rFonts w:hint="eastAsia"/>
                <w:color w:val="auto"/>
              </w:rPr>
              <w:t>业务招待费</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796,475.58</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763,133.44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r>
              <w:rPr>
                <w:rFonts w:hint="eastAsia"/>
                <w:color w:val="auto"/>
              </w:rPr>
              <w:t>其他</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7,448,491.28</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9,978,149.26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合计</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84,036,550.67</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83,756,671.80</w:t>
            </w:r>
          </w:p>
        </w:tc>
      </w:tr>
    </w:tbl>
    <w:p/>
    <w:p>
      <w:pPr>
        <w:rPr>
          <w:szCs w:val="21"/>
        </w:rPr>
      </w:pPr>
      <w:r>
        <w:rPr>
          <w:rFonts w:hint="eastAsia"/>
          <w:szCs w:val="21"/>
        </w:rPr>
        <w:t>他说明：</w:t>
      </w:r>
    </w:p>
    <w:sdt>
      <w:sdtPr>
        <w:rPr>
          <w:szCs w:val="21"/>
        </w:rPr>
        <w:alias w:val="管理费用的其他说明事项"/>
        <w:tag w:val="_GBC_9b151103b3714e6c9261d3362f24bd0a"/>
        <w:id w:val="7639"/>
        <w:placeholder>
          <w:docPart w:val="GBC22222222222222222222222222222"/>
        </w:placeholder>
      </w:sdtPr>
      <w:sdtEndPr>
        <w:rPr>
          <w:szCs w:val="21"/>
        </w:rPr>
      </w:sdtEndPr>
      <w:sdtContent>
        <w:p>
          <w:pPr>
            <w:rPr>
              <w:szCs w:val="21"/>
            </w:rPr>
          </w:pPr>
          <w:r>
            <w:rPr>
              <w:rFonts w:hint="eastAsia"/>
              <w:szCs w:val="21"/>
            </w:rPr>
            <w:t>无</w:t>
          </w:r>
        </w:p>
      </w:sdtContent>
    </w:sdt>
    <w:p>
      <w:pPr>
        <w:rPr>
          <w:szCs w:val="21"/>
        </w:rPr>
      </w:pPr>
    </w:p>
    <w:p>
      <w:pPr>
        <w:pStyle w:val="4"/>
        <w:numPr>
          <w:ilvl w:val="0"/>
          <w:numId w:val="62"/>
        </w:numPr>
        <w:tabs>
          <w:tab w:val="left" w:pos="504"/>
        </w:tabs>
        <w:rPr>
          <w:szCs w:val="21"/>
        </w:rPr>
      </w:pPr>
      <w:r>
        <w:rPr>
          <w:rFonts w:hint="eastAsia"/>
          <w:szCs w:val="21"/>
        </w:rPr>
        <w:t>研发费用</w:t>
      </w:r>
    </w:p>
    <w:sdt>
      <w:sdtPr>
        <w:rPr>
          <w:szCs w:val="21"/>
        </w:rPr>
        <w:alias w:val="是否适用：研发费用[双击切换]"/>
        <w:tag w:val="_GBC_9898510b9c0a486f9cd9779f4b72b75c"/>
        <w:id w:val="7640"/>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pStyle w:val="56"/>
        <w:ind w:left="420" w:firstLine="0" w:firstLineChars="0"/>
        <w:jc w:val="right"/>
        <w:rPr>
          <w:szCs w:val="21"/>
        </w:rPr>
      </w:pPr>
      <w:r>
        <w:rPr>
          <w:rFonts w:hint="eastAsia"/>
          <w:szCs w:val="21"/>
        </w:rPr>
        <w:t>单位：</w:t>
      </w:r>
      <w:sdt>
        <w:sdtPr>
          <w:rPr>
            <w:rFonts w:hint="eastAsia"/>
            <w:szCs w:val="21"/>
          </w:rPr>
          <w:alias w:val="单位：研发费用"/>
          <w:tag w:val="_GBC_f2389528805243908680cac1cbf74aac"/>
          <w:id w:val="764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研发费用"/>
          <w:tag w:val="_GBC_fd53f958c2294dce9fb017f8207a7ff4"/>
          <w:id w:val="764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5"/>
        <w:gridCol w:w="2604"/>
        <w:gridCol w:w="2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sdt>
            <w:sdtPr>
              <w:tag w:val="_PLD_70c22a459f7a4323bcf2b066e0398aee"/>
              <w:id w:val="7643"/>
            </w:sdtPr>
            <w:sdtContent>
              <w:p>
                <w:pPr>
                  <w:jc w:val="center"/>
                  <w:rPr>
                    <w:szCs w:val="21"/>
                  </w:rPr>
                </w:pPr>
                <w:r>
                  <w:rPr>
                    <w:rFonts w:hint="eastAsia"/>
                    <w:szCs w:val="21"/>
                  </w:rPr>
                  <w:t>项目</w:t>
                </w:r>
              </w:p>
            </w:sdtContent>
          </w:sdt>
        </w:tc>
        <w:tc>
          <w:tcPr>
            <w:tcW w:w="2604" w:type="dxa"/>
            <w:tcBorders>
              <w:top w:val="single" w:color="auto" w:sz="4" w:space="0"/>
              <w:left w:val="single" w:color="auto" w:sz="4" w:space="0"/>
              <w:bottom w:val="single" w:color="auto" w:sz="4" w:space="0"/>
              <w:right w:val="single" w:color="auto" w:sz="4" w:space="0"/>
            </w:tcBorders>
            <w:vAlign w:val="center"/>
          </w:tcPr>
          <w:sdt>
            <w:sdtPr>
              <w:tag w:val="_PLD_76c559fcf2df4f56bfb2994739826eb3"/>
              <w:id w:val="7644"/>
            </w:sdtPr>
            <w:sdtContent>
              <w:p>
                <w:pPr>
                  <w:jc w:val="center"/>
                  <w:rPr>
                    <w:szCs w:val="21"/>
                  </w:rPr>
                </w:pPr>
                <w:r>
                  <w:rPr>
                    <w:rFonts w:hint="eastAsia"/>
                    <w:szCs w:val="21"/>
                  </w:rPr>
                  <w:t>本期发生额</w:t>
                </w:r>
              </w:p>
            </w:sdtContent>
          </w:sdt>
        </w:tc>
        <w:tc>
          <w:tcPr>
            <w:tcW w:w="2439" w:type="dxa"/>
            <w:tcBorders>
              <w:top w:val="single" w:color="auto" w:sz="4" w:space="0"/>
              <w:left w:val="single" w:color="auto" w:sz="4" w:space="0"/>
              <w:bottom w:val="single" w:color="auto" w:sz="4" w:space="0"/>
              <w:right w:val="single" w:color="auto" w:sz="4" w:space="0"/>
            </w:tcBorders>
            <w:vAlign w:val="center"/>
          </w:tcPr>
          <w:sdt>
            <w:sdtPr>
              <w:tag w:val="_PLD_ec7e9f373a83410d886ebef444573eb8"/>
              <w:id w:val="7645"/>
            </w:sdtPr>
            <w:sdtContent>
              <w:p>
                <w:pPr>
                  <w:jc w:val="center"/>
                  <w:rPr>
                    <w:szCs w:val="21"/>
                  </w:rPr>
                </w:pPr>
                <w:r>
                  <w:rPr>
                    <w:rFonts w:hint="eastAsia"/>
                    <w:szCs w:val="21"/>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职工薪酬</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10,369,835.59</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9,150,687.46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服务费</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3,792,494.32</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2,669,782.79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物料消耗</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839,389.53</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967,965.64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折旧及摊销</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939,472.74</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964,021.57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水电汽费用</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302,039.96</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322,973.32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差旅费</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352,725.10</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282,413.13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其他</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rPr>
                <w:rFonts w:hint="eastAsia" w:eastAsia="宋体"/>
                <w:szCs w:val="21"/>
                <w:lang w:val="en-US" w:eastAsia="zh-CN"/>
              </w:rPr>
            </w:pPr>
            <w:r>
              <w:rPr>
                <w:rFonts w:hint="eastAsia"/>
                <w:color w:val="auto"/>
              </w:rPr>
              <w:t>2,503,058.9</w:t>
            </w:r>
            <w:r>
              <w:rPr>
                <w:rFonts w:hint="eastAsia"/>
                <w:color w:val="auto"/>
                <w:lang w:val="en-US" w:eastAsia="zh-CN"/>
              </w:rPr>
              <w:t>0</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2,967,877.49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合计</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19,099,016.14</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17,325,721.40</w:t>
            </w:r>
          </w:p>
        </w:tc>
      </w:tr>
    </w:tbl>
    <w:p>
      <w:pPr>
        <w:rPr>
          <w:szCs w:val="21"/>
        </w:rPr>
      </w:pPr>
      <w:r>
        <w:rPr>
          <w:rFonts w:hint="eastAsia"/>
          <w:szCs w:val="21"/>
        </w:rPr>
        <w:t>其他说明：</w:t>
      </w:r>
    </w:p>
    <w:sdt>
      <w:sdtPr>
        <w:alias w:val="研发费用其他说明"/>
        <w:tag w:val="_GBC_da0db64d68d44b2fa6262eeadfe7c926"/>
        <w:id w:val="7646"/>
        <w:placeholder>
          <w:docPart w:val="GBC22222222222222222222222222222"/>
        </w:placeholder>
      </w:sdtPr>
      <w:sdtContent>
        <w:p>
          <w:r>
            <w:t>无</w:t>
          </w:r>
        </w:p>
      </w:sdtContent>
    </w:sdt>
    <w:p/>
    <w:bookmarkEnd w:id="353"/>
    <w:bookmarkEnd w:id="354"/>
    <w:p>
      <w:pPr>
        <w:pStyle w:val="4"/>
        <w:numPr>
          <w:ilvl w:val="0"/>
          <w:numId w:val="62"/>
        </w:numPr>
        <w:tabs>
          <w:tab w:val="left" w:pos="504"/>
        </w:tabs>
        <w:rPr>
          <w:szCs w:val="21"/>
        </w:rPr>
      </w:pPr>
      <w:r>
        <w:rPr>
          <w:rFonts w:hint="eastAsia"/>
          <w:szCs w:val="21"/>
        </w:rPr>
        <w:t>财务费用</w:t>
      </w:r>
    </w:p>
    <w:sdt>
      <w:sdtPr>
        <w:alias w:val="是否适用：财务费用[双击切换]"/>
        <w:tag w:val="_GBC_7e467c6faebc402ab141f588df31680d"/>
        <w:id w:val="7647"/>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财务费用"/>
          <w:tag w:val="_GBC_adcf988d29cd43aba011ce1310eac264"/>
          <w:id w:val="764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财务费用"/>
          <w:tag w:val="_GBC_f6066e571d54449daf358ae3037f9712"/>
          <w:id w:val="764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5"/>
        <w:gridCol w:w="2604"/>
        <w:gridCol w:w="2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sdt>
            <w:sdtPr>
              <w:tag w:val="_PLD_49977e87dd3f474489b24bbaed00293d"/>
              <w:id w:val="7650"/>
            </w:sdtPr>
            <w:sdtContent>
              <w:p>
                <w:pPr>
                  <w:jc w:val="center"/>
                </w:pPr>
                <w:r>
                  <w:rPr>
                    <w:rFonts w:hint="eastAsia"/>
                  </w:rPr>
                  <w:t>项目</w:t>
                </w:r>
              </w:p>
            </w:sdtContent>
          </w:sdt>
        </w:tc>
        <w:tc>
          <w:tcPr>
            <w:tcW w:w="2604" w:type="dxa"/>
            <w:tcBorders>
              <w:top w:val="single" w:color="auto" w:sz="4" w:space="0"/>
              <w:left w:val="single" w:color="auto" w:sz="4" w:space="0"/>
              <w:bottom w:val="single" w:color="auto" w:sz="4" w:space="0"/>
              <w:right w:val="single" w:color="auto" w:sz="4" w:space="0"/>
            </w:tcBorders>
            <w:vAlign w:val="center"/>
          </w:tcPr>
          <w:sdt>
            <w:sdtPr>
              <w:tag w:val="_PLD_f64aa2e290ce4904a39347c56117acb7"/>
              <w:id w:val="7651"/>
            </w:sdtPr>
            <w:sdtContent>
              <w:p>
                <w:pPr>
                  <w:jc w:val="center"/>
                </w:pPr>
                <w:r>
                  <w:rPr>
                    <w:rFonts w:hint="eastAsia"/>
                  </w:rPr>
                  <w:t>本期发生额</w:t>
                </w:r>
              </w:p>
            </w:sdtContent>
          </w:sdt>
        </w:tc>
        <w:tc>
          <w:tcPr>
            <w:tcW w:w="2439" w:type="dxa"/>
            <w:tcBorders>
              <w:top w:val="single" w:color="auto" w:sz="4" w:space="0"/>
              <w:left w:val="single" w:color="auto" w:sz="4" w:space="0"/>
              <w:bottom w:val="single" w:color="auto" w:sz="4" w:space="0"/>
              <w:right w:val="single" w:color="auto" w:sz="4" w:space="0"/>
            </w:tcBorders>
            <w:vAlign w:val="center"/>
          </w:tcPr>
          <w:sdt>
            <w:sdtPr>
              <w:tag w:val="_PLD_178c78585f7e495ebd86923cb8c24338"/>
              <w:id w:val="7652"/>
            </w:sdtPr>
            <w:sdtContent>
              <w:p>
                <w:pPr>
                  <w:jc w:val="center"/>
                </w:pPr>
                <w:r>
                  <w:rPr>
                    <w:rFonts w:hint="eastAsia"/>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r>
              <w:rPr>
                <w:rFonts w:hint="eastAsia"/>
                <w:color w:val="auto"/>
              </w:rPr>
              <w:t>利息支出</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2,367,383.72</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2,335,611.78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r>
              <w:rPr>
                <w:rFonts w:hint="eastAsia"/>
                <w:color w:val="auto"/>
              </w:rPr>
              <w:t>减：利息收入</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34,446,603.92</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40,724,565.82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r>
              <w:rPr>
                <w:rFonts w:hint="eastAsia"/>
                <w:color w:val="auto"/>
              </w:rPr>
              <w:t>汇兑损益</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617,541.02</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-1,022,179.33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r>
              <w:rPr>
                <w:rFonts w:hint="eastAsia"/>
                <w:color w:val="auto"/>
              </w:rPr>
              <w:t>银行手续费及其他</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152,740.88</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148,094.23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合计</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-31,308,938.30</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pPr>
            <w:r>
              <w:rPr>
                <w:rFonts w:hint="eastAsia"/>
                <w:color w:val="auto"/>
              </w:rPr>
              <w:t>-39,263,039.14</w:t>
            </w:r>
          </w:p>
        </w:tc>
      </w:tr>
    </w:tbl>
    <w:p>
      <w:pPr>
        <w:rPr>
          <w:szCs w:val="21"/>
        </w:rPr>
      </w:pPr>
      <w:r>
        <w:rPr>
          <w:rFonts w:hint="eastAsia"/>
          <w:szCs w:val="21"/>
        </w:rPr>
        <w:t>其他说明：</w:t>
      </w:r>
    </w:p>
    <w:sdt>
      <w:sdtPr>
        <w:rPr>
          <w:szCs w:val="21"/>
        </w:rPr>
        <w:alias w:val="财务费用的其他说明事项"/>
        <w:tag w:val="_GBC_ac6200ee95c7483d9ee9565f49369f9a"/>
        <w:id w:val="7653"/>
        <w:placeholder>
          <w:docPart w:val="GBC22222222222222222222222222222"/>
        </w:placeholder>
      </w:sdtPr>
      <w:sdtEndPr>
        <w:rPr>
          <w:szCs w:val="21"/>
        </w:rPr>
      </w:sdtEndPr>
      <w:sdtContent>
        <w:p>
          <w:pPr>
            <w:rPr>
              <w:szCs w:val="21"/>
            </w:rPr>
          </w:pPr>
          <w:r>
            <w:rPr>
              <w:rFonts w:hint="eastAsia"/>
              <w:szCs w:val="21"/>
            </w:rPr>
            <w:t>无</w:t>
          </w:r>
        </w:p>
      </w:sdtContent>
    </w:sdt>
    <w:p>
      <w:pPr>
        <w:rPr>
          <w:szCs w:val="21"/>
        </w:rPr>
      </w:pPr>
    </w:p>
    <w:p>
      <w:pPr>
        <w:pStyle w:val="4"/>
        <w:numPr>
          <w:ilvl w:val="0"/>
          <w:numId w:val="62"/>
        </w:numPr>
        <w:tabs>
          <w:tab w:val="left" w:pos="504"/>
        </w:tabs>
      </w:pPr>
      <w:r>
        <w:rPr>
          <w:rFonts w:hint="eastAsia"/>
        </w:rPr>
        <w:t>其他收益</w:t>
      </w:r>
    </w:p>
    <w:sdt>
      <w:sdtPr>
        <w:rPr>
          <w:bCs/>
        </w:rPr>
        <w:alias w:val="是否适用：财务报表其他收益[双击切换]"/>
        <w:tag w:val="_GBC_24722ffac3b6474db1e1d7972d6e4a7b"/>
        <w:id w:val="7654"/>
        <w:placeholder>
          <w:docPart w:val="GBC22222222222222222222222222222"/>
        </w:placeholder>
      </w:sdtPr>
      <w:sdtEndPr>
        <w:rPr>
          <w:bCs/>
        </w:rPr>
      </w:sdtEndPr>
      <w:sdtContent>
        <w:p>
          <w:pPr>
            <w:rPr>
              <w:bCs/>
            </w:rPr>
          </w:pPr>
          <w:r>
            <w:rPr>
              <w:rFonts w:ascii="宋体" w:hAnsi="宋体"/>
              <w:bCs/>
            </w:rPr>
            <w:fldChar w:fldCharType="begin"/>
          </w:r>
          <w:r>
            <w:rPr>
              <w:rFonts w:ascii="宋体" w:hAnsi="宋体"/>
              <w:bCs/>
            </w:rPr>
            <w:instrText xml:space="preserve"> MACROBUTTON  SnrToggleCheckbox √适用 </w:instrText>
          </w:r>
          <w:r>
            <w:rPr>
              <w:rFonts w:ascii="宋体" w:hAnsi="宋体"/>
              <w:bCs/>
            </w:rPr>
            <w:fldChar w:fldCharType="end"/>
          </w:r>
          <w:r>
            <w:rPr>
              <w:rFonts w:ascii="宋体" w:hAnsi="宋体"/>
              <w:bCs/>
            </w:rPr>
            <w:fldChar w:fldCharType="begin"/>
          </w:r>
          <w:r>
            <w:rPr>
              <w:rFonts w:ascii="宋体" w:hAnsi="宋体"/>
              <w:bCs/>
            </w:rPr>
            <w:instrText xml:space="preserve"> MACROBUTTON  SnrToggleCheckbox □不适用 </w:instrText>
          </w:r>
          <w:r>
            <w:rPr>
              <w:rFonts w:ascii="宋体" w:hAnsi="宋体"/>
              <w:bCs/>
            </w:rPr>
            <w:fldChar w:fldCharType="end"/>
          </w:r>
        </w:p>
      </w:sdtContent>
    </w:sdt>
    <w:p>
      <w:pPr>
        <w:pStyle w:val="56"/>
        <w:ind w:left="420" w:firstLine="0" w:firstLineChars="0"/>
        <w:jc w:val="right"/>
        <w:rPr>
          <w:bCs/>
        </w:rPr>
      </w:pPr>
      <w:r>
        <w:rPr>
          <w:bCs/>
        </w:rPr>
        <w:t>单位：</w:t>
      </w:r>
      <w:sdt>
        <w:sdtPr>
          <w:rPr>
            <w:bCs/>
          </w:rPr>
          <w:alias w:val="单位：财务报表其他收益明细"/>
          <w:tag w:val="_GBC_74ea52f952324be7ab2c4c494ff673ce"/>
          <w:id w:val="76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bCs/>
          </w:rPr>
        </w:sdtEndPr>
        <w:sdtContent>
          <w:r>
            <w:rPr>
              <w:bCs/>
            </w:rPr>
            <w:t>元</w:t>
          </w:r>
        </w:sdtContent>
      </w:sdt>
      <w:r>
        <w:rPr>
          <w:bCs/>
        </w:rPr>
        <w:t xml:space="preserve">  币种：</w:t>
      </w:r>
      <w:sdt>
        <w:sdtPr>
          <w:rPr>
            <w:bCs/>
          </w:rPr>
          <w:alias w:val="币种：财务报表其他收益明细"/>
          <w:tag w:val="_GBC_8360ed9b182a496c9b5d2220a414a4cb"/>
          <w:id w:val="765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bCs/>
          </w:rPr>
        </w:sdtEndPr>
        <w:sdtContent>
          <w:r>
            <w:rPr>
              <w:bCs/>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5"/>
        <w:gridCol w:w="3016"/>
        <w:gridCol w:w="3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vAlign w:val="center"/>
          </w:tcPr>
          <w:sdt>
            <w:sdtPr>
              <w:tag w:val="_PLD_7df5d6dc8fe1463b8e0d41784241e311"/>
              <w:id w:val="147470505"/>
            </w:sdtPr>
            <w:sdtContent>
              <w:p>
                <w:pPr>
                  <w:widowControl w:val="0"/>
                  <w:jc w:val="center"/>
                </w:pPr>
                <w:r>
                  <w:rPr>
                    <w:rFonts w:hint="eastAsia"/>
                  </w:rPr>
                  <w:t>按性质分类</w:t>
                </w:r>
              </w:p>
            </w:sdtContent>
          </w:sdt>
        </w:tc>
        <w:tc>
          <w:tcPr>
            <w:tcW w:w="3016" w:type="dxa"/>
            <w:vAlign w:val="center"/>
          </w:tcPr>
          <w:sdt>
            <w:sdtPr>
              <w:tag w:val="_PLD_2c34d48a6a534080943d2d340c325c15"/>
              <w:id w:val="147453575"/>
            </w:sdtPr>
            <w:sdtContent>
              <w:p>
                <w:pPr>
                  <w:widowControl w:val="0"/>
                  <w:jc w:val="center"/>
                </w:pPr>
                <w:r>
                  <w:rPr>
                    <w:rFonts w:hint="eastAsia"/>
                  </w:rPr>
                  <w:t>本期发生额</w:t>
                </w:r>
              </w:p>
            </w:sdtContent>
          </w:sdt>
        </w:tc>
        <w:tc>
          <w:tcPr>
            <w:tcW w:w="3016" w:type="dxa"/>
            <w:vAlign w:val="center"/>
          </w:tcPr>
          <w:sdt>
            <w:sdtPr>
              <w:tag w:val="_PLD_1a2c9ed0a9704089897421e22b8696dd"/>
              <w:id w:val="147467006"/>
            </w:sdtPr>
            <w:sdtContent>
              <w:p>
                <w:pPr>
                  <w:widowControl w:val="0"/>
                  <w:jc w:val="center"/>
                </w:pPr>
                <w:r>
                  <w:rPr>
                    <w:rFonts w:hint="eastAsia"/>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vAlign w:val="center"/>
          </w:tcPr>
          <w:p>
            <w:pPr>
              <w:widowControl w:val="0"/>
            </w:pPr>
            <w:r>
              <w:rPr>
                <w:rFonts w:hint="eastAsia"/>
                <w:color w:val="auto"/>
              </w:rPr>
              <w:t>政府补助</w:t>
            </w:r>
          </w:p>
        </w:tc>
        <w:tc>
          <w:tcPr>
            <w:tcW w:w="3016" w:type="dxa"/>
            <w:vAlign w:val="center"/>
          </w:tcPr>
          <w:p>
            <w:pPr>
              <w:widowControl w:val="0"/>
              <w:jc w:val="right"/>
            </w:pPr>
            <w:r>
              <w:rPr>
                <w:rFonts w:hint="eastAsia"/>
                <w:color w:val="auto"/>
              </w:rPr>
              <w:t>3,644,418.48</w:t>
            </w:r>
          </w:p>
        </w:tc>
        <w:tc>
          <w:tcPr>
            <w:tcW w:w="3016" w:type="dxa"/>
            <w:vAlign w:val="center"/>
          </w:tcPr>
          <w:p>
            <w:pPr>
              <w:widowControl w:val="0"/>
              <w:jc w:val="right"/>
            </w:pPr>
            <w:r>
              <w:rPr>
                <w:rFonts w:hint="eastAsia"/>
                <w:color w:val="auto"/>
              </w:rPr>
              <w:t>2,645,089.44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vAlign w:val="center"/>
          </w:tcPr>
          <w:p>
            <w:pPr>
              <w:widowControl w:val="0"/>
              <w:rPr>
                <w:rFonts w:hint="eastAsia"/>
              </w:rPr>
            </w:pPr>
            <w:r>
              <w:t>进项税加计扣除</w:t>
            </w:r>
          </w:p>
        </w:tc>
        <w:tc>
          <w:tcPr>
            <w:tcW w:w="3016" w:type="dxa"/>
            <w:vAlign w:val="center"/>
          </w:tcPr>
          <w:p>
            <w:pPr>
              <w:widowControl w:val="0"/>
              <w:jc w:val="right"/>
              <w:rPr>
                <w:rFonts w:hint="eastAsia"/>
              </w:rPr>
            </w:pPr>
            <w:r>
              <w:t>5,107,244.92</w:t>
            </w:r>
          </w:p>
        </w:tc>
        <w:tc>
          <w:tcPr>
            <w:tcW w:w="3016" w:type="dxa"/>
            <w:vAlign w:val="center"/>
          </w:tcPr>
          <w:p>
            <w:pPr>
              <w:widowControl w:val="0"/>
              <w:jc w:val="right"/>
              <w:rPr>
                <w:rFonts w:hint="eastAsia"/>
              </w:rPr>
            </w:pPr>
            <w:r>
              <w:t>5,179,827.07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vAlign w:val="center"/>
          </w:tcPr>
          <w:p>
            <w:pPr>
              <w:widowControl w:val="0"/>
            </w:pPr>
            <w:r>
              <w:rPr>
                <w:rFonts w:hint="eastAsia"/>
                <w:color w:val="auto"/>
              </w:rPr>
              <w:t>个税返还及其他</w:t>
            </w:r>
          </w:p>
        </w:tc>
        <w:tc>
          <w:tcPr>
            <w:tcW w:w="3016" w:type="dxa"/>
            <w:vAlign w:val="center"/>
          </w:tcPr>
          <w:p>
            <w:pPr>
              <w:widowControl w:val="0"/>
              <w:jc w:val="right"/>
            </w:pPr>
            <w:r>
              <w:rPr>
                <w:rFonts w:hint="eastAsia"/>
                <w:color w:val="auto"/>
              </w:rPr>
              <w:t>12,202.78</w:t>
            </w:r>
          </w:p>
        </w:tc>
        <w:tc>
          <w:tcPr>
            <w:tcW w:w="3016" w:type="dxa"/>
            <w:vAlign w:val="center"/>
          </w:tcPr>
          <w:p>
            <w:pPr>
              <w:widowControl w:val="0"/>
              <w:jc w:val="right"/>
            </w:pPr>
            <w:r>
              <w:rPr>
                <w:rFonts w:hint="eastAsia"/>
                <w:color w:val="auto"/>
              </w:rPr>
              <w:t>17,920.74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vAlign w:val="center"/>
          </w:tcPr>
          <w:p>
            <w:pPr>
              <w:widowControl w:val="0"/>
              <w:jc w:val="center"/>
            </w:pPr>
            <w:r>
              <w:rPr>
                <w:rFonts w:hint="eastAsia"/>
              </w:rPr>
              <w:t>合计</w:t>
            </w:r>
          </w:p>
        </w:tc>
        <w:tc>
          <w:tcPr>
            <w:tcW w:w="3016" w:type="dxa"/>
            <w:vAlign w:val="center"/>
          </w:tcPr>
          <w:p>
            <w:pPr>
              <w:widowControl w:val="0"/>
              <w:jc w:val="right"/>
            </w:pPr>
            <w:r>
              <w:rPr>
                <w:rFonts w:hint="eastAsia"/>
                <w:color w:val="auto"/>
              </w:rPr>
              <w:t>8,763,866.18</w:t>
            </w:r>
          </w:p>
        </w:tc>
        <w:tc>
          <w:tcPr>
            <w:tcW w:w="3016" w:type="dxa"/>
            <w:vAlign w:val="center"/>
          </w:tcPr>
          <w:p>
            <w:pPr>
              <w:widowControl w:val="0"/>
              <w:jc w:val="right"/>
            </w:pPr>
            <w:r>
              <w:rPr>
                <w:rFonts w:hint="eastAsia"/>
                <w:color w:val="auto"/>
              </w:rPr>
              <w:t>7,842,837.25</w:t>
            </w:r>
          </w:p>
        </w:tc>
      </w:tr>
    </w:tbl>
    <w:p/>
    <w:p>
      <w:r>
        <w:rPr>
          <w:rFonts w:hint="eastAsia"/>
          <w:lang w:val="en-US" w:eastAsia="zh-CN"/>
        </w:rPr>
        <w:t>其</w:t>
      </w:r>
      <w:r>
        <w:rPr>
          <w:rFonts w:hint="eastAsia"/>
        </w:rPr>
        <w:t>他说明：</w:t>
      </w:r>
    </w:p>
    <w:sdt>
      <w:sdtPr>
        <w:alias w:val="财务报表其他收益其他说明"/>
        <w:tag w:val="_GBC_4b4ba73a66704c609e7c6617d0fa6694"/>
        <w:id w:val="7660"/>
        <w:placeholder>
          <w:docPart w:val="GBC22222222222222222222222222222"/>
        </w:placeholder>
      </w:sdtPr>
      <w:sdtContent>
        <w:p>
          <w:r>
            <w:t>无</w:t>
          </w:r>
        </w:p>
      </w:sdtContent>
    </w:sdt>
    <w:p/>
    <w:p>
      <w:pPr>
        <w:pStyle w:val="4"/>
        <w:numPr>
          <w:ilvl w:val="0"/>
          <w:numId w:val="62"/>
        </w:numPr>
        <w:tabs>
          <w:tab w:val="left" w:pos="504"/>
        </w:tabs>
        <w:rPr>
          <w:rFonts w:hint="eastAsia" w:ascii="宋体" w:hAnsi="宋体"/>
          <w:szCs w:val="21"/>
        </w:rPr>
      </w:pPr>
      <w:bookmarkStart w:id="355" w:name="_Hlk11857276"/>
      <w:bookmarkEnd w:id="355"/>
      <w:bookmarkStart w:id="356" w:name="_Hlk24027658"/>
      <w:r>
        <w:rPr>
          <w:rFonts w:hint="eastAsia" w:ascii="宋体" w:hAnsi="宋体"/>
          <w:szCs w:val="21"/>
        </w:rPr>
        <w:t>投资收益</w:t>
      </w:r>
    </w:p>
    <w:sdt>
      <w:sdtPr>
        <w:alias w:val="是否适用：投资收益[双击切换]"/>
        <w:tag w:val="_GBC_f581223c46c2426aa46b9e88b6b47f4f"/>
        <w:id w:val="7661"/>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b/>
          <w:szCs w:val="21"/>
        </w:rPr>
      </w:pPr>
      <w:bookmarkStart w:id="357" w:name="_Hlk10538462"/>
      <w:r>
        <w:rPr>
          <w:szCs w:val="21"/>
        </w:rPr>
        <w:t>单位</w:t>
      </w:r>
      <w:r>
        <w:rPr>
          <w:rFonts w:hint="eastAsia"/>
          <w:szCs w:val="21"/>
        </w:rPr>
        <w:t>：</w:t>
      </w:r>
      <w:sdt>
        <w:sdtPr>
          <w:rPr>
            <w:rFonts w:hint="eastAsia"/>
            <w:szCs w:val="21"/>
          </w:rPr>
          <w:alias w:val="单位：财务附注：会计报表中的投资收益项目增加"/>
          <w:tag w:val="_GBC_aeb04d73052c442cb4e2c86d75a8fbb5"/>
          <w:id w:val="766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szCs w:val="21"/>
        </w:rPr>
        <w:t xml:space="preserve">  币种</w:t>
      </w:r>
      <w:r>
        <w:rPr>
          <w:rFonts w:hint="eastAsia"/>
          <w:szCs w:val="21"/>
        </w:rPr>
        <w:t>：</w:t>
      </w:r>
      <w:sdt>
        <w:sdtPr>
          <w:rPr>
            <w:rFonts w:hint="eastAsia"/>
            <w:szCs w:val="21"/>
          </w:rPr>
          <w:alias w:val="币种：财务附注：会计报表中的投资收益项目增加"/>
          <w:tag w:val="_GBC_9845e736e0054165b2ee74d48d6dd757"/>
          <w:id w:val="76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1"/>
        <w:gridCol w:w="2688"/>
        <w:gridCol w:w="2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1" w:type="dxa"/>
            <w:vAlign w:val="center"/>
          </w:tcPr>
          <w:sdt>
            <w:sdtPr>
              <w:tag w:val="_PLD_998e1ec79cfc4df397c6fa0a751f3489"/>
              <w:id w:val="7664"/>
            </w:sdtPr>
            <w:sdtContent>
              <w:p>
                <w:pPr>
                  <w:ind w:left="420" w:hanging="420"/>
                  <w:jc w:val="center"/>
                  <w:rPr>
                    <w:szCs w:val="21"/>
                  </w:rPr>
                </w:pPr>
                <w:r>
                  <w:rPr>
                    <w:rFonts w:hint="eastAsia"/>
                    <w:szCs w:val="21"/>
                  </w:rPr>
                  <w:t>项目</w:t>
                </w:r>
              </w:p>
            </w:sdtContent>
          </w:sdt>
        </w:tc>
        <w:tc>
          <w:tcPr>
            <w:tcW w:w="2688" w:type="dxa"/>
            <w:vAlign w:val="center"/>
          </w:tcPr>
          <w:sdt>
            <w:sdtPr>
              <w:tag w:val="_PLD_239208f1271348119306f77c15ab0ec0"/>
              <w:id w:val="7665"/>
            </w:sdtPr>
            <w:sdtContent>
              <w:p>
                <w:pPr>
                  <w:jc w:val="center"/>
                  <w:rPr>
                    <w:szCs w:val="21"/>
                  </w:rPr>
                </w:pPr>
                <w:r>
                  <w:rPr>
                    <w:rFonts w:hint="eastAsia"/>
                    <w:szCs w:val="21"/>
                  </w:rPr>
                  <w:t>本期发生额</w:t>
                </w:r>
              </w:p>
            </w:sdtContent>
          </w:sdt>
        </w:tc>
        <w:tc>
          <w:tcPr>
            <w:tcW w:w="2518" w:type="dxa"/>
            <w:vAlign w:val="center"/>
          </w:tcPr>
          <w:sdt>
            <w:sdtPr>
              <w:tag w:val="_PLD_c548c34a5b7b4e3eb5536d1408d6cc7b"/>
              <w:id w:val="7666"/>
            </w:sdtPr>
            <w:sdtContent>
              <w:p>
                <w:pPr>
                  <w:jc w:val="center"/>
                  <w:rPr>
                    <w:szCs w:val="21"/>
                  </w:rPr>
                </w:pPr>
                <w:r>
                  <w:rPr>
                    <w:rFonts w:hint="eastAsia"/>
                    <w:szCs w:val="21"/>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1" w:type="dxa"/>
            <w:vAlign w:val="center"/>
          </w:tcPr>
          <w:p>
            <w:r>
              <w:rPr>
                <w:rFonts w:hint="eastAsia"/>
              </w:rPr>
              <w:t>交易性金融资产在持有期间的投资收益</w:t>
            </w:r>
          </w:p>
        </w:tc>
        <w:tc>
          <w:tcPr>
            <w:tcW w:w="2688" w:type="dxa"/>
            <w:vAlign w:val="center"/>
          </w:tcPr>
          <w:p>
            <w:pPr>
              <w:jc w:val="right"/>
              <w:rPr>
                <w:szCs w:val="21"/>
              </w:rPr>
            </w:pPr>
            <w:r>
              <w:rPr>
                <w:rFonts w:hint="eastAsia"/>
                <w:color w:val="auto"/>
              </w:rPr>
              <w:t>5,756,950.60</w:t>
            </w:r>
          </w:p>
        </w:tc>
        <w:tc>
          <w:tcPr>
            <w:tcW w:w="2518" w:type="dxa"/>
            <w:vAlign w:val="center"/>
          </w:tcPr>
          <w:p>
            <w:pPr>
              <w:jc w:val="right"/>
              <w:rPr>
                <w:szCs w:val="21"/>
              </w:rPr>
            </w:pPr>
            <w:r>
              <w:rPr>
                <w:rFonts w:hint="eastAsia"/>
                <w:color w:val="auto"/>
              </w:rPr>
              <w:t>7,154,107.51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1" w:type="dxa"/>
            <w:vAlign w:val="center"/>
          </w:tcPr>
          <w:p>
            <w:r>
              <w:rPr>
                <w:rFonts w:hint="eastAsia"/>
              </w:rPr>
              <w:t>其他权益工具投资在持有期间取得的股利收入</w:t>
            </w:r>
          </w:p>
        </w:tc>
        <w:tc>
          <w:tcPr>
            <w:tcW w:w="2688" w:type="dxa"/>
            <w:vAlign w:val="center"/>
          </w:tcPr>
          <w:p>
            <w:pPr>
              <w:jc w:val="right"/>
              <w:rPr>
                <w:szCs w:val="21"/>
              </w:rPr>
            </w:pPr>
            <w:r>
              <w:rPr>
                <w:rFonts w:hint="eastAsia"/>
                <w:color w:val="auto"/>
              </w:rPr>
              <w:t>13,120,000.00</w:t>
            </w:r>
          </w:p>
        </w:tc>
        <w:tc>
          <w:tcPr>
            <w:tcW w:w="2518" w:type="dxa"/>
            <w:vAlign w:val="center"/>
          </w:tcPr>
          <w:p>
            <w:pPr>
              <w:jc w:val="right"/>
              <w:rPr>
                <w:szCs w:val="21"/>
              </w:rPr>
            </w:pPr>
            <w:r>
              <w:rPr>
                <w:rFonts w:hint="eastAsia"/>
                <w:color w:val="auto"/>
              </w:rPr>
              <w:t>16,200,000.00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1" w:type="dxa"/>
            <w:vAlign w:val="center"/>
          </w:tcPr>
          <w:p>
            <w:r>
              <w:rPr>
                <w:rFonts w:hint="eastAsia"/>
              </w:rPr>
              <w:t>债务重组收益</w:t>
            </w:r>
          </w:p>
        </w:tc>
        <w:tc>
          <w:tcPr>
            <w:tcW w:w="2688" w:type="dxa"/>
            <w:vAlign w:val="center"/>
          </w:tcPr>
          <w:p>
            <w:pPr>
              <w:jc w:val="right"/>
              <w:rPr>
                <w:szCs w:val="21"/>
              </w:rPr>
            </w:pPr>
            <w:r>
              <w:rPr>
                <w:rFonts w:hint="eastAsia"/>
                <w:color w:val="auto"/>
              </w:rPr>
              <w:t>-644,055.24</w:t>
            </w:r>
          </w:p>
        </w:tc>
        <w:tc>
          <w:tcPr>
            <w:tcW w:w="2518" w:type="dxa"/>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1" w:type="dxa"/>
            <w:vAlign w:val="center"/>
          </w:tcPr>
          <w:p>
            <w:pPr>
              <w:jc w:val="center"/>
              <w:rPr>
                <w:szCs w:val="21"/>
              </w:rPr>
            </w:pPr>
            <w:r>
              <w:rPr>
                <w:rFonts w:hint="eastAsia"/>
                <w:szCs w:val="21"/>
              </w:rPr>
              <w:t>合计</w:t>
            </w:r>
          </w:p>
        </w:tc>
        <w:tc>
          <w:tcPr>
            <w:tcW w:w="2688" w:type="dxa"/>
            <w:vAlign w:val="center"/>
          </w:tcPr>
          <w:p>
            <w:pPr>
              <w:jc w:val="right"/>
              <w:rPr>
                <w:rFonts w:hint="eastAsia"/>
                <w:szCs w:val="21"/>
              </w:rPr>
            </w:pPr>
            <w:r>
              <w:rPr>
                <w:rFonts w:hint="eastAsia"/>
                <w:color w:val="auto"/>
                <w:szCs w:val="21"/>
              </w:rPr>
              <w:t>18,232,895.36</w:t>
            </w:r>
          </w:p>
        </w:tc>
        <w:tc>
          <w:tcPr>
            <w:tcW w:w="2518" w:type="dxa"/>
            <w:vAlign w:val="center"/>
          </w:tcPr>
          <w:p>
            <w:pPr>
              <w:jc w:val="right"/>
              <w:rPr>
                <w:rFonts w:hint="eastAsia"/>
                <w:szCs w:val="21"/>
              </w:rPr>
            </w:pPr>
            <w:r>
              <w:rPr>
                <w:rFonts w:hint="eastAsia"/>
                <w:color w:val="auto"/>
                <w:szCs w:val="21"/>
              </w:rPr>
              <w:t>23,354,107.51</w:t>
            </w:r>
          </w:p>
        </w:tc>
      </w:tr>
      <w:bookmarkEnd w:id="357"/>
    </w:tbl>
    <w:p>
      <w:pPr>
        <w:spacing w:before="60" w:after="60" w:line="360" w:lineRule="exact"/>
        <w:rPr>
          <w:rFonts w:ascii="Times New Roman" w:hAnsi="Times New Roman" w:eastAsia="宋体"/>
          <w:szCs w:val="21"/>
        </w:rPr>
      </w:pPr>
      <w:r>
        <w:rPr>
          <w:rFonts w:hint="eastAsia" w:ascii="Times New Roman" w:hAnsi="Times New Roman" w:eastAsia="宋体"/>
          <w:szCs w:val="21"/>
        </w:rPr>
        <w:t>其他说明：</w:t>
      </w:r>
    </w:p>
    <w:sdt>
      <w:sdtPr>
        <w:rPr>
          <w:rFonts w:hint="eastAsia" w:ascii="Times New Roman" w:hAnsi="Times New Roman" w:eastAsia="宋体"/>
          <w:szCs w:val="21"/>
        </w:rPr>
        <w:alias w:val="投资收益说明"/>
        <w:tag w:val="_GBC_4461c08be8cf4739a76957c4ebbfc521"/>
        <w:id w:val="7667"/>
        <w:placeholder>
          <w:docPart w:val="GBC22222222222222222222222222222"/>
        </w:placeholder>
      </w:sdtPr>
      <w:sdtEndPr>
        <w:rPr>
          <w:rFonts w:hint="eastAsia" w:ascii="Times New Roman" w:hAnsi="Times New Roman" w:eastAsia="宋体"/>
          <w:sz w:val="21"/>
          <w:szCs w:val="21"/>
        </w:rPr>
      </w:sdtEndPr>
      <w:sdtContent>
        <w:p>
          <w:pPr>
            <w:autoSpaceDE w:val="0"/>
            <w:autoSpaceDN w:val="0"/>
            <w:adjustRightInd w:val="0"/>
            <w:ind w:firstLine="640"/>
            <w:rPr>
              <w:rFonts w:ascii="Times New Roman" w:hAnsi="Times New Roman" w:eastAsia="宋体"/>
              <w:szCs w:val="21"/>
            </w:rPr>
          </w:pPr>
          <w:r>
            <w:rPr>
              <w:rFonts w:hint="eastAsia" w:ascii="Times New Roman" w:hAnsi="Times New Roman" w:eastAsia="宋体"/>
              <w:sz w:val="24"/>
              <w:szCs w:val="24"/>
            </w:rPr>
            <w:t>交易性金融资产持有期间的投资收益</w:t>
          </w: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9"/>
            <w:gridCol w:w="4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ind w:firstLine="480"/>
                  <w:jc w:val="center"/>
                  <w:rPr>
                    <w:rFonts w:ascii="Times New Roman" w:hAnsi="Times New Roman" w:eastAsia="宋体"/>
                    <w:sz w:val="21"/>
                    <w:szCs w:val="21"/>
                  </w:rPr>
                </w:pPr>
                <w:r>
                  <w:rPr>
                    <w:rFonts w:hint="eastAsia" w:ascii="Times New Roman" w:hAnsi="Times New Roman" w:eastAsia="宋体"/>
                    <w:sz w:val="21"/>
                    <w:szCs w:val="21"/>
                  </w:rPr>
                  <w:t>项目</w:t>
                </w:r>
              </w:p>
            </w:tc>
            <w:tc>
              <w:tcPr>
                <w:tcBorders>
                  <w:top w:val="single" w:color="auto" w:sz="4" w:space="0"/>
                  <w:left w:val="single" w:color="auto" w:sz="4" w:space="0"/>
                  <w:bottom w:val="single" w:color="auto" w:sz="4" w:space="0"/>
                  <w:right w:val="single" w:color="auto" w:sz="4" w:space="0"/>
                </w:tcBorders>
                <w:vAlign w:val="center"/>
              </w:tcPr>
              <w:p>
                <w:pPr>
                  <w:widowControl w:val="0"/>
                  <w:ind w:firstLine="480"/>
                  <w:jc w:val="center"/>
                  <w:rPr>
                    <w:rFonts w:ascii="Times New Roman" w:hAnsi="Times New Roman" w:eastAsia="宋体"/>
                    <w:sz w:val="21"/>
                    <w:szCs w:val="21"/>
                  </w:rPr>
                </w:pPr>
                <w:r>
                  <w:rPr>
                    <w:rFonts w:hint="eastAsia" w:ascii="Times New Roman" w:hAnsi="Times New Roman" w:eastAsia="宋体"/>
                    <w:sz w:val="21"/>
                    <w:szCs w:val="21"/>
                  </w:rPr>
                  <w:t>本期发生额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jc w:val="both"/>
                  <w:rPr>
                    <w:rFonts w:ascii="Times New Roman" w:hAnsi="Times New Roman" w:eastAsia="宋体"/>
                    <w:sz w:val="21"/>
                    <w:szCs w:val="21"/>
                  </w:rPr>
                </w:pPr>
                <w:r>
                  <w:rPr>
                    <w:rFonts w:hint="eastAsia" w:ascii="Times New Roman" w:hAnsi="Times New Roman" w:eastAsia="宋体"/>
                    <w:sz w:val="21"/>
                    <w:szCs w:val="21"/>
                  </w:rPr>
                  <w:t>交通银行A股红利</w:t>
                </w:r>
              </w:p>
            </w:tc>
            <w:tc>
              <w:tcPr>
                <w:tcBorders>
                  <w:top w:val="single" w:color="auto" w:sz="4" w:space="0"/>
                  <w:left w:val="single" w:color="auto" w:sz="4" w:space="0"/>
                  <w:bottom w:val="single" w:color="auto" w:sz="4" w:space="0"/>
                  <w:right w:val="single" w:color="auto" w:sz="4" w:space="0"/>
                </w:tcBorders>
                <w:vAlign w:val="center"/>
              </w:tcPr>
              <w:p>
                <w:pPr>
                  <w:widowControl w:val="0"/>
                  <w:ind w:firstLine="480"/>
                  <w:jc w:val="right"/>
                  <w:rPr>
                    <w:rFonts w:ascii="Times New Roman" w:hAnsi="Times New Roman" w:eastAsia="宋体"/>
                    <w:sz w:val="21"/>
                    <w:szCs w:val="21"/>
                  </w:rPr>
                </w:pPr>
                <w:r>
                  <w:rPr>
                    <w:rFonts w:hint="eastAsia" w:ascii="Times New Roman" w:hAnsi="Times New Roman" w:eastAsia="宋体"/>
                    <w:sz w:val="21"/>
                    <w:szCs w:val="21"/>
                  </w:rPr>
                  <w:t>18,212.97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jc w:val="both"/>
                  <w:rPr>
                    <w:rFonts w:ascii="Times New Roman" w:hAnsi="Times New Roman" w:eastAsia="宋体"/>
                    <w:sz w:val="21"/>
                    <w:szCs w:val="21"/>
                  </w:rPr>
                </w:pPr>
                <w:r>
                  <w:rPr>
                    <w:rFonts w:hint="eastAsia" w:ascii="Times New Roman" w:hAnsi="Times New Roman" w:eastAsia="宋体"/>
                    <w:sz w:val="21"/>
                    <w:szCs w:val="21"/>
                  </w:rPr>
                  <w:t>中信证券A股红利</w:t>
                </w:r>
              </w:p>
            </w:tc>
            <w:tc>
              <w:tcPr>
                <w:tcBorders>
                  <w:top w:val="single" w:color="auto" w:sz="4" w:space="0"/>
                  <w:left w:val="single" w:color="auto" w:sz="4" w:space="0"/>
                  <w:bottom w:val="single" w:color="auto" w:sz="4" w:space="0"/>
                  <w:right w:val="single" w:color="auto" w:sz="4" w:space="0"/>
                </w:tcBorders>
                <w:vAlign w:val="center"/>
              </w:tcPr>
              <w:p>
                <w:pPr>
                  <w:widowControl w:val="0"/>
                  <w:ind w:firstLine="480"/>
                  <w:jc w:val="right"/>
                  <w:rPr>
                    <w:rFonts w:ascii="Times New Roman" w:hAnsi="Times New Roman" w:eastAsia="宋体"/>
                    <w:sz w:val="21"/>
                    <w:szCs w:val="21"/>
                  </w:rPr>
                </w:pPr>
                <w:r>
                  <w:rPr>
                    <w:rFonts w:hint="eastAsia" w:ascii="Times New Roman" w:hAnsi="Times New Roman" w:eastAsia="宋体"/>
                    <w:sz w:val="21"/>
                    <w:szCs w:val="21"/>
                  </w:rPr>
                  <w:t>5,676,498.90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jc w:val="both"/>
                  <w:rPr>
                    <w:rFonts w:ascii="Times New Roman" w:hAnsi="Times New Roman" w:eastAsia="宋体"/>
                    <w:sz w:val="21"/>
                    <w:szCs w:val="21"/>
                  </w:rPr>
                </w:pPr>
                <w:r>
                  <w:rPr>
                    <w:rFonts w:hint="eastAsia" w:ascii="Times New Roman" w:hAnsi="Times New Roman" w:eastAsia="宋体"/>
                    <w:sz w:val="21"/>
                    <w:szCs w:val="21"/>
                  </w:rPr>
                  <w:t>宏源天添利红利</w:t>
                </w:r>
              </w:p>
            </w:tc>
            <w:tc>
              <w:tcPr>
                <w:tcBorders>
                  <w:top w:val="single" w:color="auto" w:sz="4" w:space="0"/>
                  <w:left w:val="single" w:color="auto" w:sz="4" w:space="0"/>
                  <w:bottom w:val="single" w:color="auto" w:sz="4" w:space="0"/>
                  <w:right w:val="single" w:color="auto" w:sz="4" w:space="0"/>
                </w:tcBorders>
                <w:vAlign w:val="center"/>
              </w:tcPr>
              <w:p>
                <w:pPr>
                  <w:widowControl w:val="0"/>
                  <w:ind w:firstLine="480"/>
                  <w:jc w:val="right"/>
                  <w:rPr>
                    <w:rFonts w:ascii="Times New Roman" w:hAnsi="Times New Roman" w:eastAsia="宋体"/>
                    <w:sz w:val="21"/>
                    <w:szCs w:val="21"/>
                  </w:rPr>
                </w:pPr>
                <w:r>
                  <w:rPr>
                    <w:rFonts w:hint="eastAsia" w:ascii="Times New Roman" w:hAnsi="Times New Roman" w:eastAsia="宋体"/>
                    <w:sz w:val="21"/>
                    <w:szCs w:val="21"/>
                  </w:rPr>
                  <w:t>62,238.73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ind w:firstLine="480"/>
                  <w:jc w:val="center"/>
                  <w:rPr>
                    <w:rFonts w:ascii="Times New Roman" w:hAnsi="Times New Roman" w:eastAsia="宋体"/>
                    <w:sz w:val="21"/>
                    <w:szCs w:val="21"/>
                  </w:rPr>
                </w:pPr>
                <w:r>
                  <w:rPr>
                    <w:rFonts w:hint="eastAsia" w:ascii="Times New Roman" w:hAnsi="Times New Roman" w:eastAsia="宋体"/>
                    <w:sz w:val="21"/>
                    <w:szCs w:val="21"/>
                  </w:rPr>
                  <w:t>合计</w:t>
                </w:r>
              </w:p>
            </w:tc>
            <w:tc>
              <w:tcPr>
                <w:tcBorders>
                  <w:top w:val="single" w:color="auto" w:sz="4" w:space="0"/>
                  <w:left w:val="single" w:color="auto" w:sz="4" w:space="0"/>
                  <w:bottom w:val="single" w:color="auto" w:sz="4" w:space="0"/>
                  <w:right w:val="single" w:color="auto" w:sz="4" w:space="0"/>
                </w:tcBorders>
                <w:vAlign w:val="center"/>
              </w:tcPr>
              <w:p>
                <w:pPr>
                  <w:widowControl w:val="0"/>
                  <w:ind w:firstLine="480"/>
                  <w:jc w:val="right"/>
                  <w:rPr>
                    <w:rFonts w:ascii="Times New Roman" w:hAnsi="Times New Roman" w:eastAsia="宋体"/>
                    <w:sz w:val="21"/>
                    <w:szCs w:val="21"/>
                  </w:rPr>
                </w:pPr>
                <w:r>
                  <w:rPr>
                    <w:rFonts w:hint="eastAsia" w:ascii="Times New Roman" w:hAnsi="Times New Roman" w:eastAsia="宋体"/>
                    <w:sz w:val="21"/>
                    <w:szCs w:val="21"/>
                  </w:rPr>
                  <w:t>5,756,950.60</w:t>
                </w:r>
              </w:p>
            </w:tc>
          </w:tr>
        </w:tbl>
        <w:p>
          <w:pPr>
            <w:autoSpaceDE w:val="0"/>
            <w:autoSpaceDN w:val="0"/>
            <w:adjustRightInd w:val="0"/>
            <w:ind w:firstLine="640"/>
            <w:rPr>
              <w:rFonts w:ascii="Times New Roman" w:hAnsi="Times New Roman" w:eastAsia="宋体"/>
              <w:sz w:val="21"/>
              <w:szCs w:val="21"/>
            </w:rPr>
          </w:pPr>
          <w:r>
            <w:rPr>
              <w:rFonts w:hint="eastAsia" w:ascii="Times New Roman" w:hAnsi="Times New Roman" w:eastAsia="宋体"/>
              <w:sz w:val="21"/>
              <w:szCs w:val="21"/>
            </w:rPr>
            <w:t>其他权益工具投资持有期间的股利收入</w:t>
          </w: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97"/>
            <w:gridCol w:w="3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ind w:firstLine="480"/>
                  <w:jc w:val="center"/>
                  <w:rPr>
                    <w:rFonts w:ascii="Times New Roman" w:hAnsi="Times New Roman" w:eastAsia="宋体"/>
                    <w:sz w:val="21"/>
                    <w:szCs w:val="21"/>
                  </w:rPr>
                </w:pPr>
                <w:r>
                  <w:rPr>
                    <w:rFonts w:hint="eastAsia" w:ascii="Times New Roman" w:hAnsi="Times New Roman" w:eastAsia="宋体"/>
                    <w:sz w:val="21"/>
                    <w:szCs w:val="21"/>
                  </w:rPr>
                  <w:t>项目</w:t>
                </w:r>
              </w:p>
            </w:tc>
            <w:tc>
              <w:tcPr>
                <w:tcBorders>
                  <w:top w:val="single" w:color="auto" w:sz="4" w:space="0"/>
                  <w:left w:val="single" w:color="auto" w:sz="4" w:space="0"/>
                  <w:bottom w:val="single" w:color="auto" w:sz="4" w:space="0"/>
                  <w:right w:val="single" w:color="auto" w:sz="4" w:space="0"/>
                </w:tcBorders>
                <w:vAlign w:val="center"/>
              </w:tcPr>
              <w:p>
                <w:pPr>
                  <w:widowControl w:val="0"/>
                  <w:ind w:firstLine="480"/>
                  <w:jc w:val="center"/>
                  <w:rPr>
                    <w:rFonts w:ascii="Times New Roman" w:hAnsi="Times New Roman" w:eastAsia="宋体"/>
                    <w:sz w:val="21"/>
                    <w:szCs w:val="21"/>
                  </w:rPr>
                </w:pPr>
                <w:r>
                  <w:rPr>
                    <w:rFonts w:hint="eastAsia" w:ascii="Times New Roman" w:hAnsi="Times New Roman" w:eastAsia="宋体"/>
                    <w:sz w:val="21"/>
                    <w:szCs w:val="21"/>
                  </w:rPr>
                  <w:t>本期发生额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jc w:val="both"/>
                  <w:rPr>
                    <w:rFonts w:ascii="Times New Roman" w:hAnsi="Times New Roman" w:eastAsia="宋体"/>
                    <w:sz w:val="21"/>
                    <w:szCs w:val="21"/>
                  </w:rPr>
                </w:pPr>
                <w:r>
                  <w:rPr>
                    <w:rFonts w:hint="eastAsia" w:ascii="Times New Roman" w:hAnsi="Times New Roman" w:eastAsia="宋体"/>
                    <w:sz w:val="21"/>
                    <w:szCs w:val="21"/>
                  </w:rPr>
                  <w:t>广西北部湾银行股份有限公司</w:t>
                </w:r>
              </w:p>
            </w:tc>
            <w:tc>
              <w:tcPr>
                <w:tcBorders>
                  <w:top w:val="single" w:color="auto" w:sz="4" w:space="0"/>
                  <w:left w:val="single" w:color="auto" w:sz="4" w:space="0"/>
                  <w:bottom w:val="single" w:color="auto" w:sz="4" w:space="0"/>
                  <w:right w:val="single" w:color="auto" w:sz="4" w:space="0"/>
                </w:tcBorders>
                <w:vAlign w:val="center"/>
              </w:tcPr>
              <w:p>
                <w:pPr>
                  <w:widowControl w:val="0"/>
                  <w:ind w:firstLine="480"/>
                  <w:jc w:val="right"/>
                  <w:rPr>
                    <w:rFonts w:ascii="Times New Roman" w:hAnsi="Times New Roman" w:eastAsia="宋体"/>
                    <w:sz w:val="21"/>
                    <w:szCs w:val="21"/>
                  </w:rPr>
                </w:pPr>
                <w:r>
                  <w:rPr>
                    <w:rFonts w:hint="eastAsia" w:ascii="Times New Roman" w:hAnsi="Times New Roman" w:eastAsia="宋体"/>
                    <w:sz w:val="21"/>
                    <w:szCs w:val="21"/>
                  </w:rPr>
                  <w:t>12,320,000.00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jc w:val="both"/>
                  <w:rPr>
                    <w:rFonts w:ascii="Times New Roman" w:hAnsi="Times New Roman" w:eastAsia="宋体"/>
                    <w:sz w:val="21"/>
                    <w:szCs w:val="21"/>
                  </w:rPr>
                </w:pPr>
                <w:r>
                  <w:rPr>
                    <w:rFonts w:hint="eastAsia" w:ascii="Times New Roman" w:hAnsi="Times New Roman" w:eastAsia="宋体"/>
                    <w:sz w:val="21"/>
                    <w:szCs w:val="21"/>
                  </w:rPr>
                  <w:t>柳州银行股份有限公司</w:t>
                </w:r>
              </w:p>
            </w:tc>
            <w:tc>
              <w:tcPr>
                <w:tcBorders>
                  <w:top w:val="single" w:color="auto" w:sz="4" w:space="0"/>
                  <w:left w:val="single" w:color="auto" w:sz="4" w:space="0"/>
                  <w:bottom w:val="single" w:color="auto" w:sz="4" w:space="0"/>
                  <w:right w:val="single" w:color="auto" w:sz="4" w:space="0"/>
                </w:tcBorders>
                <w:vAlign w:val="center"/>
              </w:tcPr>
              <w:p>
                <w:pPr>
                  <w:widowControl w:val="0"/>
                  <w:ind w:firstLine="480"/>
                  <w:jc w:val="right"/>
                  <w:rPr>
                    <w:rFonts w:ascii="Times New Roman" w:hAnsi="Times New Roman" w:eastAsia="宋体"/>
                    <w:sz w:val="21"/>
                    <w:szCs w:val="21"/>
                  </w:rPr>
                </w:pPr>
                <w:r>
                  <w:rPr>
                    <w:rFonts w:hint="eastAsia" w:ascii="Times New Roman" w:hAnsi="Times New Roman" w:eastAsia="宋体"/>
                    <w:sz w:val="21"/>
                    <w:szCs w:val="21"/>
                  </w:rPr>
                  <w:t>800,000.00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sz w:val="21"/>
                    <w:szCs w:val="21"/>
                  </w:rPr>
                </w:pPr>
                <w:r>
                  <w:rPr>
                    <w:rFonts w:hint="eastAsia" w:ascii="Times New Roman" w:hAnsi="Times New Roman" w:eastAsia="宋体"/>
                    <w:sz w:val="21"/>
                    <w:szCs w:val="21"/>
                  </w:rPr>
                  <w:t>合计</w:t>
                </w:r>
              </w:p>
            </w:tc>
            <w:tc>
              <w:tcPr>
                <w:tcBorders>
                  <w:top w:val="single" w:color="auto" w:sz="4" w:space="0"/>
                  <w:left w:val="single" w:color="auto" w:sz="4" w:space="0"/>
                  <w:bottom w:val="single" w:color="auto" w:sz="4" w:space="0"/>
                  <w:right w:val="single" w:color="auto" w:sz="4" w:space="0"/>
                </w:tcBorders>
                <w:vAlign w:val="center"/>
              </w:tcPr>
              <w:p>
                <w:pPr>
                  <w:widowControl w:val="0"/>
                  <w:ind w:firstLine="480"/>
                  <w:jc w:val="right"/>
                  <w:rPr>
                    <w:rFonts w:ascii="Times New Roman" w:hAnsi="Times New Roman" w:eastAsia="宋体"/>
                    <w:sz w:val="21"/>
                    <w:szCs w:val="21"/>
                  </w:rPr>
                </w:pPr>
                <w:r>
                  <w:rPr>
                    <w:rFonts w:hint="eastAsia" w:ascii="Times New Roman" w:hAnsi="Times New Roman" w:eastAsia="宋体"/>
                    <w:sz w:val="21"/>
                    <w:szCs w:val="21"/>
                  </w:rPr>
                  <w:t>13,120,000.00</w:t>
                </w:r>
              </w:p>
            </w:tc>
          </w:tr>
        </w:tbl>
      </w:sdtContent>
    </w:sdt>
    <w:p>
      <w:pPr>
        <w:autoSpaceDE w:val="0"/>
        <w:autoSpaceDN w:val="0"/>
        <w:adjustRightInd w:val="0"/>
        <w:rPr>
          <w:sz w:val="21"/>
          <w:szCs w:val="21"/>
        </w:rPr>
      </w:pPr>
    </w:p>
    <w:bookmarkEnd w:id="356"/>
    <w:sdt>
      <w:sdtPr>
        <w:tag w:val="_PLD_1347230f5a7942ae9de7e23ede078776"/>
        <w:id w:val="7668"/>
      </w:sdtPr>
      <w:sdtEndPr>
        <w:rPr>
          <w:rFonts w:ascii="Calibri" w:hAnsi="Calibri" w:cs="Times New Roman"/>
          <w:b/>
          <w:bCs/>
          <w:kern w:val="2"/>
        </w:rPr>
      </w:sdtEndPr>
      <w:sdtContent>
        <w:p>
          <w:pPr>
            <w:pStyle w:val="4"/>
            <w:numPr>
              <w:ilvl w:val="0"/>
              <w:numId w:val="62"/>
            </w:numPr>
            <w:tabs>
              <w:tab w:val="left" w:pos="504"/>
            </w:tabs>
            <w:rPr>
              <w:szCs w:val="21"/>
            </w:rPr>
          </w:pPr>
          <w:r>
            <w:rPr>
              <w:rFonts w:hint="eastAsia"/>
              <w:szCs w:val="21"/>
            </w:rPr>
            <w:t>净敞口套期收益</w:t>
          </w:r>
        </w:p>
      </w:sdtContent>
    </w:sdt>
    <w:sdt>
      <w:sdtPr>
        <w:alias w:val="是否适用：净敞口套期收益[双击切换]"/>
        <w:tag w:val="_GBC_0b9c0635e78547e1b23b27daf08672cd"/>
        <w:id w:val="7669"/>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autoSpaceDE w:val="0"/>
        <w:autoSpaceDN w:val="0"/>
        <w:adjustRightInd w:val="0"/>
        <w:rPr>
          <w:szCs w:val="21"/>
        </w:rPr>
      </w:pPr>
    </w:p>
    <w:p>
      <w:pPr>
        <w:pStyle w:val="4"/>
        <w:numPr>
          <w:ilvl w:val="0"/>
          <w:numId w:val="62"/>
        </w:numPr>
        <w:tabs>
          <w:tab w:val="left" w:pos="504"/>
        </w:tabs>
        <w:rPr>
          <w:rFonts w:hint="eastAsia" w:ascii="宋体" w:hAnsi="宋体"/>
          <w:szCs w:val="21"/>
        </w:rPr>
      </w:pPr>
      <w:bookmarkStart w:id="358" w:name="_Hlk534895224"/>
      <w:r>
        <w:rPr>
          <w:rFonts w:hint="eastAsia" w:ascii="宋体" w:hAnsi="宋体"/>
          <w:szCs w:val="21"/>
        </w:rPr>
        <w:t>公允价值变动收益</w:t>
      </w:r>
    </w:p>
    <w:sdt>
      <w:sdtPr>
        <w:alias w:val="是否适用：公允价值变动收益[双击切换]"/>
        <w:tag w:val="_GBC_703e46a239ba45afa37afdd4dcae0cb4"/>
        <w:id w:val="767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公允价值变动收益"/>
          <w:tag w:val="_GBC_c4e1118ffbdf4d6f90815a9b487cc79b"/>
          <w:id w:val="767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公允价值变动收益"/>
          <w:tag w:val="_GBC_704565e01a4148fe85dcf135bb9be9b6"/>
          <w:id w:val="767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96"/>
        <w:gridCol w:w="2825"/>
        <w:gridCol w:w="2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6" w:type="dxa"/>
            <w:tcBorders>
              <w:top w:val="single" w:color="auto" w:sz="4" w:space="0"/>
              <w:left w:val="single" w:color="auto" w:sz="4" w:space="0"/>
              <w:bottom w:val="single" w:color="auto" w:sz="4" w:space="0"/>
              <w:right w:val="single" w:color="auto" w:sz="4" w:space="0"/>
            </w:tcBorders>
            <w:vAlign w:val="center"/>
          </w:tcPr>
          <w:sdt>
            <w:sdtPr>
              <w:tag w:val="_PLD_6e9a92135b46440eb6d0daa39f0ec40f"/>
              <w:id w:val="7673"/>
            </w:sdtPr>
            <w:sdtContent>
              <w:p>
                <w:pPr>
                  <w:autoSpaceDE w:val="0"/>
                  <w:autoSpaceDN w:val="0"/>
                  <w:adjustRightInd w:val="0"/>
                  <w:jc w:val="center"/>
                  <w:rPr>
                    <w:szCs w:val="21"/>
                  </w:rPr>
                </w:pPr>
                <w:r>
                  <w:rPr>
                    <w:rFonts w:hint="eastAsia"/>
                    <w:szCs w:val="21"/>
                  </w:rPr>
                  <w:t>产生公允价值变动收益的来源</w:t>
                </w:r>
              </w:p>
            </w:sdtContent>
          </w:sdt>
        </w:tc>
        <w:tc>
          <w:tcPr>
            <w:tcW w:w="2825" w:type="dxa"/>
            <w:tcBorders>
              <w:top w:val="single" w:color="auto" w:sz="4" w:space="0"/>
              <w:left w:val="single" w:color="auto" w:sz="4" w:space="0"/>
              <w:bottom w:val="single" w:color="auto" w:sz="4" w:space="0"/>
              <w:right w:val="single" w:color="auto" w:sz="4" w:space="0"/>
            </w:tcBorders>
            <w:vAlign w:val="center"/>
          </w:tcPr>
          <w:sdt>
            <w:sdtPr>
              <w:tag w:val="_PLD_7cd0c8223b6b499990a24553e928cba4"/>
              <w:id w:val="7674"/>
            </w:sdtPr>
            <w:sdtContent>
              <w:p>
                <w:pPr>
                  <w:autoSpaceDE w:val="0"/>
                  <w:autoSpaceDN w:val="0"/>
                  <w:adjustRightInd w:val="0"/>
                  <w:jc w:val="center"/>
                  <w:rPr>
                    <w:szCs w:val="21"/>
                  </w:rPr>
                </w:pPr>
                <w:r>
                  <w:rPr>
                    <w:rFonts w:hint="eastAsia"/>
                    <w:szCs w:val="21"/>
                  </w:rPr>
                  <w:t>本期发生额</w:t>
                </w:r>
              </w:p>
            </w:sdtContent>
          </w:sdt>
        </w:tc>
        <w:tc>
          <w:tcPr>
            <w:tcW w:w="2825" w:type="dxa"/>
            <w:tcBorders>
              <w:top w:val="single" w:color="auto" w:sz="4" w:space="0"/>
              <w:left w:val="single" w:color="auto" w:sz="4" w:space="0"/>
              <w:bottom w:val="single" w:color="auto" w:sz="4" w:space="0"/>
              <w:right w:val="single" w:color="auto" w:sz="4" w:space="0"/>
            </w:tcBorders>
            <w:vAlign w:val="center"/>
          </w:tcPr>
          <w:sdt>
            <w:sdtPr>
              <w:tag w:val="_PLD_1ebddc94af9345a99e7800415f9811c7"/>
              <w:id w:val="7675"/>
            </w:sdtPr>
            <w:sdtContent>
              <w:p>
                <w:pPr>
                  <w:autoSpaceDE w:val="0"/>
                  <w:autoSpaceDN w:val="0"/>
                  <w:adjustRightInd w:val="0"/>
                  <w:jc w:val="center"/>
                  <w:rPr>
                    <w:szCs w:val="21"/>
                  </w:rPr>
                </w:pPr>
                <w:r>
                  <w:rPr>
                    <w:rFonts w:hint="eastAsia"/>
                    <w:szCs w:val="21"/>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交易性金融资产</w:t>
            </w:r>
          </w:p>
        </w:tc>
        <w:tc>
          <w:tcPr>
            <w:tcW w:w="28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r>
              <w:rPr>
                <w:rFonts w:hint="eastAsia"/>
                <w:color w:val="auto"/>
                <w:szCs w:val="21"/>
              </w:rPr>
              <w:t>-4,428,195.28</w:t>
            </w:r>
          </w:p>
        </w:tc>
        <w:tc>
          <w:tcPr>
            <w:tcW w:w="28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r>
              <w:rPr>
                <w:rFonts w:hint="eastAsia"/>
                <w:color w:val="auto"/>
                <w:szCs w:val="21"/>
              </w:rPr>
              <w:t>87,741,824.53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其中：衍生金融工具产生的公允价值变动收益</w:t>
            </w:r>
          </w:p>
        </w:tc>
        <w:tc>
          <w:tcPr>
            <w:tcW w:w="28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p>
        </w:tc>
        <w:tc>
          <w:tcPr>
            <w:tcW w:w="28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交易性金融负债</w:t>
            </w:r>
          </w:p>
        </w:tc>
        <w:tc>
          <w:tcPr>
            <w:tcW w:w="28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p>
        </w:tc>
        <w:tc>
          <w:tcPr>
            <w:tcW w:w="28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按公允价值计量的投资性房地产</w:t>
            </w:r>
          </w:p>
        </w:tc>
        <w:tc>
          <w:tcPr>
            <w:tcW w:w="28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p>
        </w:tc>
        <w:tc>
          <w:tcPr>
            <w:tcW w:w="28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szCs w:val="21"/>
              </w:rPr>
            </w:pPr>
            <w:r>
              <w:rPr>
                <w:rFonts w:hint="eastAsia"/>
                <w:szCs w:val="21"/>
              </w:rPr>
              <w:t>合计</w:t>
            </w:r>
          </w:p>
        </w:tc>
        <w:tc>
          <w:tcPr>
            <w:tcW w:w="282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-4,428,195.28</w:t>
            </w:r>
          </w:p>
        </w:tc>
        <w:tc>
          <w:tcPr>
            <w:tcW w:w="28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r>
              <w:rPr>
                <w:rFonts w:hint="eastAsia"/>
                <w:color w:val="auto"/>
                <w:szCs w:val="21"/>
              </w:rPr>
              <w:t>87,741,824.53</w:t>
            </w:r>
          </w:p>
        </w:tc>
      </w:tr>
    </w:tbl>
    <w:p>
      <w:pPr>
        <w:spacing w:before="60" w:after="60"/>
        <w:rPr>
          <w:szCs w:val="21"/>
        </w:rPr>
      </w:pPr>
      <w:r>
        <w:rPr>
          <w:rFonts w:hint="eastAsia"/>
          <w:szCs w:val="21"/>
        </w:rPr>
        <w:t>其他说明：</w:t>
      </w:r>
    </w:p>
    <w:sdt>
      <w:sdtPr>
        <w:rPr>
          <w:rFonts w:hint="eastAsia"/>
          <w:szCs w:val="21"/>
        </w:rPr>
        <w:alias w:val="公允价值变动收益的说明"/>
        <w:tag w:val="_GBC_2de79fa0260c440dae18401771bdd5db"/>
        <w:id w:val="7676"/>
        <w:placeholder>
          <w:docPart w:val="GBC22222222222222222222222222222"/>
        </w:placeholder>
      </w:sdtPr>
      <w:sdtEndPr>
        <w:rPr>
          <w:rFonts w:hint="eastAsia"/>
          <w:szCs w:val="21"/>
        </w:rPr>
      </w:sdtEndPr>
      <w:sdtContent>
        <w:p>
          <w:pPr>
            <w:rPr>
              <w:szCs w:val="21"/>
            </w:rPr>
          </w:pPr>
          <w:r>
            <w:rPr>
              <w:rFonts w:hint="eastAsia" w:ascii="宋体" w:eastAsia="宋体"/>
              <w:sz w:val="24"/>
              <w:szCs w:val="24"/>
            </w:rPr>
            <w:t>公允价值变动收益主要为公司持有中信证券股票的股价下跌所致。</w:t>
          </w:r>
        </w:p>
      </w:sdtContent>
    </w:sdt>
    <w:p>
      <w:pPr>
        <w:rPr>
          <w:rFonts w:cstheme="minorBidi"/>
          <w:kern w:val="2"/>
          <w:szCs w:val="21"/>
        </w:rPr>
      </w:pPr>
    </w:p>
    <w:bookmarkEnd w:id="358"/>
    <w:p>
      <w:pPr>
        <w:pStyle w:val="4"/>
        <w:numPr>
          <w:ilvl w:val="0"/>
          <w:numId w:val="62"/>
        </w:numPr>
        <w:tabs>
          <w:tab w:val="left" w:pos="504"/>
        </w:tabs>
      </w:pPr>
      <w:r>
        <w:rPr>
          <w:rFonts w:hint="eastAsia"/>
        </w:rPr>
        <w:t>信用减值损失</w:t>
      </w:r>
    </w:p>
    <w:sdt>
      <w:sdtPr>
        <w:alias w:val="是否适用：信用减值损失[双击切换]"/>
        <w:tag w:val="_GBC_3e1c9d9dad6c4530991d2befd4b098e3"/>
        <w:id w:val="7677"/>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pStyle w:val="56"/>
        <w:ind w:left="420" w:firstLine="0" w:firstLineChars="0"/>
        <w:jc w:val="right"/>
      </w:pPr>
      <w:r>
        <w:rPr>
          <w:rFonts w:hint="eastAsia"/>
        </w:rPr>
        <w:t>单位：</w:t>
      </w:r>
      <w:sdt>
        <w:sdtPr>
          <w:rPr>
            <w:rFonts w:hint="eastAsia"/>
          </w:rPr>
          <w:alias w:val="单位：信用减值损失"/>
          <w:tag w:val="_GBC_64c0f12c02d44b548838a6936d90e525"/>
          <w:id w:val="767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信用减值损失"/>
          <w:tag w:val="_GBC_4d6a964234bf4666a052d68fb8b9d060"/>
          <w:id w:val="767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0"/>
        <w:gridCol w:w="2687"/>
        <w:gridCol w:w="2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0" w:type="dxa"/>
            <w:vAlign w:val="center"/>
          </w:tcPr>
          <w:sdt>
            <w:sdtPr>
              <w:tag w:val="_PLD_32efbc222fba4f8b87e71fbd7550f57d"/>
              <w:id w:val="7680"/>
            </w:sdtPr>
            <w:sdtContent>
              <w:p>
                <w:pPr>
                  <w:jc w:val="center"/>
                  <w:rPr>
                    <w:szCs w:val="21"/>
                  </w:rPr>
                </w:pPr>
                <w:r>
                  <w:rPr>
                    <w:rFonts w:hint="eastAsia"/>
                    <w:szCs w:val="21"/>
                  </w:rPr>
                  <w:t>项目</w:t>
                </w:r>
              </w:p>
            </w:sdtContent>
          </w:sdt>
        </w:tc>
        <w:tc>
          <w:tcPr>
            <w:tcW w:w="2687" w:type="dxa"/>
            <w:vAlign w:val="center"/>
          </w:tcPr>
          <w:sdt>
            <w:sdtPr>
              <w:tag w:val="_PLD_57fc93ac35684eca9207e23d2b2d6664"/>
              <w:id w:val="7681"/>
            </w:sdtPr>
            <w:sdtContent>
              <w:p>
                <w:pPr>
                  <w:jc w:val="center"/>
                  <w:rPr>
                    <w:szCs w:val="21"/>
                  </w:rPr>
                </w:pPr>
                <w:r>
                  <w:rPr>
                    <w:rFonts w:hint="eastAsia"/>
                    <w:szCs w:val="21"/>
                  </w:rPr>
                  <w:t>本期发生额</w:t>
                </w:r>
              </w:p>
            </w:sdtContent>
          </w:sdt>
        </w:tc>
        <w:tc>
          <w:tcPr>
            <w:tcW w:w="2711" w:type="dxa"/>
            <w:vAlign w:val="center"/>
          </w:tcPr>
          <w:sdt>
            <w:sdtPr>
              <w:tag w:val="_PLD_ddb6bc4a58314fb2abbbb04ed4af2419"/>
              <w:id w:val="7682"/>
            </w:sdtPr>
            <w:sdtContent>
              <w:p>
                <w:pPr>
                  <w:jc w:val="center"/>
                  <w:rPr>
                    <w:szCs w:val="21"/>
                  </w:rPr>
                </w:pPr>
                <w:r>
                  <w:rPr>
                    <w:rFonts w:hint="eastAsia"/>
                    <w:szCs w:val="21"/>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0" w:type="dxa"/>
            <w:vAlign w:val="center"/>
          </w:tcPr>
          <w:p>
            <w:pPr>
              <w:rPr>
                <w:szCs w:val="21"/>
              </w:rPr>
            </w:pPr>
            <w:r>
              <w:rPr>
                <w:rFonts w:hint="eastAsia"/>
                <w:szCs w:val="21"/>
              </w:rPr>
              <w:t>应收账款坏账损失</w:t>
            </w:r>
          </w:p>
        </w:tc>
        <w:tc>
          <w:tcPr>
            <w:tcW w:w="2687" w:type="dxa"/>
            <w:vAlign w:val="center"/>
          </w:tcPr>
          <w:p>
            <w:pPr>
              <w:jc w:val="right"/>
              <w:rPr>
                <w:szCs w:val="21"/>
              </w:rPr>
            </w:pPr>
            <w:r>
              <w:rPr>
                <w:rFonts w:hint="eastAsia"/>
                <w:color w:val="auto"/>
              </w:rPr>
              <w:t>-154,411.38</w:t>
            </w:r>
          </w:p>
        </w:tc>
        <w:tc>
          <w:tcPr>
            <w:tcW w:w="2711" w:type="dxa"/>
            <w:vAlign w:val="center"/>
          </w:tcPr>
          <w:p>
            <w:pPr>
              <w:jc w:val="right"/>
              <w:rPr>
                <w:szCs w:val="21"/>
              </w:rPr>
            </w:pPr>
            <w:r>
              <w:rPr>
                <w:rFonts w:hint="eastAsia"/>
                <w:color w:val="auto"/>
              </w:rPr>
              <w:t>-689,953.82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0" w:type="dxa"/>
            <w:vAlign w:val="center"/>
          </w:tcPr>
          <w:p>
            <w:pPr>
              <w:rPr>
                <w:szCs w:val="21"/>
              </w:rPr>
            </w:pPr>
            <w:r>
              <w:rPr>
                <w:rFonts w:hint="eastAsia"/>
                <w:szCs w:val="21"/>
              </w:rPr>
              <w:t>其他应收款坏账损失</w:t>
            </w:r>
          </w:p>
        </w:tc>
        <w:tc>
          <w:tcPr>
            <w:tcW w:w="2687" w:type="dxa"/>
            <w:vAlign w:val="center"/>
          </w:tcPr>
          <w:p>
            <w:pPr>
              <w:jc w:val="right"/>
              <w:rPr>
                <w:szCs w:val="21"/>
              </w:rPr>
            </w:pPr>
            <w:r>
              <w:rPr>
                <w:rFonts w:hint="eastAsia"/>
                <w:color w:val="auto"/>
              </w:rPr>
              <w:t>-2,232,851.14</w:t>
            </w:r>
          </w:p>
        </w:tc>
        <w:tc>
          <w:tcPr>
            <w:tcW w:w="2711" w:type="dxa"/>
            <w:vAlign w:val="center"/>
          </w:tcPr>
          <w:p>
            <w:pPr>
              <w:jc w:val="right"/>
              <w:rPr>
                <w:szCs w:val="21"/>
              </w:rPr>
            </w:pPr>
            <w:r>
              <w:rPr>
                <w:rFonts w:hint="eastAsia"/>
                <w:color w:val="auto"/>
              </w:rPr>
              <w:t>1,070,722.48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0" w:type="dxa"/>
            <w:vAlign w:val="center"/>
          </w:tcPr>
          <w:p>
            <w:pPr>
              <w:jc w:val="center"/>
              <w:rPr>
                <w:szCs w:val="21"/>
              </w:rPr>
            </w:pPr>
            <w:r>
              <w:rPr>
                <w:rFonts w:hint="eastAsia"/>
                <w:szCs w:val="21"/>
              </w:rPr>
              <w:t>合计</w:t>
            </w:r>
          </w:p>
        </w:tc>
        <w:tc>
          <w:tcPr>
            <w:tcW w:w="2687" w:type="dxa"/>
            <w:vAlign w:val="center"/>
          </w:tcPr>
          <w:p>
            <w:pPr>
              <w:jc w:val="right"/>
              <w:rPr>
                <w:szCs w:val="21"/>
              </w:rPr>
            </w:pPr>
            <w:r>
              <w:rPr>
                <w:rFonts w:hint="eastAsia"/>
                <w:color w:val="auto"/>
              </w:rPr>
              <w:t>-2,387,262.52</w:t>
            </w:r>
          </w:p>
        </w:tc>
        <w:tc>
          <w:tcPr>
            <w:tcW w:w="2711" w:type="dxa"/>
            <w:vAlign w:val="center"/>
          </w:tcPr>
          <w:p>
            <w:pPr>
              <w:jc w:val="right"/>
              <w:rPr>
                <w:szCs w:val="21"/>
              </w:rPr>
            </w:pPr>
            <w:r>
              <w:rPr>
                <w:rFonts w:hint="eastAsia"/>
                <w:color w:val="auto"/>
              </w:rPr>
              <w:t>380,768.66</w:t>
            </w:r>
          </w:p>
        </w:tc>
      </w:tr>
    </w:tbl>
    <w:p>
      <w:r>
        <w:rPr>
          <w:rFonts w:hint="eastAsia"/>
        </w:rPr>
        <w:t>其他</w:t>
      </w:r>
      <w:r>
        <w:t>说明</w:t>
      </w:r>
      <w:r>
        <w:rPr>
          <w:rFonts w:hint="eastAsia"/>
        </w:rPr>
        <w:t>：</w:t>
      </w:r>
    </w:p>
    <w:sdt>
      <w:sdtPr>
        <w:alias w:val="信用减值损失其他说明"/>
        <w:tag w:val="_GBC_c4f5a3728c354e07a647f36805e2176b"/>
        <w:id w:val="7683"/>
        <w:placeholder>
          <w:docPart w:val="GBC22222222222222222222222222222"/>
        </w:placeholder>
      </w:sdtPr>
      <w:sdtContent>
        <w:p>
          <w:r>
            <w:t>无</w:t>
          </w:r>
        </w:p>
      </w:sdtContent>
    </w:sdt>
    <w:p/>
    <w:p>
      <w:pPr>
        <w:rPr>
          <w:rFonts w:cstheme="minorBidi"/>
          <w:kern w:val="2"/>
          <w:szCs w:val="21"/>
        </w:rPr>
      </w:pPr>
    </w:p>
    <w:p>
      <w:pPr>
        <w:pStyle w:val="4"/>
        <w:numPr>
          <w:ilvl w:val="0"/>
          <w:numId w:val="62"/>
        </w:numPr>
        <w:tabs>
          <w:tab w:val="left" w:pos="504"/>
        </w:tabs>
        <w:rPr>
          <w:rFonts w:hint="eastAsia" w:ascii="宋体" w:hAnsi="宋体"/>
          <w:szCs w:val="21"/>
        </w:rPr>
      </w:pPr>
      <w:r>
        <w:rPr>
          <w:rFonts w:hint="eastAsia" w:ascii="宋体" w:hAnsi="宋体"/>
          <w:bCs w:val="0"/>
          <w:szCs w:val="21"/>
        </w:rPr>
        <w:t>资</w:t>
      </w:r>
      <w:r>
        <w:rPr>
          <w:rFonts w:hint="eastAsia" w:ascii="宋体" w:hAnsi="宋体"/>
          <w:szCs w:val="21"/>
        </w:rPr>
        <w:t>产减值损失</w:t>
      </w:r>
    </w:p>
    <w:sdt>
      <w:sdtPr>
        <w:alias w:val="是否适用：资产减值损失[双击切换]"/>
        <w:tag w:val="_GBC_8b37643fea7c43289fdaf85f79b2bcae"/>
        <w:id w:val="768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资产减值损失"/>
          <w:tag w:val="_GBC_fe85f36c54dd476ea970b9d8ae08135d"/>
          <w:id w:val="768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资产减值损失"/>
          <w:tag w:val="_GBC_08596d3dbba143a8b694044119494ec6"/>
          <w:id w:val="768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98"/>
        <w:gridCol w:w="2573"/>
        <w:gridCol w:w="3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8" w:type="dxa"/>
            <w:tcBorders>
              <w:top w:val="single" w:color="auto" w:sz="4" w:space="0"/>
              <w:left w:val="single" w:color="auto" w:sz="4" w:space="0"/>
              <w:bottom w:val="single" w:color="auto" w:sz="4" w:space="0"/>
              <w:right w:val="single" w:color="auto" w:sz="4" w:space="0"/>
            </w:tcBorders>
            <w:vAlign w:val="center"/>
          </w:tcPr>
          <w:sdt>
            <w:sdtPr>
              <w:tag w:val="_PLD_344de032f71b4e06985c561df3bcf55a"/>
              <w:id w:val="7687"/>
            </w:sdtPr>
            <w:sdtContent>
              <w:p>
                <w:pPr>
                  <w:autoSpaceDE w:val="0"/>
                  <w:autoSpaceDN w:val="0"/>
                  <w:adjustRightInd w:val="0"/>
                  <w:jc w:val="center"/>
                  <w:rPr>
                    <w:szCs w:val="21"/>
                  </w:rPr>
                </w:pPr>
                <w:r>
                  <w:rPr>
                    <w:rFonts w:hint="eastAsia"/>
                    <w:szCs w:val="21"/>
                  </w:rPr>
                  <w:t>项目</w:t>
                </w:r>
              </w:p>
            </w:sdtContent>
          </w:sdt>
        </w:tc>
        <w:tc>
          <w:tcPr>
            <w:tcW w:w="2573" w:type="dxa"/>
            <w:tcBorders>
              <w:top w:val="single" w:color="auto" w:sz="4" w:space="0"/>
              <w:left w:val="single" w:color="auto" w:sz="4" w:space="0"/>
              <w:bottom w:val="single" w:color="auto" w:sz="4" w:space="0"/>
              <w:right w:val="single" w:color="auto" w:sz="4" w:space="0"/>
            </w:tcBorders>
            <w:vAlign w:val="center"/>
          </w:tcPr>
          <w:sdt>
            <w:sdtPr>
              <w:tag w:val="_PLD_9551307ec5c049a3aa84c3c7d3e61d92"/>
              <w:id w:val="7688"/>
            </w:sdtPr>
            <w:sdtContent>
              <w:p>
                <w:pPr>
                  <w:autoSpaceDE w:val="0"/>
                  <w:autoSpaceDN w:val="0"/>
                  <w:adjustRightInd w:val="0"/>
                  <w:jc w:val="center"/>
                  <w:rPr>
                    <w:szCs w:val="21"/>
                  </w:rPr>
                </w:pPr>
                <w:r>
                  <w:rPr>
                    <w:rFonts w:hint="eastAsia"/>
                    <w:szCs w:val="21"/>
                  </w:rPr>
                  <w:t>本期发生额</w:t>
                </w:r>
              </w:p>
            </w:sdtContent>
          </w:sdt>
        </w:tc>
        <w:tc>
          <w:tcPr>
            <w:tcW w:w="3076" w:type="dxa"/>
            <w:tcBorders>
              <w:top w:val="single" w:color="auto" w:sz="4" w:space="0"/>
              <w:left w:val="single" w:color="auto" w:sz="4" w:space="0"/>
              <w:bottom w:val="single" w:color="auto" w:sz="4" w:space="0"/>
              <w:right w:val="single" w:color="auto" w:sz="4" w:space="0"/>
            </w:tcBorders>
            <w:vAlign w:val="center"/>
          </w:tcPr>
          <w:sdt>
            <w:sdtPr>
              <w:tag w:val="_PLD_46a2a62cd1b1406f877f135b9d7e38a6"/>
              <w:id w:val="7689"/>
            </w:sdtPr>
            <w:sdtContent>
              <w:p>
                <w:pPr>
                  <w:autoSpaceDE w:val="0"/>
                  <w:autoSpaceDN w:val="0"/>
                  <w:adjustRightInd w:val="0"/>
                  <w:jc w:val="center"/>
                  <w:rPr>
                    <w:szCs w:val="21"/>
                  </w:rPr>
                </w:pPr>
                <w:r>
                  <w:rPr>
                    <w:rFonts w:hint="eastAsia"/>
                    <w:szCs w:val="21"/>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pPr>
            <w:r>
              <w:rPr>
                <w:rFonts w:hint="eastAsia"/>
              </w:rPr>
              <w:t>一、存货跌价损失及合同履约成本减值损失</w:t>
            </w:r>
          </w:p>
        </w:tc>
        <w:tc>
          <w:tcPr>
            <w:tcW w:w="257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-2,258,608.73</w:t>
            </w:r>
          </w:p>
        </w:tc>
        <w:tc>
          <w:tcPr>
            <w:tcW w:w="3076"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-1,218,493.51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szCs w:val="21"/>
              </w:rPr>
            </w:pPr>
            <w:r>
              <w:rPr>
                <w:rFonts w:hint="eastAsia"/>
                <w:szCs w:val="21"/>
              </w:rPr>
              <w:t>合计</w:t>
            </w:r>
          </w:p>
        </w:tc>
        <w:tc>
          <w:tcPr>
            <w:tcW w:w="2573" w:type="dxa"/>
            <w:tcBorders>
              <w:top w:val="single" w:color="auto" w:sz="4" w:space="0"/>
              <w:left w:val="single" w:color="auto" w:sz="4" w:space="0"/>
              <w:bottom w:val="single" w:color="auto" w:sz="4" w:space="0"/>
              <w:right w:val="single" w:color="auto" w:sz="4" w:space="0"/>
            </w:tcBorders>
            <w:vAlign w:val="center"/>
          </w:tcPr>
          <w:p>
            <w:pPr>
              <w:jc w:val="right"/>
              <w:rPr>
                <w:rFonts w:hint="eastAsia"/>
                <w:szCs w:val="21"/>
              </w:rPr>
            </w:pPr>
            <w:r>
              <w:rPr>
                <w:rFonts w:hint="eastAsia"/>
                <w:color w:val="auto"/>
                <w:szCs w:val="21"/>
              </w:rPr>
              <w:t>-2,258,608.73</w:t>
            </w:r>
          </w:p>
        </w:tc>
        <w:tc>
          <w:tcPr>
            <w:tcW w:w="3076" w:type="dxa"/>
            <w:tcBorders>
              <w:top w:val="single" w:color="auto" w:sz="4" w:space="0"/>
              <w:left w:val="single" w:color="auto" w:sz="4" w:space="0"/>
              <w:bottom w:val="single" w:color="auto" w:sz="4" w:space="0"/>
              <w:right w:val="single" w:color="auto" w:sz="4" w:space="0"/>
            </w:tcBorders>
            <w:vAlign w:val="center"/>
          </w:tcPr>
          <w:p>
            <w:pPr>
              <w:jc w:val="right"/>
              <w:rPr>
                <w:rFonts w:hint="eastAsia"/>
                <w:szCs w:val="21"/>
              </w:rPr>
            </w:pPr>
            <w:r>
              <w:rPr>
                <w:rFonts w:hint="eastAsia"/>
                <w:color w:val="auto"/>
                <w:szCs w:val="21"/>
              </w:rPr>
              <w:t>-1,218,493.51</w:t>
            </w:r>
          </w:p>
        </w:tc>
      </w:tr>
    </w:tbl>
    <w:p>
      <w:pPr>
        <w:spacing w:before="60" w:after="60"/>
        <w:rPr>
          <w:szCs w:val="21"/>
        </w:rPr>
      </w:pPr>
      <w:r>
        <w:rPr>
          <w:rFonts w:hint="eastAsia"/>
          <w:szCs w:val="21"/>
        </w:rPr>
        <w:t>其他说明：</w:t>
      </w:r>
    </w:p>
    <w:sdt>
      <w:sdtPr>
        <w:alias w:val="资产减值损失的说明"/>
        <w:tag w:val="_GBC_1e9b73a63ce74456883b0a5fd2597461"/>
        <w:id w:val="7690"/>
        <w:placeholder>
          <w:docPart w:val="GBC22222222222222222222222222222"/>
        </w:placeholder>
      </w:sdtPr>
      <w:sdtContent>
        <w:p>
          <w:r>
            <w:t>无</w:t>
          </w:r>
        </w:p>
      </w:sdtContent>
    </w:sdt>
    <w:p>
      <w:pPr>
        <w:rPr>
          <w:rFonts w:asciiTheme="minorHAnsi" w:hAnsiTheme="minorHAnsi" w:eastAsiaTheme="minorEastAsia"/>
          <w:szCs w:val="22"/>
        </w:rPr>
      </w:pPr>
    </w:p>
    <w:p>
      <w:pPr>
        <w:rPr>
          <w:rFonts w:asciiTheme="minorHAnsi" w:hAnsiTheme="minorHAnsi" w:eastAsiaTheme="minorEastAsia"/>
          <w:szCs w:val="22"/>
        </w:rPr>
      </w:pPr>
    </w:p>
    <w:p>
      <w:pPr>
        <w:pStyle w:val="4"/>
        <w:numPr>
          <w:ilvl w:val="0"/>
          <w:numId w:val="62"/>
        </w:numPr>
        <w:tabs>
          <w:tab w:val="left" w:pos="504"/>
        </w:tabs>
        <w:rPr>
          <w:szCs w:val="21"/>
        </w:rPr>
      </w:pPr>
      <w:r>
        <w:rPr>
          <w:rFonts w:hint="eastAsia"/>
          <w:szCs w:val="21"/>
        </w:rPr>
        <w:t>资产处置收益</w:t>
      </w:r>
    </w:p>
    <w:sdt>
      <w:sdtPr>
        <w:rPr>
          <w:bCs/>
        </w:rPr>
        <w:alias w:val="是否适用：资产处置收益[双击切换]"/>
        <w:tag w:val="_GBC_b76400e6a673420c9bc522936e82c207"/>
        <w:id w:val="7691"/>
        <w:placeholder>
          <w:docPart w:val="GBC22222222222222222222222222222"/>
        </w:placeholder>
      </w:sdtPr>
      <w:sdtEndPr>
        <w:rPr>
          <w:bCs/>
        </w:rPr>
      </w:sdtEndPr>
      <w:sdtContent>
        <w:p>
          <w:pPr>
            <w:rPr>
              <w:bCs/>
            </w:rPr>
          </w:pPr>
          <w:r>
            <w:rPr>
              <w:rFonts w:ascii="宋体" w:hAnsi="宋体"/>
              <w:bCs/>
            </w:rPr>
            <w:fldChar w:fldCharType="begin"/>
          </w:r>
          <w:r>
            <w:rPr>
              <w:rFonts w:hint="eastAsia" w:ascii="宋体" w:hAnsi="宋体"/>
              <w:bCs/>
              <w:lang w:eastAsia="zh-CN"/>
            </w:rPr>
            <w:instrText xml:space="preserve"> MACROBUTTON  SnrToggleCheckbox √适用 </w:instrText>
          </w:r>
          <w:r>
            <w:rPr>
              <w:rFonts w:ascii="宋体" w:hAnsi="宋体"/>
              <w:bCs/>
            </w:rPr>
            <w:fldChar w:fldCharType="end"/>
          </w:r>
          <w:r>
            <w:rPr>
              <w:rFonts w:ascii="宋体" w:hAnsi="宋体"/>
              <w:bCs/>
            </w:rPr>
            <w:fldChar w:fldCharType="begin"/>
          </w:r>
          <w:r>
            <w:rPr>
              <w:rFonts w:hint="eastAsia" w:ascii="宋体" w:hAnsi="宋体"/>
              <w:bCs/>
              <w:lang w:eastAsia="zh-CN"/>
            </w:rPr>
            <w:instrText xml:space="preserve"> MACROBUTTON  SnrToggleCheckbox □不适用 </w:instrText>
          </w:r>
          <w:r>
            <w:rPr>
              <w:rFonts w:ascii="宋体" w:hAnsi="宋体"/>
              <w:bCs/>
            </w:rPr>
            <w:fldChar w:fldCharType="end"/>
          </w:r>
        </w:p>
      </w:sdtContent>
    </w:sdt>
    <w:p>
      <w:pPr>
        <w:pStyle w:val="56"/>
        <w:ind w:left="420" w:firstLine="0" w:firstLineChars="0"/>
        <w:jc w:val="right"/>
        <w:rPr>
          <w:bCs/>
        </w:rPr>
      </w:pPr>
      <w:r>
        <w:rPr>
          <w:bCs/>
        </w:rPr>
        <w:t>单位：</w:t>
      </w:r>
      <w:sdt>
        <w:sdtPr>
          <w:rPr>
            <w:bCs/>
          </w:rPr>
          <w:alias w:val="单位：资产处置收益明细"/>
          <w:tag w:val="_GBC_7ec9558ba3654efb8bffe62787e178bb"/>
          <w:id w:val="147476194"/>
          <w:placeholder>
            <w:docPart w:val="{d730141c-63f5-45b4-a047-a32d1ff1d4bd}"/>
          </w:placeholder>
          <w:comboBox>
            <w:listItem w:displayText="元" w:value="1"/>
            <w:listItem w:displayText="千元" w:value="1000"/>
            <w:listItem w:displayText="万元" w:value="10000"/>
            <w:listItem w:displayText="百万元" w:value="1000000"/>
            <w:listItem w:displayText="亿元" w:value="100000000"/>
          </w:comboBox>
        </w:sdtPr>
        <w:sdtEndPr>
          <w:rPr>
            <w:bCs/>
          </w:rPr>
        </w:sdtEndPr>
        <w:sdtContent>
          <w:r>
            <w:rPr>
              <w:bCs/>
            </w:rPr>
            <w:t>元</w:t>
          </w:r>
        </w:sdtContent>
      </w:sdt>
      <w:r>
        <w:rPr>
          <w:bCs/>
        </w:rPr>
        <w:t xml:space="preserve"> 币种：</w:t>
      </w:r>
      <w:sdt>
        <w:sdtPr>
          <w:rPr>
            <w:bCs/>
          </w:rPr>
          <w:alias w:val="币种：资产处置收益明细"/>
          <w:tag w:val="_GBC_6a67bd424d2842be9fe48ecebd5d6f35"/>
          <w:id w:val="147455385"/>
          <w:placeholder>
            <w:docPart w:val="{d730141c-63f5-45b4-a047-a32d1ff1d4bd}"/>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bCs/>
          </w:rPr>
        </w:sdtEndPr>
        <w:sdtContent>
          <w:r>
            <w:rPr>
              <w:bCs/>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5"/>
        <w:gridCol w:w="3016"/>
        <w:gridCol w:w="3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6aa248f59d784f95a8d1e935bd71e05e"/>
            <w:id w:val="147464615"/>
          </w:sdtPr>
          <w:sdtContent>
            <w:tc>
              <w:tcPr>
                <w:tcW w:w="3015" w:type="dxa"/>
                <w:vAlign w:val="center"/>
              </w:tcPr>
              <w:p>
                <w:pPr>
                  <w:widowControl w:val="0"/>
                  <w:jc w:val="center"/>
                </w:pPr>
                <w:r>
                  <w:rPr>
                    <w:rFonts w:hint="eastAsia"/>
                  </w:rPr>
                  <w:t>项目</w:t>
                </w:r>
              </w:p>
            </w:tc>
          </w:sdtContent>
        </w:sdt>
        <w:sdt>
          <w:sdtPr>
            <w:tag w:val="_PLD_130aaf0b75144f7d943c5d780cfc1b6b"/>
            <w:id w:val="147480002"/>
          </w:sdtPr>
          <w:sdtContent>
            <w:tc>
              <w:tcPr>
                <w:tcW w:w="3016" w:type="dxa"/>
                <w:vAlign w:val="center"/>
              </w:tcPr>
              <w:p>
                <w:pPr>
                  <w:widowControl w:val="0"/>
                  <w:jc w:val="center"/>
                </w:pPr>
                <w:r>
                  <w:rPr>
                    <w:rFonts w:hint="eastAsia"/>
                  </w:rPr>
                  <w:t>本期发生额</w:t>
                </w:r>
              </w:p>
            </w:tc>
          </w:sdtContent>
        </w:sdt>
        <w:sdt>
          <w:sdtPr>
            <w:tag w:val="_PLD_482f220f08ce46dc8e769190f957eec7"/>
            <w:id w:val="147482271"/>
          </w:sdtPr>
          <w:sdtContent>
            <w:tc>
              <w:tcPr>
                <w:tcW w:w="3016" w:type="dxa"/>
                <w:vAlign w:val="center"/>
              </w:tcPr>
              <w:p>
                <w:pPr>
                  <w:widowControl w:val="0"/>
                  <w:jc w:val="center"/>
                </w:pPr>
                <w:r>
                  <w:rPr>
                    <w:rFonts w:hint="eastAsia"/>
                  </w:rPr>
                  <w:t>上期发生额</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vAlign w:val="center"/>
          </w:tcPr>
          <w:p>
            <w:pPr>
              <w:widowControl w:val="0"/>
            </w:pPr>
            <w:r>
              <w:t>处置固定资产</w:t>
            </w:r>
          </w:p>
        </w:tc>
        <w:tc>
          <w:tcPr>
            <w:tcW w:w="3016" w:type="dxa"/>
            <w:vAlign w:val="center"/>
          </w:tcPr>
          <w:p>
            <w:pPr>
              <w:widowControl w:val="0"/>
              <w:jc w:val="right"/>
            </w:pPr>
            <w:r>
              <w:t>-9,826.60</w:t>
            </w:r>
          </w:p>
        </w:tc>
        <w:tc>
          <w:tcPr>
            <w:tcW w:w="3016" w:type="dxa"/>
            <w:vAlign w:val="center"/>
          </w:tcPr>
          <w:p>
            <w:pPr>
              <w:widowControl w:val="0"/>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vAlign w:val="center"/>
          </w:tcPr>
          <w:p>
            <w:pPr>
              <w:widowControl w:val="0"/>
              <w:jc w:val="center"/>
            </w:pPr>
            <w:r>
              <w:rPr>
                <w:rFonts w:hint="eastAsia"/>
              </w:rPr>
              <w:t>合计</w:t>
            </w:r>
          </w:p>
        </w:tc>
        <w:tc>
          <w:tcPr>
            <w:tcW w:w="3016" w:type="dxa"/>
            <w:vAlign w:val="center"/>
          </w:tcPr>
          <w:p>
            <w:pPr>
              <w:widowControl w:val="0"/>
              <w:jc w:val="right"/>
            </w:pPr>
            <w:r>
              <w:rPr>
                <w:rFonts w:hint="eastAsia"/>
              </w:rPr>
              <w:t>-9,826.60</w:t>
            </w:r>
          </w:p>
        </w:tc>
        <w:tc>
          <w:tcPr>
            <w:tcW w:w="3016" w:type="dxa"/>
            <w:vAlign w:val="center"/>
          </w:tcPr>
          <w:p>
            <w:pPr>
              <w:widowControl w:val="0"/>
              <w:jc w:val="right"/>
            </w:pPr>
          </w:p>
        </w:tc>
      </w:tr>
    </w:tbl>
    <w:p/>
    <w:p>
      <w:r>
        <w:rPr>
          <w:rFonts w:hint="eastAsia"/>
          <w:lang w:val="en-US" w:eastAsia="zh-CN"/>
        </w:rPr>
        <w:t>其</w:t>
      </w:r>
      <w:r>
        <w:rPr>
          <w:rFonts w:hint="eastAsia"/>
        </w:rPr>
        <w:t>他说明：</w:t>
      </w:r>
    </w:p>
    <w:sdt>
      <w:sdtPr>
        <w:alias w:val="资产处置收益其他说明"/>
        <w:tag w:val="_GBC_a5d14cbbaa9b4b96b1c008693dadc2d6"/>
        <w:id w:val="147483606"/>
        <w:placeholder>
          <w:docPart w:val="{d730141c-63f5-45b4-a047-a32d1ff1d4bd}"/>
        </w:placeholder>
      </w:sdtPr>
      <w:sdtContent>
        <w:p>
          <w:r>
            <w:rPr>
              <w:rFonts w:hint="eastAsia"/>
              <w:lang w:eastAsia="zh-CN"/>
            </w:rPr>
            <w:t>无</w:t>
          </w:r>
        </w:p>
      </w:sdtContent>
    </w:sdt>
    <w:p>
      <w:pPr>
        <w:autoSpaceDE w:val="0"/>
        <w:autoSpaceDN w:val="0"/>
        <w:adjustRightInd w:val="0"/>
        <w:rPr>
          <w:szCs w:val="21"/>
        </w:rPr>
      </w:pPr>
    </w:p>
    <w:sdt>
      <w:sdtPr>
        <w:tag w:val="_PLD_987147bb19a345b99a47a9963d38e105"/>
        <w:id w:val="7692"/>
      </w:sdtPr>
      <w:sdtContent>
        <w:p>
          <w:pPr>
            <w:pStyle w:val="4"/>
            <w:numPr>
              <w:ilvl w:val="0"/>
              <w:numId w:val="62"/>
            </w:numPr>
            <w:tabs>
              <w:tab w:val="left" w:pos="504"/>
            </w:tabs>
            <w:rPr>
              <w:rFonts w:hint="eastAsia" w:ascii="宋体" w:hAnsi="宋体"/>
              <w:szCs w:val="21"/>
            </w:rPr>
          </w:pPr>
          <w:r>
            <w:rPr>
              <w:rFonts w:hint="eastAsia" w:ascii="宋体" w:hAnsi="宋体"/>
              <w:szCs w:val="21"/>
            </w:rPr>
            <w:t>营业外收入</w:t>
          </w:r>
        </w:p>
      </w:sdtContent>
    </w:sdt>
    <w:p>
      <w:r>
        <w:rPr>
          <w:rFonts w:hint="eastAsia"/>
        </w:rPr>
        <w:t>营业外收入情况</w:t>
      </w:r>
    </w:p>
    <w:sdt>
      <w:sdtPr>
        <w:rPr>
          <w:rFonts w:hint="eastAsia"/>
        </w:rPr>
        <w:alias w:val="是否适用：营业外收入情况 [双击切换]"/>
        <w:tag w:val="_GBC_4aec8b65d0e744aaaddac8859ae249bc"/>
        <w:id w:val="7693"/>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财务附注：营业外收入"/>
          <w:tag w:val="_GBC_79d3fe1c29e746e7b2a9a9acfcc43449"/>
          <w:id w:val="769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财务附注：营业外收入"/>
          <w:tag w:val="_GBC_4266913812da4517aa68b2f8bff79fbe"/>
          <w:id w:val="769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2"/>
        <w:gridCol w:w="2305"/>
        <w:gridCol w:w="2314"/>
        <w:gridCol w:w="2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dxa"/>
            <w:tcBorders>
              <w:top w:val="single" w:color="auto" w:sz="4" w:space="0"/>
              <w:left w:val="single" w:color="auto" w:sz="4" w:space="0"/>
              <w:bottom w:val="single" w:color="auto" w:sz="4" w:space="0"/>
              <w:right w:val="single" w:color="auto" w:sz="4" w:space="0"/>
            </w:tcBorders>
            <w:vAlign w:val="center"/>
          </w:tcPr>
          <w:sdt>
            <w:sdtPr>
              <w:tag w:val="_PLD_1b52b1902e1443609ba6891d7076aebe"/>
              <w:id w:val="7696"/>
            </w:sdtPr>
            <w:sdtContent>
              <w:p>
                <w:pPr>
                  <w:autoSpaceDE w:val="0"/>
                  <w:autoSpaceDN w:val="0"/>
                  <w:adjustRightInd w:val="0"/>
                  <w:jc w:val="center"/>
                  <w:rPr>
                    <w:szCs w:val="21"/>
                  </w:rPr>
                </w:pPr>
                <w:r>
                  <w:rPr>
                    <w:rFonts w:hint="eastAsia"/>
                    <w:szCs w:val="21"/>
                  </w:rPr>
                  <w:t>项目</w:t>
                </w:r>
              </w:p>
            </w:sdtContent>
          </w:sdt>
        </w:tc>
        <w:tc>
          <w:tcPr>
            <w:tcW w:w="2305" w:type="dxa"/>
            <w:tcBorders>
              <w:top w:val="single" w:color="auto" w:sz="4" w:space="0"/>
              <w:left w:val="single" w:color="auto" w:sz="4" w:space="0"/>
              <w:bottom w:val="single" w:color="auto" w:sz="4" w:space="0"/>
              <w:right w:val="single" w:color="auto" w:sz="4" w:space="0"/>
            </w:tcBorders>
            <w:vAlign w:val="center"/>
          </w:tcPr>
          <w:sdt>
            <w:sdtPr>
              <w:tag w:val="_PLD_9dc87bd465124a2289f545f76d28c96c"/>
              <w:id w:val="7697"/>
            </w:sdtPr>
            <w:sdtContent>
              <w:p>
                <w:pPr>
                  <w:autoSpaceDE w:val="0"/>
                  <w:autoSpaceDN w:val="0"/>
                  <w:adjustRightInd w:val="0"/>
                  <w:jc w:val="center"/>
                  <w:rPr>
                    <w:szCs w:val="21"/>
                  </w:rPr>
                </w:pPr>
                <w:r>
                  <w:rPr>
                    <w:rFonts w:hint="eastAsia"/>
                    <w:szCs w:val="21"/>
                  </w:rPr>
                  <w:t>本期发生额</w:t>
                </w:r>
              </w:p>
            </w:sdtContent>
          </w:sdt>
        </w:tc>
        <w:tc>
          <w:tcPr>
            <w:tcW w:w="2314" w:type="dxa"/>
            <w:tcBorders>
              <w:top w:val="single" w:color="auto" w:sz="4" w:space="0"/>
              <w:left w:val="single" w:color="auto" w:sz="4" w:space="0"/>
              <w:bottom w:val="single" w:color="auto" w:sz="4" w:space="0"/>
              <w:right w:val="single" w:color="auto" w:sz="4" w:space="0"/>
            </w:tcBorders>
            <w:vAlign w:val="center"/>
          </w:tcPr>
          <w:sdt>
            <w:sdtPr>
              <w:tag w:val="_PLD_e1b91f5db91a439083c1f9a1b7d17ef9"/>
              <w:id w:val="7698"/>
            </w:sdtPr>
            <w:sdtContent>
              <w:p>
                <w:pPr>
                  <w:autoSpaceDE w:val="0"/>
                  <w:autoSpaceDN w:val="0"/>
                  <w:adjustRightInd w:val="0"/>
                  <w:jc w:val="center"/>
                  <w:rPr>
                    <w:szCs w:val="21"/>
                  </w:rPr>
                </w:pPr>
                <w:r>
                  <w:rPr>
                    <w:rFonts w:hint="eastAsia"/>
                    <w:szCs w:val="21"/>
                  </w:rPr>
                  <w:t>上期发生额</w:t>
                </w:r>
              </w:p>
            </w:sdtContent>
          </w:sdt>
        </w:tc>
        <w:tc>
          <w:tcPr>
            <w:tcW w:w="2316" w:type="dxa"/>
            <w:tcBorders>
              <w:top w:val="single" w:color="auto" w:sz="4" w:space="0"/>
              <w:left w:val="single" w:color="auto" w:sz="4" w:space="0"/>
              <w:bottom w:val="single" w:color="auto" w:sz="4" w:space="0"/>
              <w:right w:val="single" w:color="auto" w:sz="4" w:space="0"/>
            </w:tcBorders>
            <w:vAlign w:val="center"/>
          </w:tcPr>
          <w:sdt>
            <w:sdtPr>
              <w:tag w:val="_PLD_db1c9e08e7ea407889a350e8451d2848"/>
              <w:id w:val="7699"/>
            </w:sdtPr>
            <w:sdtContent>
              <w:p>
                <w:pPr>
                  <w:autoSpaceDE w:val="0"/>
                  <w:autoSpaceDN w:val="0"/>
                  <w:adjustRightInd w:val="0"/>
                  <w:jc w:val="center"/>
                  <w:rPr>
                    <w:color w:val="FF0000"/>
                    <w:szCs w:val="21"/>
                  </w:rPr>
                </w:pPr>
                <w:r>
                  <w:rPr>
                    <w:rFonts w:hint="eastAsia"/>
                    <w:szCs w:val="21"/>
                  </w:rPr>
                  <w:t>计入当期非经常性损益的金额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dxa"/>
            <w:tcBorders>
              <w:top w:val="single" w:color="auto" w:sz="4" w:space="0"/>
              <w:left w:val="single" w:color="auto" w:sz="4" w:space="0"/>
              <w:bottom w:val="single" w:color="auto" w:sz="4" w:space="0"/>
              <w:right w:val="single" w:color="auto" w:sz="4" w:space="0"/>
            </w:tcBorders>
            <w:vAlign w:val="center"/>
          </w:tcPr>
          <w:sdt>
            <w:sdtPr>
              <w:tag w:val="_PLD_2d7d486e5802447694f6aabdd236c0f9"/>
              <w:id w:val="7700"/>
            </w:sdtPr>
            <w:sdtContent>
              <w:p>
                <w:pPr>
                  <w:autoSpaceDE w:val="0"/>
                  <w:autoSpaceDN w:val="0"/>
                  <w:adjustRightInd w:val="0"/>
                  <w:rPr>
                    <w:szCs w:val="21"/>
                  </w:rPr>
                </w:pPr>
                <w:r>
                  <w:rPr>
                    <w:rFonts w:hint="eastAsia"/>
                    <w:szCs w:val="21"/>
                  </w:rPr>
                  <w:t>非流动资产毁损报废利得</w:t>
                </w:r>
              </w:p>
            </w:sdtContent>
          </w:sdt>
        </w:tc>
        <w:tc>
          <w:tcPr>
            <w:tcW w:w="2305" w:type="dxa"/>
            <w:tcBorders>
              <w:top w:val="single" w:color="auto" w:sz="4" w:space="0"/>
              <w:left w:val="single" w:color="auto" w:sz="4" w:space="0"/>
              <w:bottom w:val="single" w:color="auto" w:sz="4" w:space="0"/>
              <w:right w:val="single" w:color="auto" w:sz="4" w:space="0"/>
            </w:tcBorders>
            <w:vAlign w:val="center"/>
          </w:tcPr>
          <w:p>
            <w:pPr>
              <w:jc w:val="right"/>
              <w:rPr>
                <w:rFonts w:hint="eastAsia"/>
                <w:szCs w:val="21"/>
              </w:rPr>
            </w:pPr>
            <w:r>
              <w:rPr>
                <w:rFonts w:hint="eastAsia"/>
                <w:color w:val="auto"/>
                <w:szCs w:val="21"/>
              </w:rPr>
              <w:t>25.63</w:t>
            </w:r>
          </w:p>
        </w:tc>
        <w:tc>
          <w:tcPr>
            <w:tcW w:w="231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43,117.68</w:t>
            </w:r>
          </w:p>
        </w:tc>
        <w:tc>
          <w:tcPr>
            <w:tcW w:w="231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r>
              <w:rPr>
                <w:rFonts w:hint="eastAsia"/>
                <w:color w:val="auto"/>
                <w:szCs w:val="21"/>
              </w:rPr>
              <w:t>25.63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dxa"/>
            <w:tcBorders>
              <w:top w:val="single" w:color="auto" w:sz="4" w:space="0"/>
              <w:left w:val="single" w:color="auto" w:sz="4" w:space="0"/>
              <w:bottom w:val="single" w:color="auto" w:sz="4" w:space="0"/>
              <w:right w:val="single" w:color="auto" w:sz="4" w:space="0"/>
            </w:tcBorders>
            <w:vAlign w:val="center"/>
          </w:tcPr>
          <w:sdt>
            <w:sdtPr>
              <w:tag w:val="_PLD_56e5a2dd44854ddd9b1f8deb77014232"/>
              <w:id w:val="7701"/>
            </w:sdtPr>
            <w:sdtContent>
              <w:p>
                <w:pPr>
                  <w:autoSpaceDE w:val="0"/>
                  <w:autoSpaceDN w:val="0"/>
                  <w:adjustRightInd w:val="0"/>
                  <w:rPr>
                    <w:szCs w:val="21"/>
                  </w:rPr>
                </w:pPr>
                <w:r>
                  <w:rPr>
                    <w:rFonts w:hint="eastAsia"/>
                    <w:szCs w:val="21"/>
                  </w:rPr>
                  <w:t>其中：固定资产</w:t>
                </w:r>
              </w:p>
            </w:sdtContent>
          </w:sdt>
        </w:tc>
        <w:tc>
          <w:tcPr>
            <w:tcW w:w="230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25.63</w:t>
            </w:r>
          </w:p>
        </w:tc>
        <w:tc>
          <w:tcPr>
            <w:tcW w:w="231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43,117.68</w:t>
            </w:r>
          </w:p>
        </w:tc>
        <w:tc>
          <w:tcPr>
            <w:tcW w:w="231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rFonts w:hint="eastAsia"/>
                <w:szCs w:val="21"/>
              </w:rPr>
            </w:pPr>
            <w:r>
              <w:rPr>
                <w:rFonts w:hint="eastAsia"/>
                <w:color w:val="auto"/>
                <w:szCs w:val="21"/>
              </w:rPr>
              <w:t>25.63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dxa"/>
            <w:tcBorders>
              <w:top w:val="single" w:color="auto" w:sz="4" w:space="0"/>
              <w:left w:val="single" w:color="auto" w:sz="4" w:space="0"/>
              <w:bottom w:val="single" w:color="auto" w:sz="4" w:space="0"/>
              <w:right w:val="single" w:color="auto" w:sz="4" w:space="0"/>
            </w:tcBorders>
            <w:vAlign w:val="center"/>
          </w:tcPr>
          <w:sdt>
            <w:sdtPr>
              <w:tag w:val="_PLD_0c67c8623790441885ff3b307cc33e39"/>
              <w:id w:val="7702"/>
            </w:sdtPr>
            <w:sdtContent>
              <w:p>
                <w:pPr>
                  <w:autoSpaceDE w:val="0"/>
                  <w:autoSpaceDN w:val="0"/>
                  <w:adjustRightInd w:val="0"/>
                  <w:ind w:firstLine="630" w:firstLineChars="300"/>
                  <w:rPr>
                    <w:szCs w:val="21"/>
                  </w:rPr>
                </w:pPr>
                <w:r>
                  <w:rPr>
                    <w:rFonts w:hint="eastAsia"/>
                    <w:szCs w:val="21"/>
                  </w:rPr>
                  <w:t>无需支付的应付款项</w:t>
                </w:r>
              </w:p>
            </w:sdtContent>
          </w:sdt>
        </w:tc>
        <w:tc>
          <w:tcPr>
            <w:tcW w:w="230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1,951,167.77</w:t>
            </w:r>
          </w:p>
        </w:tc>
        <w:tc>
          <w:tcPr>
            <w:tcW w:w="231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231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rFonts w:hint="eastAsia"/>
                <w:szCs w:val="21"/>
              </w:rPr>
            </w:pPr>
            <w:r>
              <w:rPr>
                <w:rFonts w:hint="eastAsia"/>
                <w:color w:val="auto"/>
                <w:szCs w:val="21"/>
              </w:rPr>
              <w:t>1,951,167.77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dxa"/>
            <w:tcBorders>
              <w:top w:val="single" w:color="auto" w:sz="4" w:space="0"/>
              <w:left w:val="single" w:color="auto" w:sz="4" w:space="0"/>
              <w:bottom w:val="single" w:color="auto" w:sz="4" w:space="0"/>
              <w:right w:val="single" w:color="auto" w:sz="4" w:space="0"/>
            </w:tcBorders>
            <w:vAlign w:val="center"/>
          </w:tcPr>
          <w:sdt>
            <w:sdtPr>
              <w:tag w:val="_PLD_e1bafef3b0014764b4b915b52e29fba9"/>
              <w:id w:val="7703"/>
            </w:sdtPr>
            <w:sdtContent>
              <w:p>
                <w:pPr>
                  <w:autoSpaceDE w:val="0"/>
                  <w:autoSpaceDN w:val="0"/>
                  <w:adjustRightInd w:val="0"/>
                  <w:rPr>
                    <w:szCs w:val="21"/>
                  </w:rPr>
                </w:pPr>
                <w:r>
                  <w:rPr>
                    <w:rFonts w:hint="eastAsia"/>
                    <w:szCs w:val="21"/>
                  </w:rPr>
                  <w:t>与企业日常活动无关的政府补助</w:t>
                </w:r>
              </w:p>
            </w:sdtContent>
          </w:sdt>
        </w:tc>
        <w:tc>
          <w:tcPr>
            <w:tcW w:w="230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645,828.24</w:t>
            </w:r>
          </w:p>
        </w:tc>
        <w:tc>
          <w:tcPr>
            <w:tcW w:w="231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894,628.35</w:t>
            </w:r>
          </w:p>
        </w:tc>
        <w:tc>
          <w:tcPr>
            <w:tcW w:w="231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rFonts w:hint="eastAsia"/>
                <w:szCs w:val="21"/>
              </w:rPr>
            </w:pPr>
            <w:r>
              <w:rPr>
                <w:rFonts w:hint="eastAsia"/>
                <w:color w:val="auto"/>
                <w:szCs w:val="21"/>
              </w:rPr>
              <w:t>645,828.24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szCs w:val="21"/>
              </w:rPr>
              <w:t>其他</w:t>
            </w:r>
          </w:p>
        </w:tc>
        <w:tc>
          <w:tcPr>
            <w:tcW w:w="230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280,520.91</w:t>
            </w:r>
          </w:p>
        </w:tc>
        <w:tc>
          <w:tcPr>
            <w:tcW w:w="231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245,829.05</w:t>
            </w:r>
          </w:p>
        </w:tc>
        <w:tc>
          <w:tcPr>
            <w:tcW w:w="2316"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280,520.91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合计</w:t>
            </w:r>
          </w:p>
        </w:tc>
        <w:tc>
          <w:tcPr>
            <w:tcW w:w="2305" w:type="dxa"/>
            <w:tcBorders>
              <w:top w:val="single" w:color="auto" w:sz="4" w:space="0"/>
              <w:left w:val="single" w:color="auto" w:sz="4" w:space="0"/>
              <w:bottom w:val="single" w:color="auto" w:sz="4" w:space="0"/>
              <w:right w:val="single" w:color="auto" w:sz="4" w:space="0"/>
            </w:tcBorders>
            <w:vAlign w:val="center"/>
          </w:tcPr>
          <w:p>
            <w:pPr>
              <w:jc w:val="right"/>
              <w:rPr>
                <w:rFonts w:hint="eastAsia"/>
                <w:szCs w:val="21"/>
              </w:rPr>
            </w:pPr>
            <w:r>
              <w:rPr>
                <w:rFonts w:hint="eastAsia"/>
                <w:color w:val="auto"/>
                <w:szCs w:val="21"/>
              </w:rPr>
              <w:t>2,877,542.55</w:t>
            </w:r>
          </w:p>
        </w:tc>
        <w:tc>
          <w:tcPr>
            <w:tcW w:w="2314" w:type="dxa"/>
            <w:tcBorders>
              <w:top w:val="single" w:color="auto" w:sz="4" w:space="0"/>
              <w:left w:val="single" w:color="auto" w:sz="4" w:space="0"/>
              <w:bottom w:val="single" w:color="auto" w:sz="4" w:space="0"/>
              <w:right w:val="single" w:color="auto" w:sz="4" w:space="0"/>
            </w:tcBorders>
            <w:vAlign w:val="center"/>
          </w:tcPr>
          <w:p>
            <w:pPr>
              <w:jc w:val="right"/>
              <w:rPr>
                <w:rFonts w:hint="eastAsia"/>
                <w:szCs w:val="21"/>
              </w:rPr>
            </w:pPr>
            <w:r>
              <w:rPr>
                <w:rFonts w:hint="eastAsia"/>
                <w:color w:val="auto"/>
                <w:szCs w:val="21"/>
              </w:rPr>
              <w:t>1,183,575.08</w:t>
            </w:r>
          </w:p>
        </w:tc>
        <w:tc>
          <w:tcPr>
            <w:tcW w:w="231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rFonts w:hint="eastAsia"/>
                <w:szCs w:val="21"/>
              </w:rPr>
            </w:pPr>
            <w:r>
              <w:rPr>
                <w:rFonts w:hint="eastAsia"/>
                <w:color w:val="auto"/>
                <w:szCs w:val="21"/>
              </w:rPr>
              <w:t>2,877,542.55</w:t>
            </w:r>
          </w:p>
        </w:tc>
      </w:tr>
    </w:tbl>
    <w:p/>
    <w:p>
      <w:pPr>
        <w:spacing w:before="60" w:after="60" w:line="360" w:lineRule="exact"/>
        <w:rPr>
          <w:szCs w:val="21"/>
        </w:rPr>
      </w:pPr>
      <w:r>
        <w:rPr>
          <w:rFonts w:hint="eastAsia"/>
          <w:szCs w:val="21"/>
        </w:rPr>
        <w:t>其他说明：</w:t>
      </w:r>
    </w:p>
    <w:sdt>
      <w:sdtPr>
        <w:rPr>
          <w:szCs w:val="21"/>
        </w:rPr>
        <w:alias w:val="是否适用：营业外收入说明[双击切换]"/>
        <w:tag w:val="_GBC_746f9c9c9cab4c2a87c7913a430e2392"/>
        <w:id w:val="7704"/>
        <w:placeholder>
          <w:docPart w:val="GBC22222222222222222222222222222"/>
        </w:placeholder>
      </w:sdtPr>
      <w:sdtEndPr>
        <w:rPr>
          <w:szCs w:val="21"/>
        </w:rPr>
      </w:sdtEndPr>
      <w:sdtContent>
        <w:p>
          <w:pPr>
            <w:spacing w:before="60" w:after="60" w:line="360" w:lineRule="exact"/>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szCs w:val="21"/>
        </w:rPr>
        <w:alias w:val="营业外收入说明"/>
        <w:tag w:val="_GBC_025da34f568f41658c5fa2bdac45f3f2"/>
        <w:id w:val="7705"/>
        <w:placeholder>
          <w:docPart w:val="GBC22222222222222222222222222222"/>
        </w:placeholder>
      </w:sdtPr>
      <w:sdtEndPr>
        <w:rPr>
          <w:rFonts w:hint="eastAsia" w:ascii="Times New Roman" w:hAnsi="Times New Roman" w:eastAsia="宋体"/>
          <w:sz w:val="21"/>
          <w:szCs w:val="21"/>
        </w:rPr>
      </w:sdtEndPr>
      <w:sdtContent>
        <w:p>
          <w:pPr>
            <w:ind w:firstLine="640"/>
            <w:rPr>
              <w:szCs w:val="21"/>
            </w:rPr>
          </w:pPr>
          <w:r>
            <w:rPr>
              <w:rFonts w:hint="eastAsia" w:ascii="Arial" w:eastAsia="Arial"/>
              <w:sz w:val="24"/>
              <w:szCs w:val="24"/>
            </w:rPr>
            <w:t>计入当期损益的政府补助</w:t>
          </w: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5"/>
            <w:gridCol w:w="1966"/>
            <w:gridCol w:w="1966"/>
            <w:gridCol w:w="2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sz w:val="21"/>
                    <w:szCs w:val="21"/>
                  </w:rPr>
                </w:pPr>
                <w:r>
                  <w:rPr>
                    <w:rFonts w:hint="eastAsia" w:ascii="Times New Roman" w:hAnsi="Times New Roman" w:eastAsia="宋体"/>
                    <w:sz w:val="21"/>
                    <w:szCs w:val="21"/>
                  </w:rPr>
                  <w:t>补助项目</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sz w:val="21"/>
                    <w:szCs w:val="21"/>
                  </w:rPr>
                </w:pPr>
                <w:r>
                  <w:rPr>
                    <w:rFonts w:hint="eastAsia" w:ascii="Times New Roman" w:hAnsi="Times New Roman" w:eastAsia="宋体"/>
                    <w:sz w:val="21"/>
                    <w:szCs w:val="21"/>
                  </w:rPr>
                  <w:t>本期发生额</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sz w:val="21"/>
                    <w:szCs w:val="21"/>
                  </w:rPr>
                </w:pPr>
                <w:r>
                  <w:rPr>
                    <w:rFonts w:hint="eastAsia" w:ascii="Times New Roman" w:hAnsi="Times New Roman" w:eastAsia="宋体"/>
                    <w:sz w:val="21"/>
                    <w:szCs w:val="21"/>
                  </w:rPr>
                  <w:t>上期发生额</w:t>
                </w:r>
              </w:p>
            </w:tc>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sz w:val="21"/>
                    <w:szCs w:val="21"/>
                  </w:rPr>
                </w:pPr>
                <w:r>
                  <w:rPr>
                    <w:rFonts w:hint="eastAsia" w:ascii="Times New Roman" w:hAnsi="Times New Roman" w:eastAsia="宋体"/>
                    <w:sz w:val="21"/>
                    <w:szCs w:val="21"/>
                  </w:rPr>
                  <w:t>与资产相关/</w:t>
                </w:r>
              </w:p>
              <w:p>
                <w:pPr>
                  <w:widowControl w:val="0"/>
                  <w:jc w:val="center"/>
                  <w:rPr>
                    <w:rFonts w:ascii="Times New Roman" w:hAnsi="Times New Roman" w:eastAsia="宋体"/>
                    <w:sz w:val="21"/>
                    <w:szCs w:val="21"/>
                  </w:rPr>
                </w:pPr>
                <w:r>
                  <w:rPr>
                    <w:rFonts w:hint="eastAsia" w:ascii="Times New Roman" w:hAnsi="Times New Roman" w:eastAsia="宋体"/>
                    <w:sz w:val="21"/>
                    <w:szCs w:val="21"/>
                  </w:rPr>
                  <w:t>与收益相关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jc w:val="both"/>
                  <w:rPr>
                    <w:rFonts w:ascii="Times New Roman" w:hAnsi="Times New Roman" w:eastAsia="宋体"/>
                    <w:sz w:val="21"/>
                    <w:szCs w:val="21"/>
                  </w:rPr>
                </w:pPr>
                <w:r>
                  <w:rPr>
                    <w:rFonts w:hint="eastAsia" w:ascii="Times New Roman" w:hAnsi="Times New Roman" w:eastAsia="宋体"/>
                    <w:sz w:val="21"/>
                    <w:szCs w:val="21"/>
                  </w:rPr>
                  <w:t>各种企业奖励及发展补助</w:t>
                </w:r>
              </w:p>
            </w:tc>
            <w:tc>
              <w:tcPr>
                <w:tcBorders>
                  <w:top w:val="single" w:color="auto" w:sz="4" w:space="0"/>
                  <w:left w:val="single" w:color="auto" w:sz="4" w:space="0"/>
                  <w:bottom w:val="single" w:color="auto" w:sz="4" w:space="0"/>
                  <w:right w:val="single" w:color="auto" w:sz="4" w:space="0"/>
                </w:tcBorders>
              </w:tcPr>
              <w:p>
                <w:pPr>
                  <w:widowControl w:val="0"/>
                  <w:ind w:firstLine="480"/>
                  <w:jc w:val="right"/>
                  <w:rPr>
                    <w:rFonts w:ascii="Times New Roman" w:hAnsi="Times New Roman" w:eastAsia="宋体"/>
                    <w:sz w:val="21"/>
                    <w:szCs w:val="21"/>
                  </w:rPr>
                </w:pPr>
                <w:r>
                  <w:rPr>
                    <w:rFonts w:hint="eastAsia" w:ascii="Times New Roman" w:hAnsi="Times New Roman" w:eastAsia="宋体"/>
                    <w:sz w:val="21"/>
                    <w:szCs w:val="21"/>
                  </w:rPr>
                  <w:t>645,828.24</w:t>
                </w:r>
              </w:p>
            </w:tc>
            <w:tc>
              <w:tcPr>
                <w:tcBorders>
                  <w:top w:val="single" w:color="auto" w:sz="4" w:space="0"/>
                  <w:left w:val="single" w:color="auto" w:sz="4" w:space="0"/>
                  <w:bottom w:val="single" w:color="auto" w:sz="4" w:space="0"/>
                  <w:right w:val="single" w:color="auto" w:sz="4" w:space="0"/>
                </w:tcBorders>
              </w:tcPr>
              <w:p>
                <w:pPr>
                  <w:widowControl w:val="0"/>
                  <w:ind w:firstLine="480"/>
                  <w:jc w:val="right"/>
                  <w:rPr>
                    <w:rFonts w:ascii="Times New Roman" w:hAnsi="Times New Roman" w:eastAsia="宋体"/>
                    <w:sz w:val="21"/>
                    <w:szCs w:val="21"/>
                  </w:rPr>
                </w:pPr>
                <w:r>
                  <w:rPr>
                    <w:rFonts w:hint="eastAsia" w:ascii="Times New Roman" w:hAnsi="Times New Roman" w:eastAsia="宋体"/>
                    <w:sz w:val="21"/>
                    <w:szCs w:val="21"/>
                  </w:rPr>
                  <w:t>894,628.35</w:t>
                </w:r>
              </w:p>
            </w:tc>
            <w:tc>
              <w:tcPr>
                <w:tcBorders>
                  <w:top w:val="single" w:color="auto" w:sz="4" w:space="0"/>
                  <w:left w:val="single" w:color="auto" w:sz="4" w:space="0"/>
                  <w:bottom w:val="single" w:color="auto" w:sz="4" w:space="0"/>
                  <w:right w:val="single" w:color="auto" w:sz="4" w:space="0"/>
                </w:tcBorders>
                <w:vAlign w:val="center"/>
              </w:tcPr>
              <w:p>
                <w:pPr>
                  <w:widowControl w:val="0"/>
                  <w:ind w:firstLine="480"/>
                  <w:jc w:val="center"/>
                  <w:rPr>
                    <w:rFonts w:ascii="Times New Roman" w:hAnsi="Times New Roman" w:eastAsia="宋体"/>
                    <w:sz w:val="21"/>
                    <w:szCs w:val="21"/>
                  </w:rPr>
                </w:pPr>
                <w:r>
                  <w:rPr>
                    <w:rFonts w:hint="eastAsia" w:ascii="Times New Roman" w:hAnsi="Times New Roman" w:eastAsia="宋体"/>
                    <w:sz w:val="21"/>
                    <w:szCs w:val="21"/>
                  </w:rPr>
                  <w:t>与收益相关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sz w:val="21"/>
                    <w:szCs w:val="21"/>
                  </w:rPr>
                </w:pPr>
                <w:r>
                  <w:rPr>
                    <w:rFonts w:hint="eastAsia" w:ascii="Times New Roman" w:hAnsi="Times New Roman" w:eastAsia="宋体"/>
                    <w:sz w:val="21"/>
                    <w:szCs w:val="21"/>
                  </w:rPr>
                  <w:t>合计</w:t>
                </w:r>
              </w:p>
            </w:tc>
            <w:tc>
              <w:tcPr>
                <w:tcBorders>
                  <w:top w:val="single" w:color="auto" w:sz="4" w:space="0"/>
                  <w:left w:val="single" w:color="auto" w:sz="4" w:space="0"/>
                  <w:bottom w:val="single" w:color="auto" w:sz="4" w:space="0"/>
                  <w:right w:val="single" w:color="auto" w:sz="4" w:space="0"/>
                </w:tcBorders>
              </w:tcPr>
              <w:p>
                <w:pPr>
                  <w:widowControl w:val="0"/>
                  <w:ind w:firstLine="480"/>
                  <w:jc w:val="right"/>
                  <w:rPr>
                    <w:rFonts w:ascii="Times New Roman" w:hAnsi="Times New Roman" w:eastAsia="宋体"/>
                    <w:sz w:val="21"/>
                    <w:szCs w:val="21"/>
                  </w:rPr>
                </w:pPr>
                <w:r>
                  <w:rPr>
                    <w:rFonts w:hint="eastAsia" w:ascii="Times New Roman" w:hAnsi="Times New Roman" w:eastAsia="宋体"/>
                    <w:sz w:val="21"/>
                    <w:szCs w:val="21"/>
                  </w:rPr>
                  <w:t>645,828.24</w:t>
                </w:r>
              </w:p>
            </w:tc>
            <w:tc>
              <w:tcPr>
                <w:tcBorders>
                  <w:top w:val="single" w:color="auto" w:sz="4" w:space="0"/>
                  <w:left w:val="single" w:color="auto" w:sz="4" w:space="0"/>
                  <w:bottom w:val="single" w:color="auto" w:sz="4" w:space="0"/>
                  <w:right w:val="single" w:color="auto" w:sz="4" w:space="0"/>
                </w:tcBorders>
              </w:tcPr>
              <w:p>
                <w:pPr>
                  <w:widowControl w:val="0"/>
                  <w:ind w:firstLine="480"/>
                  <w:jc w:val="right"/>
                  <w:rPr>
                    <w:rFonts w:ascii="Times New Roman" w:hAnsi="Times New Roman" w:eastAsia="宋体"/>
                    <w:sz w:val="21"/>
                    <w:szCs w:val="21"/>
                  </w:rPr>
                </w:pPr>
                <w:r>
                  <w:rPr>
                    <w:rFonts w:hint="eastAsia" w:ascii="Times New Roman" w:hAnsi="Times New Roman" w:eastAsia="宋体"/>
                    <w:sz w:val="21"/>
                    <w:szCs w:val="21"/>
                  </w:rPr>
                  <w:t>894,628.35</w:t>
                </w:r>
              </w:p>
            </w:tc>
            <w:tc>
              <w:tcPr>
                <w:tcBorders>
                  <w:top w:val="single" w:color="auto" w:sz="4" w:space="0"/>
                  <w:left w:val="single" w:color="auto" w:sz="4" w:space="0"/>
                  <w:bottom w:val="single" w:color="auto" w:sz="4" w:space="0"/>
                  <w:right w:val="single" w:color="auto" w:sz="4" w:space="0"/>
                </w:tcBorders>
                <w:vAlign w:val="center"/>
              </w:tcPr>
              <w:p>
                <w:pPr>
                  <w:widowControl w:val="0"/>
                  <w:ind w:firstLine="480"/>
                  <w:jc w:val="center"/>
                  <w:rPr>
                    <w:rFonts w:ascii="Times New Roman" w:hAnsi="Times New Roman" w:eastAsia="宋体"/>
                    <w:sz w:val="21"/>
                    <w:szCs w:val="21"/>
                  </w:rPr>
                </w:pPr>
              </w:p>
            </w:tc>
          </w:tr>
        </w:tbl>
      </w:sdtContent>
    </w:sdt>
    <w:p/>
    <w:p>
      <w:pPr>
        <w:pStyle w:val="4"/>
        <w:numPr>
          <w:ilvl w:val="0"/>
          <w:numId w:val="62"/>
        </w:numPr>
        <w:tabs>
          <w:tab w:val="left" w:pos="504"/>
        </w:tabs>
        <w:rPr>
          <w:rFonts w:hint="eastAsia" w:ascii="宋体" w:hAnsi="宋体"/>
          <w:szCs w:val="21"/>
        </w:rPr>
      </w:pPr>
      <w:r>
        <w:rPr>
          <w:rFonts w:hint="eastAsia" w:ascii="宋体" w:hAnsi="宋体"/>
          <w:szCs w:val="21"/>
        </w:rPr>
        <w:t>营业外支出</w:t>
      </w:r>
    </w:p>
    <w:sdt>
      <w:sdtPr>
        <w:rPr>
          <w:rFonts w:hint="eastAsia"/>
          <w:szCs w:val="21"/>
        </w:rPr>
        <w:alias w:val="是否适用：营业外支出[双击切换]"/>
        <w:tag w:val="_GBC_8e8d3e6e563742f48edf759d6034f4ce"/>
        <w:id w:val="7706"/>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jc w:val="right"/>
        <w:rPr>
          <w:szCs w:val="21"/>
        </w:rPr>
      </w:pPr>
      <w:r>
        <w:rPr>
          <w:rFonts w:hint="eastAsia"/>
          <w:szCs w:val="21"/>
        </w:rPr>
        <w:t>单位：</w:t>
      </w:r>
      <w:sdt>
        <w:sdtPr>
          <w:rPr>
            <w:rFonts w:hint="eastAsia"/>
            <w:szCs w:val="21"/>
          </w:rPr>
          <w:alias w:val="单位：财务附注：营业外支出"/>
          <w:tag w:val="_GBC_825ccc5a51fd47a4888bf19121bc88e6"/>
          <w:id w:val="770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营业外支出"/>
          <w:tag w:val="_GBC_0236683596bd499a92bd40e4c42dc931"/>
          <w:id w:val="770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2"/>
        <w:gridCol w:w="1740"/>
        <w:gridCol w:w="2329"/>
        <w:gridCol w:w="2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2" w:type="dxa"/>
            <w:tcBorders>
              <w:top w:val="single" w:color="auto" w:sz="4" w:space="0"/>
              <w:left w:val="single" w:color="auto" w:sz="4" w:space="0"/>
              <w:bottom w:val="single" w:color="auto" w:sz="4" w:space="0"/>
              <w:right w:val="single" w:color="auto" w:sz="4" w:space="0"/>
            </w:tcBorders>
            <w:vAlign w:val="center"/>
          </w:tcPr>
          <w:sdt>
            <w:sdtPr>
              <w:tag w:val="_PLD_3e5b39f95fae41609c103f36a1017c54"/>
              <w:id w:val="7709"/>
            </w:sdtPr>
            <w:sdtContent>
              <w:p>
                <w:pPr>
                  <w:autoSpaceDE w:val="0"/>
                  <w:autoSpaceDN w:val="0"/>
                  <w:adjustRightInd w:val="0"/>
                  <w:jc w:val="center"/>
                  <w:rPr>
                    <w:szCs w:val="21"/>
                  </w:rPr>
                </w:pPr>
                <w:r>
                  <w:rPr>
                    <w:rFonts w:hint="eastAsia"/>
                    <w:szCs w:val="21"/>
                  </w:rPr>
                  <w:t>项目</w:t>
                </w:r>
              </w:p>
            </w:sdtContent>
          </w:sdt>
        </w:tc>
        <w:tc>
          <w:tcPr>
            <w:tcW w:w="1740" w:type="dxa"/>
            <w:tcBorders>
              <w:top w:val="single" w:color="auto" w:sz="4" w:space="0"/>
              <w:left w:val="single" w:color="auto" w:sz="4" w:space="0"/>
              <w:bottom w:val="single" w:color="auto" w:sz="4" w:space="0"/>
              <w:right w:val="single" w:color="auto" w:sz="4" w:space="0"/>
            </w:tcBorders>
            <w:vAlign w:val="center"/>
          </w:tcPr>
          <w:sdt>
            <w:sdtPr>
              <w:tag w:val="_PLD_9ea5703e0d9641a1acf20638053e3dd5"/>
              <w:id w:val="7710"/>
            </w:sdtPr>
            <w:sdtContent>
              <w:p>
                <w:pPr>
                  <w:autoSpaceDE w:val="0"/>
                  <w:autoSpaceDN w:val="0"/>
                  <w:adjustRightInd w:val="0"/>
                  <w:jc w:val="center"/>
                  <w:rPr>
                    <w:szCs w:val="21"/>
                  </w:rPr>
                </w:pPr>
                <w:r>
                  <w:rPr>
                    <w:rFonts w:hint="eastAsia"/>
                    <w:szCs w:val="21"/>
                  </w:rPr>
                  <w:t>本期发生额</w:t>
                </w:r>
              </w:p>
            </w:sdtContent>
          </w:sdt>
        </w:tc>
        <w:tc>
          <w:tcPr>
            <w:tcW w:w="2329" w:type="dxa"/>
            <w:tcBorders>
              <w:top w:val="single" w:color="auto" w:sz="4" w:space="0"/>
              <w:left w:val="single" w:color="auto" w:sz="4" w:space="0"/>
              <w:bottom w:val="single" w:color="auto" w:sz="4" w:space="0"/>
              <w:right w:val="single" w:color="auto" w:sz="4" w:space="0"/>
            </w:tcBorders>
            <w:vAlign w:val="center"/>
          </w:tcPr>
          <w:sdt>
            <w:sdtPr>
              <w:tag w:val="_PLD_27cbc4bb29594bcfa61154a0d46b4d20"/>
              <w:id w:val="7711"/>
            </w:sdtPr>
            <w:sdtContent>
              <w:p>
                <w:pPr>
                  <w:autoSpaceDE w:val="0"/>
                  <w:autoSpaceDN w:val="0"/>
                  <w:adjustRightInd w:val="0"/>
                  <w:jc w:val="center"/>
                  <w:rPr>
                    <w:szCs w:val="21"/>
                  </w:rPr>
                </w:pPr>
                <w:r>
                  <w:rPr>
                    <w:rFonts w:hint="eastAsia"/>
                    <w:szCs w:val="21"/>
                  </w:rPr>
                  <w:t>上期发生额</w:t>
                </w:r>
              </w:p>
            </w:sdtContent>
          </w:sdt>
        </w:tc>
        <w:tc>
          <w:tcPr>
            <w:tcW w:w="2316" w:type="dxa"/>
            <w:tcBorders>
              <w:top w:val="single" w:color="auto" w:sz="4" w:space="0"/>
              <w:left w:val="single" w:color="auto" w:sz="4" w:space="0"/>
              <w:bottom w:val="single" w:color="auto" w:sz="4" w:space="0"/>
              <w:right w:val="single" w:color="auto" w:sz="4" w:space="0"/>
            </w:tcBorders>
            <w:vAlign w:val="center"/>
          </w:tcPr>
          <w:sdt>
            <w:sdtPr>
              <w:tag w:val="_PLD_cab5bf568f924fed9d087fb26b588481"/>
              <w:id w:val="7712"/>
            </w:sdtPr>
            <w:sdtContent>
              <w:p>
                <w:pPr>
                  <w:autoSpaceDE w:val="0"/>
                  <w:autoSpaceDN w:val="0"/>
                  <w:adjustRightInd w:val="0"/>
                  <w:jc w:val="center"/>
                  <w:rPr>
                    <w:szCs w:val="21"/>
                  </w:rPr>
                </w:pPr>
                <w:r>
                  <w:rPr>
                    <w:rFonts w:hint="eastAsia"/>
                    <w:szCs w:val="21"/>
                  </w:rPr>
                  <w:t>计入当期非经常性损益的金额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szCs w:val="21"/>
              </w:rPr>
            </w:pPr>
            <w:r>
              <w:rPr>
                <w:rFonts w:hint="eastAsia"/>
                <w:szCs w:val="21"/>
              </w:rPr>
              <w:t>非流动资产处置损失合计</w:t>
            </w:r>
          </w:p>
        </w:tc>
        <w:tc>
          <w:tcPr>
            <w:tcW w:w="1740" w:type="dxa"/>
            <w:tcBorders>
              <w:top w:val="single" w:color="auto" w:sz="4" w:space="0"/>
              <w:left w:val="single" w:color="auto" w:sz="4" w:space="0"/>
              <w:bottom w:val="single" w:color="auto" w:sz="4" w:space="0"/>
              <w:right w:val="single" w:color="auto" w:sz="4" w:space="0"/>
            </w:tcBorders>
            <w:vAlign w:val="center"/>
          </w:tcPr>
          <w:p>
            <w:pPr>
              <w:jc w:val="right"/>
              <w:rPr>
                <w:rFonts w:hint="eastAsia"/>
                <w:szCs w:val="21"/>
              </w:rPr>
            </w:pPr>
          </w:p>
        </w:tc>
        <w:tc>
          <w:tcPr>
            <w:tcW w:w="2329" w:type="dxa"/>
            <w:tcBorders>
              <w:top w:val="single" w:color="auto" w:sz="4" w:space="0"/>
              <w:left w:val="single" w:color="auto" w:sz="4" w:space="0"/>
              <w:bottom w:val="single" w:color="auto" w:sz="4" w:space="0"/>
              <w:right w:val="single" w:color="auto" w:sz="4" w:space="0"/>
            </w:tcBorders>
            <w:vAlign w:val="center"/>
          </w:tcPr>
          <w:p>
            <w:pPr>
              <w:jc w:val="right"/>
              <w:rPr>
                <w:rFonts w:hint="eastAsia"/>
                <w:szCs w:val="21"/>
              </w:rPr>
            </w:pPr>
          </w:p>
        </w:tc>
        <w:tc>
          <w:tcPr>
            <w:tcW w:w="231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szCs w:val="21"/>
              </w:rPr>
            </w:pPr>
            <w:r>
              <w:rPr>
                <w:rFonts w:hint="eastAsia"/>
                <w:szCs w:val="21"/>
              </w:rPr>
              <w:t>其中：固定资产处置损失</w:t>
            </w:r>
          </w:p>
        </w:tc>
        <w:tc>
          <w:tcPr>
            <w:tcW w:w="1740" w:type="dxa"/>
            <w:tcBorders>
              <w:top w:val="single" w:color="auto" w:sz="4" w:space="0"/>
              <w:left w:val="single" w:color="auto" w:sz="4" w:space="0"/>
              <w:bottom w:val="single" w:color="auto" w:sz="4" w:space="0"/>
              <w:right w:val="single" w:color="auto" w:sz="4" w:space="0"/>
            </w:tcBorders>
            <w:vAlign w:val="center"/>
          </w:tcPr>
          <w:p>
            <w:pPr>
              <w:jc w:val="right"/>
              <w:rPr>
                <w:rFonts w:hint="eastAsia"/>
                <w:szCs w:val="21"/>
              </w:rPr>
            </w:pPr>
          </w:p>
        </w:tc>
        <w:tc>
          <w:tcPr>
            <w:tcW w:w="2329" w:type="dxa"/>
            <w:tcBorders>
              <w:top w:val="single" w:color="auto" w:sz="4" w:space="0"/>
              <w:left w:val="single" w:color="auto" w:sz="4" w:space="0"/>
              <w:bottom w:val="single" w:color="auto" w:sz="4" w:space="0"/>
              <w:right w:val="single" w:color="auto" w:sz="4" w:space="0"/>
            </w:tcBorders>
            <w:vAlign w:val="center"/>
          </w:tcPr>
          <w:p>
            <w:pPr>
              <w:jc w:val="right"/>
              <w:rPr>
                <w:rFonts w:hint="eastAsia"/>
                <w:szCs w:val="21"/>
              </w:rPr>
            </w:pPr>
          </w:p>
        </w:tc>
        <w:tc>
          <w:tcPr>
            <w:tcW w:w="231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630" w:firstLineChars="300"/>
              <w:rPr>
                <w:szCs w:val="21"/>
              </w:rPr>
            </w:pPr>
            <w:r>
              <w:rPr>
                <w:rFonts w:hint="eastAsia"/>
                <w:szCs w:val="21"/>
              </w:rPr>
              <w:t>无形资产处置损失</w:t>
            </w:r>
          </w:p>
        </w:tc>
        <w:tc>
          <w:tcPr>
            <w:tcW w:w="1740" w:type="dxa"/>
            <w:tcBorders>
              <w:top w:val="single" w:color="auto" w:sz="4" w:space="0"/>
              <w:left w:val="single" w:color="auto" w:sz="4" w:space="0"/>
              <w:bottom w:val="single" w:color="auto" w:sz="4" w:space="0"/>
              <w:right w:val="single" w:color="auto" w:sz="4" w:space="0"/>
            </w:tcBorders>
            <w:vAlign w:val="center"/>
          </w:tcPr>
          <w:p>
            <w:pPr>
              <w:jc w:val="right"/>
              <w:rPr>
                <w:rFonts w:hint="eastAsia"/>
                <w:szCs w:val="21"/>
              </w:rPr>
            </w:pPr>
          </w:p>
        </w:tc>
        <w:tc>
          <w:tcPr>
            <w:tcW w:w="2329" w:type="dxa"/>
            <w:tcBorders>
              <w:top w:val="single" w:color="auto" w:sz="4" w:space="0"/>
              <w:left w:val="single" w:color="auto" w:sz="4" w:space="0"/>
              <w:bottom w:val="single" w:color="auto" w:sz="4" w:space="0"/>
              <w:right w:val="single" w:color="auto" w:sz="4" w:space="0"/>
            </w:tcBorders>
            <w:vAlign w:val="center"/>
          </w:tcPr>
          <w:p>
            <w:pPr>
              <w:jc w:val="right"/>
              <w:rPr>
                <w:rFonts w:hint="eastAsia"/>
                <w:szCs w:val="21"/>
              </w:rPr>
            </w:pPr>
          </w:p>
        </w:tc>
        <w:tc>
          <w:tcPr>
            <w:tcW w:w="231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szCs w:val="21"/>
              </w:rPr>
            </w:pPr>
            <w:r>
              <w:rPr>
                <w:rFonts w:hint="eastAsia"/>
                <w:szCs w:val="21"/>
              </w:rPr>
              <w:t>非货币性资产交换损失</w:t>
            </w:r>
          </w:p>
        </w:tc>
        <w:tc>
          <w:tcPr>
            <w:tcW w:w="1740" w:type="dxa"/>
            <w:tcBorders>
              <w:top w:val="single" w:color="auto" w:sz="4" w:space="0"/>
              <w:left w:val="single" w:color="auto" w:sz="4" w:space="0"/>
              <w:bottom w:val="single" w:color="auto" w:sz="4" w:space="0"/>
              <w:right w:val="single" w:color="auto" w:sz="4" w:space="0"/>
            </w:tcBorders>
            <w:vAlign w:val="center"/>
          </w:tcPr>
          <w:p>
            <w:pPr>
              <w:jc w:val="right"/>
              <w:rPr>
                <w:rFonts w:hint="eastAsia"/>
                <w:szCs w:val="21"/>
              </w:rPr>
            </w:pPr>
          </w:p>
        </w:tc>
        <w:tc>
          <w:tcPr>
            <w:tcW w:w="2329" w:type="dxa"/>
            <w:tcBorders>
              <w:top w:val="single" w:color="auto" w:sz="4" w:space="0"/>
              <w:left w:val="single" w:color="auto" w:sz="4" w:space="0"/>
              <w:bottom w:val="single" w:color="auto" w:sz="4" w:space="0"/>
              <w:right w:val="single" w:color="auto" w:sz="4" w:space="0"/>
            </w:tcBorders>
            <w:vAlign w:val="center"/>
          </w:tcPr>
          <w:p>
            <w:pPr>
              <w:jc w:val="right"/>
              <w:rPr>
                <w:rFonts w:hint="eastAsia"/>
                <w:szCs w:val="21"/>
              </w:rPr>
            </w:pPr>
          </w:p>
        </w:tc>
        <w:tc>
          <w:tcPr>
            <w:tcW w:w="231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szCs w:val="21"/>
              </w:rPr>
            </w:pPr>
            <w:r>
              <w:rPr>
                <w:rFonts w:hint="eastAsia"/>
                <w:szCs w:val="21"/>
              </w:rPr>
              <w:t>对外捐赠</w:t>
            </w:r>
          </w:p>
        </w:tc>
        <w:tc>
          <w:tcPr>
            <w:tcW w:w="1740" w:type="dxa"/>
            <w:tcBorders>
              <w:top w:val="single" w:color="auto" w:sz="4" w:space="0"/>
              <w:left w:val="single" w:color="auto" w:sz="4" w:space="0"/>
              <w:bottom w:val="single" w:color="auto" w:sz="4" w:space="0"/>
              <w:right w:val="single" w:color="auto" w:sz="4" w:space="0"/>
            </w:tcBorders>
            <w:vAlign w:val="center"/>
          </w:tcPr>
          <w:p>
            <w:pPr>
              <w:jc w:val="right"/>
              <w:rPr>
                <w:rFonts w:hint="eastAsia"/>
                <w:szCs w:val="21"/>
              </w:rPr>
            </w:pPr>
            <w:r>
              <w:rPr>
                <w:rFonts w:hint="eastAsia"/>
                <w:color w:val="auto"/>
                <w:szCs w:val="21"/>
              </w:rPr>
              <w:t>15,000.00</w:t>
            </w:r>
          </w:p>
        </w:tc>
        <w:tc>
          <w:tcPr>
            <w:tcW w:w="2329" w:type="dxa"/>
            <w:tcBorders>
              <w:top w:val="single" w:color="auto" w:sz="4" w:space="0"/>
              <w:left w:val="single" w:color="auto" w:sz="4" w:space="0"/>
              <w:bottom w:val="single" w:color="auto" w:sz="4" w:space="0"/>
              <w:right w:val="single" w:color="auto" w:sz="4" w:space="0"/>
            </w:tcBorders>
            <w:vAlign w:val="center"/>
          </w:tcPr>
          <w:p>
            <w:pPr>
              <w:jc w:val="right"/>
              <w:rPr>
                <w:rFonts w:hint="eastAsia"/>
                <w:szCs w:val="21"/>
              </w:rPr>
            </w:pPr>
            <w:r>
              <w:rPr>
                <w:rFonts w:hint="eastAsia"/>
                <w:color w:val="auto"/>
                <w:szCs w:val="21"/>
              </w:rPr>
              <w:t>13,591.00</w:t>
            </w:r>
          </w:p>
        </w:tc>
        <w:tc>
          <w:tcPr>
            <w:tcW w:w="231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r>
              <w:rPr>
                <w:rFonts w:hint="eastAsia"/>
                <w:color w:val="auto"/>
                <w:szCs w:val="21"/>
              </w:rPr>
              <w:t>15,000.00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szCs w:val="21"/>
              </w:rPr>
              <w:t>固定资产报废损失</w:t>
            </w:r>
          </w:p>
        </w:tc>
        <w:tc>
          <w:tcPr>
            <w:tcW w:w="174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60,331.30</w:t>
            </w:r>
          </w:p>
        </w:tc>
        <w:tc>
          <w:tcPr>
            <w:tcW w:w="232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596,680.14</w:t>
            </w:r>
          </w:p>
        </w:tc>
        <w:tc>
          <w:tcPr>
            <w:tcW w:w="2316"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60,331.30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szCs w:val="21"/>
              </w:rPr>
              <w:t>债务重组损失</w:t>
            </w:r>
          </w:p>
        </w:tc>
        <w:tc>
          <w:tcPr>
            <w:tcW w:w="1740"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232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2316"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szCs w:val="21"/>
              </w:rPr>
              <w:t>罚款及赔款支出</w:t>
            </w:r>
          </w:p>
        </w:tc>
        <w:tc>
          <w:tcPr>
            <w:tcW w:w="174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232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385,861.24</w:t>
            </w:r>
          </w:p>
        </w:tc>
        <w:tc>
          <w:tcPr>
            <w:tcW w:w="2316"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szCs w:val="21"/>
              </w:rPr>
              <w:t>其他</w:t>
            </w:r>
          </w:p>
        </w:tc>
        <w:tc>
          <w:tcPr>
            <w:tcW w:w="1740"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77,774.73</w:t>
            </w:r>
          </w:p>
        </w:tc>
        <w:tc>
          <w:tcPr>
            <w:tcW w:w="232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10,351.43</w:t>
            </w:r>
          </w:p>
        </w:tc>
        <w:tc>
          <w:tcPr>
            <w:tcW w:w="2316"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77,774.73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2" w:type="dxa"/>
            <w:tcBorders>
              <w:top w:val="single" w:color="auto" w:sz="4" w:space="0"/>
              <w:left w:val="single" w:color="auto" w:sz="4" w:space="0"/>
              <w:bottom w:val="single" w:color="auto" w:sz="4" w:space="0"/>
              <w:right w:val="single" w:color="auto" w:sz="4" w:space="0"/>
            </w:tcBorders>
            <w:vAlign w:val="center"/>
          </w:tcPr>
          <w:p>
            <w:pPr>
              <w:ind w:right="6"/>
              <w:jc w:val="center"/>
              <w:rPr>
                <w:szCs w:val="21"/>
              </w:rPr>
            </w:pPr>
            <w:r>
              <w:rPr>
                <w:rFonts w:hint="eastAsia"/>
                <w:szCs w:val="21"/>
              </w:rPr>
              <w:t>合计</w:t>
            </w:r>
          </w:p>
        </w:tc>
        <w:tc>
          <w:tcPr>
            <w:tcW w:w="1740" w:type="dxa"/>
            <w:tcBorders>
              <w:top w:val="single" w:color="auto" w:sz="4" w:space="0"/>
              <w:left w:val="single" w:color="auto" w:sz="4" w:space="0"/>
              <w:bottom w:val="single" w:color="auto" w:sz="4" w:space="0"/>
              <w:right w:val="single" w:color="auto" w:sz="4" w:space="0"/>
            </w:tcBorders>
            <w:vAlign w:val="center"/>
          </w:tcPr>
          <w:p>
            <w:pPr>
              <w:jc w:val="right"/>
              <w:rPr>
                <w:rFonts w:hint="eastAsia"/>
                <w:szCs w:val="21"/>
              </w:rPr>
            </w:pPr>
            <w:r>
              <w:rPr>
                <w:rFonts w:hint="eastAsia"/>
                <w:color w:val="auto"/>
                <w:szCs w:val="21"/>
              </w:rPr>
              <w:t>153,106.03</w:t>
            </w:r>
          </w:p>
        </w:tc>
        <w:tc>
          <w:tcPr>
            <w:tcW w:w="2329" w:type="dxa"/>
            <w:tcBorders>
              <w:top w:val="single" w:color="auto" w:sz="4" w:space="0"/>
              <w:left w:val="single" w:color="auto" w:sz="4" w:space="0"/>
              <w:bottom w:val="single" w:color="auto" w:sz="4" w:space="0"/>
              <w:right w:val="single" w:color="auto" w:sz="4" w:space="0"/>
            </w:tcBorders>
            <w:vAlign w:val="center"/>
          </w:tcPr>
          <w:p>
            <w:pPr>
              <w:jc w:val="right"/>
              <w:rPr>
                <w:rFonts w:hint="eastAsia"/>
                <w:szCs w:val="21"/>
              </w:rPr>
            </w:pPr>
            <w:r>
              <w:rPr>
                <w:rFonts w:hint="eastAsia"/>
                <w:color w:val="auto"/>
                <w:szCs w:val="21"/>
              </w:rPr>
              <w:t>1,006,483.81</w:t>
            </w:r>
          </w:p>
        </w:tc>
        <w:tc>
          <w:tcPr>
            <w:tcW w:w="231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rFonts w:hint="eastAsia"/>
                <w:szCs w:val="21"/>
                <w:highlight w:val="none"/>
              </w:rPr>
            </w:pPr>
            <w:r>
              <w:rPr>
                <w:rFonts w:hint="eastAsia"/>
                <w:color w:val="auto"/>
                <w:szCs w:val="21"/>
                <w:highlight w:val="none"/>
              </w:rPr>
              <w:t>153,106.03</w:t>
            </w:r>
          </w:p>
        </w:tc>
      </w:tr>
    </w:tbl>
    <w:p>
      <w:pPr>
        <w:spacing w:before="60" w:after="60"/>
        <w:rPr>
          <w:szCs w:val="21"/>
        </w:rPr>
      </w:pPr>
      <w:r>
        <w:rPr>
          <w:rFonts w:hint="eastAsia"/>
          <w:szCs w:val="21"/>
        </w:rPr>
        <w:t>其他说明：</w:t>
      </w:r>
    </w:p>
    <w:sdt>
      <w:sdtPr>
        <w:rPr>
          <w:rFonts w:hint="eastAsia"/>
          <w:szCs w:val="21"/>
        </w:rPr>
        <w:alias w:val="营业外支出说明"/>
        <w:tag w:val="_GBC_88ac743f9ece44c8ba4b737327409578"/>
        <w:id w:val="7713"/>
        <w:placeholder>
          <w:docPart w:val="GBC22222222222222222222222222222"/>
        </w:placeholder>
      </w:sdtPr>
      <w:sdtEndPr>
        <w:rPr>
          <w:rFonts w:hint="eastAsia" w:asciiTheme="minorHAnsi" w:hAnsiTheme="minorHAnsi" w:eastAsiaTheme="minorEastAsia"/>
          <w:szCs w:val="21"/>
        </w:rPr>
      </w:sdtEndPr>
      <w:sdtContent>
        <w:p>
          <w:pPr>
            <w:rPr>
              <w:szCs w:val="21"/>
            </w:rPr>
          </w:pPr>
          <w:r>
            <w:rPr>
              <w:rFonts w:hint="eastAsia"/>
              <w:szCs w:val="21"/>
            </w:rPr>
            <w:t>无</w:t>
          </w:r>
        </w:p>
      </w:sdtContent>
    </w:sdt>
    <w:p/>
    <w:p>
      <w:pPr>
        <w:pStyle w:val="4"/>
        <w:numPr>
          <w:ilvl w:val="0"/>
          <w:numId w:val="62"/>
        </w:numPr>
        <w:tabs>
          <w:tab w:val="left" w:pos="504"/>
        </w:tabs>
        <w:rPr>
          <w:rFonts w:hint="eastAsia" w:ascii="宋体" w:hAnsi="宋体"/>
          <w:szCs w:val="21"/>
        </w:rPr>
      </w:pPr>
      <w:r>
        <w:rPr>
          <w:rFonts w:hint="eastAsia" w:ascii="宋体" w:hAnsi="宋体"/>
          <w:szCs w:val="21"/>
        </w:rPr>
        <w:t>所得税费用</w:t>
      </w:r>
    </w:p>
    <w:p>
      <w:pPr>
        <w:pStyle w:val="5"/>
        <w:numPr>
          <w:ilvl w:val="0"/>
          <w:numId w:val="101"/>
        </w:numPr>
        <w:ind w:left="426" w:hanging="426"/>
        <w:rPr>
          <w:rFonts w:hint="eastAsia"/>
        </w:rPr>
      </w:pPr>
      <w:r>
        <w:rPr>
          <w:rFonts w:hint="eastAsia"/>
        </w:rPr>
        <w:t>所得税费用表</w:t>
      </w:r>
    </w:p>
    <w:sdt>
      <w:sdtPr>
        <w:alias w:val="是否适用：所得税费用表[双击切换]"/>
        <w:tag w:val="_GBC_3ea18046339d457a8712506679035498"/>
        <w:id w:val="771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wordWrap w:val="0"/>
        <w:jc w:val="right"/>
        <w:rPr>
          <w:szCs w:val="21"/>
        </w:rPr>
      </w:pPr>
      <w:r>
        <w:rPr>
          <w:rFonts w:hint="eastAsia"/>
          <w:szCs w:val="21"/>
        </w:rPr>
        <w:t>单位：</w:t>
      </w:r>
      <w:sdt>
        <w:sdtPr>
          <w:rPr>
            <w:rFonts w:hint="eastAsia"/>
            <w:szCs w:val="21"/>
          </w:rPr>
          <w:alias w:val="单位：财务附注：所得税费用"/>
          <w:tag w:val="_GBC_5e89c62734b24d50a562694dcf8d2206"/>
          <w:id w:val="771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所得税费用"/>
          <w:tag w:val="_GBC_9c72c96e28344525b1836b3923556f61"/>
          <w:id w:val="77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3214"/>
        <w:gridCol w:w="2929"/>
        <w:gridCol w:w="2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279" w:hRule="atLeast"/>
        </w:trPr>
        <w:tc>
          <w:tcPr>
            <w:tcW w:w="3214" w:type="dxa"/>
            <w:vAlign w:val="center"/>
          </w:tcPr>
          <w:sdt>
            <w:sdtPr>
              <w:tag w:val="_PLD_e0d72a7f55e04c898352587240ce636b"/>
              <w:id w:val="7717"/>
            </w:sdtPr>
            <w:sdtContent>
              <w:p>
                <w:pPr>
                  <w:ind w:right="6"/>
                  <w:jc w:val="center"/>
                  <w:rPr>
                    <w:szCs w:val="21"/>
                  </w:rPr>
                </w:pPr>
                <w:r>
                  <w:rPr>
                    <w:rFonts w:hint="eastAsia"/>
                    <w:szCs w:val="21"/>
                  </w:rPr>
                  <w:t>项目</w:t>
                </w:r>
              </w:p>
            </w:sdtContent>
          </w:sdt>
        </w:tc>
        <w:tc>
          <w:tcPr>
            <w:tcW w:w="2929" w:type="dxa"/>
            <w:vAlign w:val="center"/>
          </w:tcPr>
          <w:sdt>
            <w:sdtPr>
              <w:tag w:val="_PLD_e2b12491de324856a6b2f7034aa875da"/>
              <w:id w:val="7718"/>
            </w:sdtPr>
            <w:sdtContent>
              <w:p>
                <w:pPr>
                  <w:ind w:right="6"/>
                  <w:jc w:val="center"/>
                  <w:rPr>
                    <w:szCs w:val="21"/>
                  </w:rPr>
                </w:pPr>
                <w:r>
                  <w:rPr>
                    <w:rFonts w:hint="eastAsia"/>
                    <w:szCs w:val="21"/>
                  </w:rPr>
                  <w:t>本期发生额</w:t>
                </w:r>
              </w:p>
            </w:sdtContent>
          </w:sdt>
        </w:tc>
        <w:tc>
          <w:tcPr>
            <w:tcW w:w="2913" w:type="dxa"/>
            <w:vAlign w:val="center"/>
          </w:tcPr>
          <w:sdt>
            <w:sdtPr>
              <w:tag w:val="_PLD_4b2515977b8d462088eb538637703bf1"/>
              <w:id w:val="7719"/>
            </w:sdtPr>
            <w:sdtContent>
              <w:p>
                <w:pPr>
                  <w:ind w:right="6"/>
                  <w:jc w:val="center"/>
                  <w:rPr>
                    <w:szCs w:val="21"/>
                  </w:rPr>
                </w:pPr>
                <w:r>
                  <w:rPr>
                    <w:rFonts w:hint="eastAsia"/>
                    <w:szCs w:val="21"/>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3214" w:type="dxa"/>
            <w:vAlign w:val="center"/>
          </w:tcPr>
          <w:p>
            <w:pPr>
              <w:ind w:right="6"/>
              <w:rPr>
                <w:b/>
                <w:bCs/>
                <w:szCs w:val="21"/>
              </w:rPr>
            </w:pPr>
            <w:r>
              <w:rPr>
                <w:rFonts w:hint="eastAsia"/>
                <w:szCs w:val="21"/>
              </w:rPr>
              <w:t>当期所得税费用</w:t>
            </w:r>
          </w:p>
        </w:tc>
        <w:tc>
          <w:tcPr>
            <w:tcW w:w="2929" w:type="dxa"/>
            <w:vAlign w:val="center"/>
          </w:tcPr>
          <w:p>
            <w:pPr>
              <w:jc w:val="right"/>
              <w:rPr>
                <w:szCs w:val="21"/>
              </w:rPr>
            </w:pPr>
            <w:r>
              <w:rPr>
                <w:rFonts w:hint="eastAsia"/>
                <w:color w:val="auto"/>
                <w:szCs w:val="21"/>
              </w:rPr>
              <w:t>740,507.07</w:t>
            </w:r>
          </w:p>
        </w:tc>
        <w:tc>
          <w:tcPr>
            <w:tcW w:w="2913" w:type="dxa"/>
            <w:vAlign w:val="center"/>
          </w:tcPr>
          <w:p>
            <w:pPr>
              <w:ind w:right="6"/>
              <w:jc w:val="right"/>
              <w:rPr>
                <w:szCs w:val="21"/>
              </w:rPr>
            </w:pPr>
            <w:r>
              <w:rPr>
                <w:rFonts w:hint="eastAsia"/>
                <w:color w:val="auto"/>
                <w:szCs w:val="21"/>
              </w:rPr>
              <w:t>4,462,391.64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3214" w:type="dxa"/>
            <w:vAlign w:val="center"/>
          </w:tcPr>
          <w:p>
            <w:pPr>
              <w:ind w:right="6"/>
              <w:rPr>
                <w:szCs w:val="21"/>
              </w:rPr>
            </w:pPr>
            <w:r>
              <w:rPr>
                <w:rFonts w:hint="eastAsia"/>
                <w:szCs w:val="21"/>
              </w:rPr>
              <w:t>递延所得税费用</w:t>
            </w:r>
          </w:p>
        </w:tc>
        <w:tc>
          <w:tcPr>
            <w:tcW w:w="2929" w:type="dxa"/>
            <w:vAlign w:val="center"/>
          </w:tcPr>
          <w:p>
            <w:pPr>
              <w:jc w:val="right"/>
              <w:rPr>
                <w:szCs w:val="21"/>
              </w:rPr>
            </w:pPr>
            <w:r>
              <w:rPr>
                <w:rFonts w:hint="eastAsia"/>
                <w:color w:val="auto"/>
                <w:szCs w:val="21"/>
              </w:rPr>
              <w:t>-874,635.15</w:t>
            </w:r>
          </w:p>
        </w:tc>
        <w:tc>
          <w:tcPr>
            <w:tcW w:w="2913" w:type="dxa"/>
            <w:vAlign w:val="center"/>
          </w:tcPr>
          <w:p>
            <w:pPr>
              <w:ind w:right="6"/>
              <w:jc w:val="right"/>
              <w:rPr>
                <w:szCs w:val="21"/>
              </w:rPr>
            </w:pPr>
            <w:r>
              <w:rPr>
                <w:rFonts w:hint="eastAsia"/>
                <w:color w:val="auto"/>
                <w:szCs w:val="21"/>
              </w:rPr>
              <w:t>23,422,755.26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3214" w:type="dxa"/>
            <w:vAlign w:val="center"/>
          </w:tcPr>
          <w:p>
            <w:pPr>
              <w:ind w:right="6"/>
              <w:jc w:val="center"/>
              <w:rPr>
                <w:szCs w:val="21"/>
              </w:rPr>
            </w:pPr>
            <w:r>
              <w:rPr>
                <w:rFonts w:hint="eastAsia"/>
                <w:szCs w:val="21"/>
              </w:rPr>
              <w:t>合计</w:t>
            </w:r>
          </w:p>
        </w:tc>
        <w:tc>
          <w:tcPr>
            <w:tcW w:w="2929" w:type="dxa"/>
            <w:vAlign w:val="center"/>
          </w:tcPr>
          <w:p>
            <w:pPr>
              <w:ind w:right="6"/>
              <w:jc w:val="right"/>
              <w:rPr>
                <w:szCs w:val="21"/>
              </w:rPr>
            </w:pPr>
            <w:r>
              <w:rPr>
                <w:rFonts w:hint="eastAsia"/>
                <w:color w:val="auto"/>
                <w:szCs w:val="21"/>
              </w:rPr>
              <w:t>-134,128.08</w:t>
            </w:r>
          </w:p>
        </w:tc>
        <w:tc>
          <w:tcPr>
            <w:tcW w:w="2913" w:type="dxa"/>
            <w:vAlign w:val="center"/>
          </w:tcPr>
          <w:p>
            <w:pPr>
              <w:ind w:right="6"/>
              <w:jc w:val="right"/>
              <w:rPr>
                <w:szCs w:val="21"/>
              </w:rPr>
            </w:pPr>
            <w:r>
              <w:rPr>
                <w:rFonts w:hint="eastAsia"/>
                <w:color w:val="auto"/>
                <w:szCs w:val="21"/>
              </w:rPr>
              <w:t>27,885,146.90</w:t>
            </w:r>
          </w:p>
        </w:tc>
      </w:tr>
    </w:tbl>
    <w:p>
      <w:pPr>
        <w:rPr>
          <w:szCs w:val="21"/>
        </w:rPr>
      </w:pPr>
    </w:p>
    <w:p>
      <w:pPr>
        <w:pStyle w:val="5"/>
        <w:numPr>
          <w:ilvl w:val="0"/>
          <w:numId w:val="101"/>
        </w:numPr>
        <w:ind w:left="426" w:hanging="426"/>
        <w:rPr>
          <w:rFonts w:hint="eastAsia"/>
        </w:rPr>
      </w:pPr>
      <w:r>
        <w:rPr>
          <w:rFonts w:hint="eastAsia"/>
        </w:rPr>
        <w:t>会计利润与所得税费用调整过程</w:t>
      </w:r>
    </w:p>
    <w:sdt>
      <w:sdtPr>
        <w:alias w:val="是否适用：会计利润与所得税费用调整过程[双击切换]"/>
        <w:tag w:val="_GBC_add00d323e2049ad8bc932f632966661"/>
        <w:id w:val="772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会计利润与所得税费用调整过程"/>
          <w:tag w:val="_GBC_10825cb9bb5e445c9210ee34dc80406a"/>
          <w:id w:val="772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会计利润与所得税费用调整过程"/>
          <w:tag w:val="_GBC_017b69d0005b4ea99f76c547a25a6231"/>
          <w:id w:val="772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13" w:type="dxa"/>
          <w:bottom w:w="0" w:type="dxa"/>
          <w:right w:w="113" w:type="dxa"/>
        </w:tblCellMar>
      </w:tblPr>
      <w:tblGrid>
        <w:gridCol w:w="6627"/>
        <w:gridCol w:w="243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3" w:type="dxa"/>
            <w:bottom w:w="0" w:type="dxa"/>
            <w:right w:w="113" w:type="dxa"/>
          </w:tblCellMar>
        </w:tblPrEx>
        <w:tc>
          <w:tcPr>
            <w:tcW w:w="6627" w:type="dxa"/>
            <w:tcBorders>
              <w:top w:val="single" w:color="auto" w:sz="4" w:space="0"/>
              <w:left w:val="single" w:color="auto" w:sz="4" w:space="0"/>
              <w:bottom w:val="single" w:color="auto" w:sz="4" w:space="0"/>
              <w:right w:val="single" w:color="auto" w:sz="4" w:space="0"/>
            </w:tcBorders>
            <w:vAlign w:val="center"/>
          </w:tcPr>
          <w:sdt>
            <w:sdtPr>
              <w:tag w:val="_PLD_1123621c9879400694da9a8842888e14"/>
              <w:id w:val="7723"/>
            </w:sdtPr>
            <w:sdtContent>
              <w:p>
                <w:pPr>
                  <w:jc w:val="center"/>
                </w:pPr>
                <w:r>
                  <w:rPr>
                    <w:rFonts w:hint="eastAsia"/>
                  </w:rPr>
                  <w:t>项目</w:t>
                </w:r>
              </w:p>
            </w:sdtContent>
          </w:sdt>
        </w:tc>
        <w:tc>
          <w:tcPr>
            <w:tcW w:w="2431" w:type="dxa"/>
            <w:tcBorders>
              <w:top w:val="single" w:color="auto" w:sz="4" w:space="0"/>
              <w:left w:val="single" w:color="auto" w:sz="4" w:space="0"/>
              <w:bottom w:val="single" w:color="auto" w:sz="4" w:space="0"/>
              <w:right w:val="single" w:color="auto" w:sz="4" w:space="0"/>
            </w:tcBorders>
            <w:vAlign w:val="center"/>
          </w:tcPr>
          <w:sdt>
            <w:sdtPr>
              <w:tag w:val="_PLD_4a270148a32846b69754961e55c75a04"/>
              <w:id w:val="7724"/>
            </w:sdtPr>
            <w:sdtContent>
              <w:p>
                <w:pPr>
                  <w:jc w:val="center"/>
                </w:pPr>
                <w:r>
                  <w:rPr>
                    <w:rFonts w:hint="eastAsia"/>
                  </w:rPr>
                  <w:t>本期发生额</w:t>
                </w:r>
              </w:p>
            </w:sdtContent>
          </w:sdt>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3" w:type="dxa"/>
            <w:bottom w:w="0" w:type="dxa"/>
            <w:right w:w="113" w:type="dxa"/>
          </w:tblCellMar>
        </w:tblPrEx>
        <w:tc>
          <w:tcPr>
            <w:tcW w:w="6627" w:type="dxa"/>
            <w:tcBorders>
              <w:top w:val="single" w:color="auto" w:sz="4" w:space="0"/>
              <w:left w:val="single" w:color="auto" w:sz="4" w:space="0"/>
              <w:bottom w:val="single" w:color="auto" w:sz="4" w:space="0"/>
              <w:right w:val="single" w:color="auto" w:sz="4" w:space="0"/>
            </w:tcBorders>
            <w:vAlign w:val="center"/>
          </w:tcPr>
          <w:p>
            <w:pPr>
              <w:ind w:right="6"/>
              <w:rPr>
                <w:b/>
                <w:bCs/>
                <w:szCs w:val="21"/>
              </w:rPr>
            </w:pPr>
            <w:r>
              <w:rPr>
                <w:rFonts w:hint="eastAsia"/>
                <w:szCs w:val="21"/>
              </w:rPr>
              <w:t>利润总额</w:t>
            </w:r>
          </w:p>
        </w:tc>
        <w:tc>
          <w:tcPr>
            <w:tcW w:w="2431" w:type="dxa"/>
            <w:tcBorders>
              <w:top w:val="single" w:color="auto" w:sz="4" w:space="0"/>
              <w:left w:val="single" w:color="auto" w:sz="4" w:space="0"/>
              <w:bottom w:val="single" w:color="auto" w:sz="6" w:space="0"/>
              <w:right w:val="single" w:color="auto" w:sz="6" w:space="0"/>
            </w:tcBorders>
            <w:vAlign w:val="center"/>
          </w:tcPr>
          <w:p>
            <w:pPr>
              <w:jc w:val="right"/>
            </w:pPr>
            <w:r>
              <w:rPr>
                <w:rFonts w:hint="eastAsia"/>
                <w:color w:val="auto"/>
              </w:rPr>
              <w:t>10,561,161.28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3" w:type="dxa"/>
            <w:bottom w:w="0" w:type="dxa"/>
            <w:right w:w="113" w:type="dxa"/>
          </w:tblCellMar>
        </w:tblPrEx>
        <w:tc>
          <w:tcPr>
            <w:tcW w:w="6627" w:type="dxa"/>
            <w:tcBorders>
              <w:top w:val="single" w:color="auto" w:sz="4" w:space="0"/>
              <w:left w:val="single" w:color="auto" w:sz="4" w:space="0"/>
              <w:bottom w:val="single" w:color="auto" w:sz="4" w:space="0"/>
              <w:right w:val="single" w:color="auto" w:sz="4" w:space="0"/>
            </w:tcBorders>
            <w:vAlign w:val="center"/>
          </w:tcPr>
          <w:p>
            <w:pPr>
              <w:ind w:right="6"/>
            </w:pPr>
            <w:r>
              <w:rPr>
                <w:rFonts w:hint="eastAsia"/>
              </w:rPr>
              <w:t>按法定</w:t>
            </w:r>
            <w:r>
              <w:t>/</w:t>
            </w:r>
            <w:r>
              <w:rPr>
                <w:rFonts w:hint="eastAsia"/>
              </w:rPr>
              <w:t>适用税率计算的所得税费用</w:t>
            </w:r>
          </w:p>
        </w:tc>
        <w:tc>
          <w:tcPr>
            <w:tcW w:w="2431" w:type="dxa"/>
            <w:tcBorders>
              <w:top w:val="single" w:color="auto" w:sz="6" w:space="0"/>
              <w:left w:val="single" w:color="auto" w:sz="4" w:space="0"/>
              <w:bottom w:val="single" w:color="auto" w:sz="6" w:space="0"/>
              <w:right w:val="single" w:color="auto" w:sz="6" w:space="0"/>
            </w:tcBorders>
            <w:vAlign w:val="center"/>
          </w:tcPr>
          <w:p>
            <w:pPr>
              <w:jc w:val="right"/>
            </w:pPr>
            <w:r>
              <w:rPr>
                <w:rFonts w:hint="eastAsia"/>
                <w:color w:val="auto"/>
              </w:rPr>
              <w:t>2,640,290.32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3" w:type="dxa"/>
            <w:bottom w:w="0" w:type="dxa"/>
            <w:right w:w="113" w:type="dxa"/>
          </w:tblCellMar>
        </w:tblPrEx>
        <w:trPr>
          <w:trHeight w:val="278" w:hRule="atLeast"/>
        </w:trPr>
        <w:tc>
          <w:tcPr>
            <w:tcW w:w="6627" w:type="dxa"/>
            <w:tcBorders>
              <w:top w:val="single" w:color="auto" w:sz="4" w:space="0"/>
              <w:left w:val="single" w:color="auto" w:sz="4" w:space="0"/>
              <w:bottom w:val="single" w:color="auto" w:sz="4" w:space="0"/>
              <w:right w:val="single" w:color="auto" w:sz="4" w:space="0"/>
            </w:tcBorders>
            <w:vAlign w:val="center"/>
          </w:tcPr>
          <w:p>
            <w:pPr>
              <w:ind w:right="6"/>
            </w:pPr>
            <w:r>
              <w:rPr>
                <w:rFonts w:hint="eastAsia"/>
              </w:rPr>
              <w:t>子公司适用不同税率的影响</w:t>
            </w:r>
          </w:p>
        </w:tc>
        <w:tc>
          <w:tcPr>
            <w:tcW w:w="2431" w:type="dxa"/>
            <w:tcBorders>
              <w:top w:val="single" w:color="auto" w:sz="6" w:space="0"/>
              <w:left w:val="single" w:color="auto" w:sz="4" w:space="0"/>
              <w:bottom w:val="single" w:color="auto" w:sz="6" w:space="0"/>
              <w:right w:val="single" w:color="auto" w:sz="6" w:space="0"/>
            </w:tcBorders>
            <w:vAlign w:val="center"/>
          </w:tcPr>
          <w:p>
            <w:pPr>
              <w:jc w:val="right"/>
            </w:pPr>
            <w:r>
              <w:rPr>
                <w:rFonts w:hint="eastAsia"/>
                <w:color w:val="auto"/>
              </w:rPr>
              <w:t>-1,633,851.23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3" w:type="dxa"/>
            <w:bottom w:w="0" w:type="dxa"/>
            <w:right w:w="113" w:type="dxa"/>
          </w:tblCellMar>
        </w:tblPrEx>
        <w:tc>
          <w:tcPr>
            <w:tcW w:w="6627" w:type="dxa"/>
            <w:tcBorders>
              <w:top w:val="single" w:color="auto" w:sz="4" w:space="0"/>
              <w:left w:val="single" w:color="auto" w:sz="4" w:space="0"/>
              <w:bottom w:val="single" w:color="auto" w:sz="4" w:space="0"/>
              <w:right w:val="single" w:color="auto" w:sz="4" w:space="0"/>
            </w:tcBorders>
            <w:vAlign w:val="center"/>
          </w:tcPr>
          <w:p>
            <w:pPr>
              <w:ind w:right="6"/>
            </w:pPr>
            <w:r>
              <w:rPr>
                <w:rFonts w:hint="eastAsia"/>
              </w:rPr>
              <w:t>调整以前期间所得税的影响</w:t>
            </w:r>
          </w:p>
        </w:tc>
        <w:tc>
          <w:tcPr>
            <w:tcW w:w="2431" w:type="dxa"/>
            <w:tcBorders>
              <w:top w:val="single" w:color="auto" w:sz="6" w:space="0"/>
              <w:left w:val="single" w:color="auto" w:sz="4" w:space="0"/>
              <w:bottom w:val="single" w:color="auto" w:sz="6" w:space="0"/>
              <w:right w:val="single" w:color="auto" w:sz="6" w:space="0"/>
            </w:tcBorders>
            <w:vAlign w:val="center"/>
          </w:tcPr>
          <w:p>
            <w:pPr>
              <w:jc w:val="right"/>
            </w:pPr>
            <w:r>
              <w:rPr>
                <w:rFonts w:hint="eastAsia"/>
                <w:color w:val="auto"/>
              </w:rPr>
              <w:t>-1,325,040.23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3" w:type="dxa"/>
            <w:bottom w:w="0" w:type="dxa"/>
            <w:right w:w="113" w:type="dxa"/>
          </w:tblCellMar>
        </w:tblPrEx>
        <w:tc>
          <w:tcPr>
            <w:tcW w:w="6627" w:type="dxa"/>
            <w:tcBorders>
              <w:top w:val="single" w:color="auto" w:sz="4" w:space="0"/>
              <w:left w:val="single" w:color="auto" w:sz="4" w:space="0"/>
              <w:bottom w:val="single" w:color="auto" w:sz="4" w:space="0"/>
              <w:right w:val="single" w:color="auto" w:sz="4" w:space="0"/>
            </w:tcBorders>
            <w:vAlign w:val="center"/>
          </w:tcPr>
          <w:p>
            <w:pPr>
              <w:ind w:right="6"/>
            </w:pPr>
            <w:r>
              <w:rPr>
                <w:rFonts w:hint="eastAsia"/>
              </w:rPr>
              <w:t>非应税收入的影响</w:t>
            </w:r>
          </w:p>
        </w:tc>
        <w:tc>
          <w:tcPr>
            <w:tcW w:w="2431" w:type="dxa"/>
            <w:tcBorders>
              <w:top w:val="single" w:color="auto" w:sz="6" w:space="0"/>
              <w:left w:val="single" w:color="auto" w:sz="4" w:space="0"/>
              <w:bottom w:val="single" w:color="auto" w:sz="6" w:space="0"/>
              <w:right w:val="single" w:color="auto" w:sz="6" w:space="0"/>
            </w:tcBorders>
            <w:vAlign w:val="center"/>
          </w:tcPr>
          <w:p>
            <w:pPr>
              <w:jc w:val="right"/>
            </w:pPr>
            <w:r>
              <w:rPr>
                <w:rFonts w:hint="eastAsia"/>
                <w:color w:val="auto"/>
              </w:rPr>
              <w:t>-4,719,237.65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3" w:type="dxa"/>
            <w:bottom w:w="0" w:type="dxa"/>
            <w:right w:w="113" w:type="dxa"/>
          </w:tblCellMar>
        </w:tblPrEx>
        <w:tc>
          <w:tcPr>
            <w:tcW w:w="6627" w:type="dxa"/>
            <w:tcBorders>
              <w:top w:val="single" w:color="auto" w:sz="4" w:space="0"/>
              <w:left w:val="single" w:color="auto" w:sz="4" w:space="0"/>
              <w:bottom w:val="single" w:color="auto" w:sz="4" w:space="0"/>
              <w:right w:val="single" w:color="auto" w:sz="4" w:space="0"/>
            </w:tcBorders>
            <w:vAlign w:val="center"/>
          </w:tcPr>
          <w:p>
            <w:pPr>
              <w:ind w:right="6"/>
            </w:pPr>
            <w:r>
              <w:rPr>
                <w:rFonts w:hint="eastAsia"/>
              </w:rPr>
              <w:t>不可抵扣的成本、费用和损失的影响</w:t>
            </w:r>
          </w:p>
        </w:tc>
        <w:tc>
          <w:tcPr>
            <w:tcW w:w="2431" w:type="dxa"/>
            <w:tcBorders>
              <w:top w:val="single" w:color="auto" w:sz="6" w:space="0"/>
              <w:left w:val="single" w:color="auto" w:sz="4" w:space="0"/>
              <w:bottom w:val="single" w:color="auto" w:sz="6" w:space="0"/>
              <w:right w:val="single" w:color="auto" w:sz="6" w:space="0"/>
            </w:tcBorders>
            <w:vAlign w:val="center"/>
          </w:tcPr>
          <w:p>
            <w:pPr>
              <w:jc w:val="right"/>
            </w:pPr>
            <w:r>
              <w:rPr>
                <w:rFonts w:hint="eastAsia"/>
                <w:color w:val="auto"/>
              </w:rPr>
              <w:t>550,166.92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3" w:type="dxa"/>
            <w:bottom w:w="0" w:type="dxa"/>
            <w:right w:w="113" w:type="dxa"/>
          </w:tblCellMar>
        </w:tblPrEx>
        <w:tc>
          <w:tcPr>
            <w:tcW w:w="6627" w:type="dxa"/>
            <w:tcBorders>
              <w:top w:val="single" w:color="auto" w:sz="4" w:space="0"/>
              <w:left w:val="single" w:color="auto" w:sz="4" w:space="0"/>
              <w:bottom w:val="single" w:color="auto" w:sz="4" w:space="0"/>
              <w:right w:val="single" w:color="auto" w:sz="4" w:space="0"/>
            </w:tcBorders>
            <w:vAlign w:val="center"/>
          </w:tcPr>
          <w:p>
            <w:pPr>
              <w:ind w:right="6"/>
            </w:pPr>
            <w:r>
              <w:rPr>
                <w:rFonts w:hint="eastAsia"/>
              </w:rPr>
              <w:t>使用前期未确认递延所得税资产的可抵扣亏损的影响</w:t>
            </w:r>
          </w:p>
        </w:tc>
        <w:tc>
          <w:tcPr>
            <w:tcW w:w="2431" w:type="dxa"/>
            <w:tcBorders>
              <w:top w:val="single" w:color="auto" w:sz="6" w:space="0"/>
              <w:left w:val="single" w:color="auto" w:sz="4" w:space="0"/>
              <w:bottom w:val="single" w:color="auto" w:sz="6" w:space="0"/>
              <w:right w:val="single" w:color="auto" w:sz="6" w:space="0"/>
            </w:tcBorders>
            <w:vAlign w:val="center"/>
          </w:tcPr>
          <w:p>
            <w:pPr>
              <w:jc w:val="right"/>
            </w:pPr>
            <w:r>
              <w:rPr>
                <w:rFonts w:hint="eastAsia"/>
                <w:color w:val="auto"/>
              </w:rPr>
              <w:t>-1,065.99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3" w:type="dxa"/>
            <w:bottom w:w="0" w:type="dxa"/>
            <w:right w:w="113" w:type="dxa"/>
          </w:tblCellMar>
        </w:tblPrEx>
        <w:tc>
          <w:tcPr>
            <w:tcW w:w="6627" w:type="dxa"/>
            <w:tcBorders>
              <w:top w:val="single" w:color="auto" w:sz="4" w:space="0"/>
              <w:left w:val="single" w:color="auto" w:sz="4" w:space="0"/>
              <w:bottom w:val="single" w:color="auto" w:sz="4" w:space="0"/>
              <w:right w:val="single" w:color="auto" w:sz="4" w:space="0"/>
            </w:tcBorders>
            <w:vAlign w:val="center"/>
          </w:tcPr>
          <w:p>
            <w:pPr>
              <w:ind w:right="6"/>
            </w:pPr>
            <w:r>
              <w:rPr>
                <w:rFonts w:hint="eastAsia"/>
              </w:rPr>
              <w:t>本期未确认递延所得税资产的可抵扣暂时性差异或可抵扣亏损的影响</w:t>
            </w:r>
          </w:p>
        </w:tc>
        <w:tc>
          <w:tcPr>
            <w:tcW w:w="2431" w:type="dxa"/>
            <w:tcBorders>
              <w:top w:val="single" w:color="auto" w:sz="6" w:space="0"/>
              <w:left w:val="single" w:color="auto" w:sz="4" w:space="0"/>
              <w:bottom w:val="single" w:color="auto" w:sz="6" w:space="0"/>
              <w:right w:val="single" w:color="auto" w:sz="6" w:space="0"/>
            </w:tcBorders>
            <w:vAlign w:val="center"/>
          </w:tcPr>
          <w:p>
            <w:pPr>
              <w:jc w:val="right"/>
            </w:pPr>
            <w:r>
              <w:rPr>
                <w:rFonts w:hint="eastAsia"/>
                <w:color w:val="auto"/>
              </w:rPr>
              <w:t>8,195,973.07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3" w:type="dxa"/>
            <w:bottom w:w="0" w:type="dxa"/>
            <w:right w:w="113" w:type="dxa"/>
          </w:tblCellMar>
        </w:tblPrEx>
        <w:tc>
          <w:tcPr>
            <w:tcW w:w="6627" w:type="dxa"/>
            <w:tcBorders>
              <w:top w:val="single" w:color="auto" w:sz="4" w:space="0"/>
              <w:left w:val="single" w:color="auto" w:sz="6" w:space="0"/>
              <w:bottom w:val="single" w:color="auto" w:sz="6" w:space="0"/>
              <w:right w:val="single" w:color="auto" w:sz="6" w:space="0"/>
            </w:tcBorders>
            <w:vAlign w:val="center"/>
          </w:tcPr>
          <w:p>
            <w:r>
              <w:rPr>
                <w:rFonts w:hint="eastAsia"/>
                <w:color w:val="auto"/>
              </w:rPr>
              <w:t>研发费用加计扣除</w:t>
            </w:r>
          </w:p>
        </w:tc>
        <w:tc>
          <w:tcPr>
            <w:tcW w:w="2431" w:type="dxa"/>
            <w:tcBorders>
              <w:top w:val="single" w:color="auto" w:sz="6" w:space="0"/>
              <w:left w:val="single" w:color="auto" w:sz="6" w:space="0"/>
              <w:bottom w:val="single" w:color="auto" w:sz="6" w:space="0"/>
              <w:right w:val="single" w:color="auto" w:sz="6" w:space="0"/>
            </w:tcBorders>
            <w:vAlign w:val="center"/>
          </w:tcPr>
          <w:p>
            <w:pPr>
              <w:jc w:val="right"/>
            </w:pPr>
            <w:r>
              <w:rPr>
                <w:rFonts w:hint="eastAsia"/>
                <w:color w:val="auto"/>
              </w:rPr>
              <w:t>-3,841,363.29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13" w:type="dxa"/>
            <w:bottom w:w="0" w:type="dxa"/>
            <w:right w:w="113" w:type="dxa"/>
          </w:tblCellMar>
        </w:tblPrEx>
        <w:tc>
          <w:tcPr>
            <w:tcW w:w="6627" w:type="dxa"/>
            <w:tcBorders>
              <w:top w:val="single" w:color="auto" w:sz="4" w:space="0"/>
              <w:left w:val="single" w:color="auto" w:sz="4" w:space="0"/>
              <w:bottom w:val="single" w:color="auto" w:sz="4" w:space="0"/>
              <w:right w:val="single" w:color="auto" w:sz="4" w:space="0"/>
            </w:tcBorders>
            <w:vAlign w:val="center"/>
          </w:tcPr>
          <w:p>
            <w:r>
              <w:rPr>
                <w:rFonts w:hint="eastAsia"/>
              </w:rPr>
              <w:t>所得税费用</w:t>
            </w:r>
          </w:p>
        </w:tc>
        <w:tc>
          <w:tcPr>
            <w:tcW w:w="2431" w:type="dxa"/>
            <w:tcBorders>
              <w:top w:val="single" w:color="auto" w:sz="6" w:space="0"/>
              <w:left w:val="single" w:color="auto" w:sz="4" w:space="0"/>
              <w:bottom w:val="single" w:color="auto" w:sz="6" w:space="0"/>
              <w:right w:val="single" w:color="auto" w:sz="6" w:space="0"/>
            </w:tcBorders>
            <w:vAlign w:val="center"/>
          </w:tcPr>
          <w:p>
            <w:pPr>
              <w:jc w:val="right"/>
            </w:pPr>
            <w:r>
              <w:rPr>
                <w:rFonts w:hint="eastAsia"/>
                <w:color w:val="auto"/>
              </w:rPr>
              <w:t>-134,128.08</w:t>
            </w:r>
          </w:p>
        </w:tc>
      </w:tr>
    </w:tbl>
    <w:p>
      <w:pPr>
        <w:rPr>
          <w:szCs w:val="21"/>
        </w:rPr>
      </w:pPr>
    </w:p>
    <w:p>
      <w:pPr>
        <w:spacing w:before="60" w:after="60"/>
        <w:rPr>
          <w:szCs w:val="21"/>
        </w:rPr>
      </w:pPr>
      <w:r>
        <w:rPr>
          <w:rFonts w:hint="eastAsia"/>
          <w:szCs w:val="21"/>
        </w:rPr>
        <w:t>其他说明：</w:t>
      </w:r>
    </w:p>
    <w:sdt>
      <w:sdtPr>
        <w:rPr>
          <w:szCs w:val="21"/>
        </w:rPr>
        <w:alias w:val="是否适用：所得税费用的说明[双击切换]"/>
        <w:tag w:val="_GBC_6d867e6606c643469619e039bd83c158"/>
        <w:id w:val="7725"/>
        <w:placeholder>
          <w:docPart w:val="GBC22222222222222222222222222222"/>
        </w:placeholder>
      </w:sdtPr>
      <w:sdtEndPr>
        <w:rPr>
          <w:szCs w:val="21"/>
        </w:rPr>
      </w:sdtEndPr>
      <w:sdtContent>
        <w:p>
          <w:pPr>
            <w:spacing w:before="60" w:after="60"/>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szCs w:val="21"/>
        </w:rPr>
        <w:alias w:val="所得税费用的说明"/>
        <w:tag w:val="_GBC_c695f97a4e524a2a8e3eae5f6f09355a"/>
        <w:id w:val="7726"/>
        <w:placeholder>
          <w:docPart w:val="GBC22222222222222222222222222222"/>
        </w:placeholder>
      </w:sdtPr>
      <w:sdtEndPr>
        <w:rPr>
          <w:szCs w:val="21"/>
        </w:rPr>
      </w:sdtEndPr>
      <w:sdtContent>
        <w:p>
          <w:pPr>
            <w:rPr>
              <w:szCs w:val="21"/>
            </w:rPr>
          </w:pPr>
          <w:r>
            <w:rPr>
              <w:rFonts w:hint="eastAsia"/>
              <w:szCs w:val="21"/>
            </w:rPr>
            <w:t>无</w:t>
          </w:r>
        </w:p>
      </w:sdtContent>
    </w:sdt>
    <w:p>
      <w:pPr>
        <w:rPr>
          <w:b/>
        </w:rPr>
      </w:pPr>
    </w:p>
    <w:p>
      <w:pPr>
        <w:pStyle w:val="4"/>
        <w:numPr>
          <w:ilvl w:val="0"/>
          <w:numId w:val="62"/>
        </w:numPr>
        <w:tabs>
          <w:tab w:val="left" w:pos="504"/>
        </w:tabs>
        <w:rPr>
          <w:rFonts w:hint="eastAsia" w:ascii="宋体" w:hAnsi="宋体"/>
          <w:szCs w:val="21"/>
        </w:rPr>
      </w:pPr>
      <w:r>
        <w:rPr>
          <w:rFonts w:hint="eastAsia" w:ascii="宋体" w:hAnsi="宋体"/>
          <w:szCs w:val="21"/>
        </w:rPr>
        <w:t>其他综合收益</w:t>
      </w:r>
    </w:p>
    <w:sdt>
      <w:sdtPr>
        <w:alias w:val="是否适用：其他综合收益说明[双击切换]"/>
        <w:tag w:val="_GBC_055e86e99cd742699e3e89a438a26b74"/>
        <w:id w:val="7727"/>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szCs w:val="21"/>
        </w:rPr>
        <w:alias w:val="其他综合收益详见附注"/>
        <w:tag w:val="_GBC_88f79522b3404a9cba25ea8b611e6680"/>
        <w:id w:val="7728"/>
        <w:placeholder>
          <w:docPart w:val="GBC22222222222222222222222222222"/>
        </w:placeholder>
      </w:sdtPr>
      <w:sdtEndPr>
        <w:rPr>
          <w:rFonts w:hint="eastAsia"/>
          <w:szCs w:val="21"/>
        </w:rPr>
      </w:sdtEndPr>
      <w:sdtContent>
        <w:p>
          <w:r>
            <w:rPr>
              <w:rFonts w:hint="eastAsia"/>
              <w:szCs w:val="21"/>
            </w:rPr>
            <w:t>详见附注</w:t>
          </w:r>
        </w:p>
      </w:sdtContent>
    </w:sdt>
    <w:p/>
    <w:sdt>
      <w:sdtPr>
        <w:tag w:val="_PLD_e6adf51189594b2a95ae001f89115772"/>
        <w:id w:val="7729"/>
      </w:sdtPr>
      <w:sdtContent>
        <w:p>
          <w:pPr>
            <w:pStyle w:val="4"/>
            <w:numPr>
              <w:ilvl w:val="0"/>
              <w:numId w:val="62"/>
            </w:numPr>
            <w:tabs>
              <w:tab w:val="left" w:pos="504"/>
            </w:tabs>
            <w:rPr>
              <w:rFonts w:hint="eastAsia" w:ascii="宋体" w:hAnsi="宋体"/>
              <w:szCs w:val="21"/>
            </w:rPr>
          </w:pPr>
          <w:r>
            <w:rPr>
              <w:rFonts w:hint="eastAsia" w:ascii="宋体" w:hAnsi="宋体"/>
              <w:szCs w:val="21"/>
            </w:rPr>
            <w:t>现金流量表项目</w:t>
          </w:r>
        </w:p>
      </w:sdtContent>
    </w:sdt>
    <w:p>
      <w:pPr>
        <w:pStyle w:val="5"/>
        <w:numPr>
          <w:ilvl w:val="0"/>
          <w:numId w:val="102"/>
        </w:numPr>
        <w:ind w:left="426" w:hanging="426"/>
        <w:rPr>
          <w:rFonts w:hint="eastAsia"/>
        </w:rPr>
      </w:pPr>
      <w:r>
        <w:rPr>
          <w:rFonts w:hint="eastAsia"/>
        </w:rPr>
        <w:t>与经营活动有关的现金</w:t>
      </w:r>
    </w:p>
    <w:p>
      <w:r>
        <w:rPr>
          <w:rFonts w:hint="eastAsia"/>
        </w:rPr>
        <w:t>收到的其他与经营活动有关的现金</w:t>
      </w:r>
    </w:p>
    <w:sdt>
      <w:sdtPr>
        <w:alias w:val="是否适用：收到的其他与经营活动有关的现金[双击切换]"/>
        <w:tag w:val="_GBC_27345010807c4445aa9d99ce1518a33b"/>
        <w:id w:val="773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收到的其他与经营活动有关的现金"/>
          <w:tag w:val="_GBC_dda6e50e7ee34f71977565af2472b533"/>
          <w:id w:val="773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收到的其他与经营活动有关的现金"/>
          <w:tag w:val="_GBC_8a91de0777534f02ab9e5a53784ea05b"/>
          <w:id w:val="773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3409"/>
        <w:gridCol w:w="2830"/>
        <w:gridCol w:w="2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3409" w:type="dxa"/>
            <w:vAlign w:val="center"/>
          </w:tcPr>
          <w:sdt>
            <w:sdtPr>
              <w:tag w:val="_PLD_f7a5d7090c5c4e2b95d9e6f0ea383580"/>
              <w:id w:val="147466714"/>
            </w:sdtPr>
            <w:sdtContent>
              <w:p>
                <w:pPr>
                  <w:autoSpaceDE w:val="0"/>
                  <w:autoSpaceDN w:val="0"/>
                  <w:adjustRightInd w:val="0"/>
                  <w:snapToGrid w:val="0"/>
                  <w:spacing w:line="240" w:lineRule="atLeast"/>
                  <w:jc w:val="center"/>
                  <w:rPr>
                    <w:szCs w:val="21"/>
                  </w:rPr>
                </w:pPr>
                <w:r>
                  <w:rPr>
                    <w:rFonts w:hint="eastAsia"/>
                    <w:szCs w:val="21"/>
                  </w:rPr>
                  <w:t>项目</w:t>
                </w:r>
              </w:p>
            </w:sdtContent>
          </w:sdt>
        </w:tc>
        <w:tc>
          <w:tcPr>
            <w:tcW w:w="2830" w:type="dxa"/>
            <w:vAlign w:val="center"/>
          </w:tcPr>
          <w:sdt>
            <w:sdtPr>
              <w:tag w:val="_PLD_6a2d5fc680f64ea980912395fdf43d18"/>
              <w:id w:val="147470956"/>
            </w:sdtPr>
            <w:sdtContent>
              <w:p>
                <w:pPr>
                  <w:autoSpaceDE w:val="0"/>
                  <w:autoSpaceDN w:val="0"/>
                  <w:adjustRightInd w:val="0"/>
                  <w:snapToGrid w:val="0"/>
                  <w:spacing w:line="240" w:lineRule="atLeast"/>
                  <w:jc w:val="center"/>
                  <w:rPr>
                    <w:szCs w:val="21"/>
                  </w:rPr>
                </w:pPr>
                <w:r>
                  <w:rPr>
                    <w:rFonts w:hint="eastAsia"/>
                  </w:rPr>
                  <w:t>本期发生额</w:t>
                </w:r>
              </w:p>
            </w:sdtContent>
          </w:sdt>
        </w:tc>
        <w:tc>
          <w:tcPr>
            <w:tcW w:w="2819" w:type="dxa"/>
            <w:vAlign w:val="center"/>
          </w:tcPr>
          <w:sdt>
            <w:sdtPr>
              <w:tag w:val="_PLD_4c33d44ff7254e8994d6dacbfee10de3"/>
              <w:id w:val="147477579"/>
            </w:sdtPr>
            <w:sdtContent>
              <w:p>
                <w:pPr>
                  <w:autoSpaceDE w:val="0"/>
                  <w:autoSpaceDN w:val="0"/>
                  <w:adjustRightInd w:val="0"/>
                  <w:snapToGrid w:val="0"/>
                  <w:spacing w:line="240" w:lineRule="atLeast"/>
                  <w:jc w:val="center"/>
                  <w:rPr>
                    <w:szCs w:val="21"/>
                  </w:rPr>
                </w:pPr>
                <w:r>
                  <w:rPr>
                    <w:rFonts w:hint="eastAsia"/>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3409" w:type="dxa"/>
            <w:vAlign w:val="center"/>
          </w:tcPr>
          <w:p>
            <w:pPr>
              <w:autoSpaceDE w:val="0"/>
              <w:autoSpaceDN w:val="0"/>
              <w:adjustRightInd w:val="0"/>
              <w:snapToGrid w:val="0"/>
              <w:spacing w:line="240" w:lineRule="atLeast"/>
              <w:rPr>
                <w:rFonts w:hint="eastAsia"/>
                <w:szCs w:val="21"/>
              </w:rPr>
            </w:pPr>
            <w:r>
              <w:rPr>
                <w:rFonts w:hint="eastAsia"/>
                <w:color w:val="auto"/>
                <w:szCs w:val="21"/>
              </w:rPr>
              <w:t>收到的政府补助</w:t>
            </w:r>
          </w:p>
        </w:tc>
        <w:tc>
          <w:tcPr>
            <w:tcW w:w="2830" w:type="dxa"/>
            <w:vAlign w:val="center"/>
          </w:tcPr>
          <w:p>
            <w:pPr>
              <w:jc w:val="right"/>
              <w:rPr>
                <w:szCs w:val="21"/>
              </w:rPr>
            </w:pPr>
            <w:r>
              <w:rPr>
                <w:rFonts w:hint="eastAsia"/>
                <w:color w:val="auto"/>
                <w:szCs w:val="21"/>
              </w:rPr>
              <w:t>3,621,468.88</w:t>
            </w:r>
          </w:p>
        </w:tc>
        <w:tc>
          <w:tcPr>
            <w:tcW w:w="2819" w:type="dxa"/>
            <w:vAlign w:val="center"/>
          </w:tcPr>
          <w:p>
            <w:pPr>
              <w:jc w:val="right"/>
              <w:rPr>
                <w:szCs w:val="21"/>
              </w:rPr>
            </w:pPr>
            <w:r>
              <w:rPr>
                <w:rFonts w:hint="eastAsia"/>
                <w:color w:val="auto"/>
                <w:szCs w:val="21"/>
              </w:rPr>
              <w:t>3,004,088.94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3409" w:type="dxa"/>
            <w:vAlign w:val="center"/>
          </w:tcPr>
          <w:p>
            <w:pPr>
              <w:autoSpaceDE w:val="0"/>
              <w:autoSpaceDN w:val="0"/>
              <w:adjustRightInd w:val="0"/>
              <w:snapToGrid w:val="0"/>
              <w:spacing w:line="240" w:lineRule="atLeast"/>
              <w:rPr>
                <w:rFonts w:hint="eastAsia"/>
                <w:szCs w:val="21"/>
              </w:rPr>
            </w:pPr>
            <w:r>
              <w:rPr>
                <w:rFonts w:hint="eastAsia"/>
                <w:color w:val="auto"/>
                <w:szCs w:val="21"/>
              </w:rPr>
              <w:t>收到利息</w:t>
            </w:r>
          </w:p>
        </w:tc>
        <w:tc>
          <w:tcPr>
            <w:tcW w:w="2830" w:type="dxa"/>
            <w:vAlign w:val="center"/>
          </w:tcPr>
          <w:p>
            <w:pPr>
              <w:jc w:val="right"/>
              <w:rPr>
                <w:szCs w:val="21"/>
              </w:rPr>
            </w:pPr>
            <w:r>
              <w:rPr>
                <w:rFonts w:hint="eastAsia"/>
                <w:color w:val="auto"/>
                <w:szCs w:val="21"/>
              </w:rPr>
              <w:t>34,446,603.92</w:t>
            </w:r>
          </w:p>
        </w:tc>
        <w:tc>
          <w:tcPr>
            <w:tcW w:w="2819" w:type="dxa"/>
            <w:vAlign w:val="center"/>
          </w:tcPr>
          <w:p>
            <w:pPr>
              <w:jc w:val="right"/>
              <w:rPr>
                <w:szCs w:val="21"/>
              </w:rPr>
            </w:pPr>
            <w:r>
              <w:rPr>
                <w:rFonts w:hint="eastAsia"/>
                <w:color w:val="auto"/>
                <w:szCs w:val="21"/>
              </w:rPr>
              <w:t>40,724,565.82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3409" w:type="dxa"/>
            <w:vAlign w:val="center"/>
          </w:tcPr>
          <w:p>
            <w:pPr>
              <w:autoSpaceDE w:val="0"/>
              <w:autoSpaceDN w:val="0"/>
              <w:adjustRightInd w:val="0"/>
              <w:snapToGrid w:val="0"/>
              <w:spacing w:line="240" w:lineRule="atLeast"/>
              <w:rPr>
                <w:rFonts w:hint="eastAsia"/>
                <w:szCs w:val="21"/>
              </w:rPr>
            </w:pPr>
            <w:r>
              <w:rPr>
                <w:rFonts w:hint="eastAsia"/>
                <w:color w:val="auto"/>
                <w:szCs w:val="21"/>
              </w:rPr>
              <w:t>收到的往来款</w:t>
            </w:r>
          </w:p>
        </w:tc>
        <w:tc>
          <w:tcPr>
            <w:tcW w:w="2830" w:type="dxa"/>
            <w:vAlign w:val="center"/>
          </w:tcPr>
          <w:p>
            <w:pPr>
              <w:jc w:val="right"/>
              <w:rPr>
                <w:szCs w:val="21"/>
              </w:rPr>
            </w:pPr>
            <w:r>
              <w:rPr>
                <w:rFonts w:hint="eastAsia"/>
                <w:color w:val="auto"/>
                <w:szCs w:val="21"/>
              </w:rPr>
              <w:t>5,708,557.43</w:t>
            </w:r>
          </w:p>
        </w:tc>
        <w:tc>
          <w:tcPr>
            <w:tcW w:w="2819" w:type="dxa"/>
            <w:vAlign w:val="center"/>
          </w:tcPr>
          <w:p>
            <w:pPr>
              <w:jc w:val="right"/>
              <w:rPr>
                <w:szCs w:val="21"/>
              </w:rPr>
            </w:pPr>
            <w:r>
              <w:rPr>
                <w:rFonts w:hint="eastAsia"/>
                <w:color w:val="auto"/>
                <w:szCs w:val="21"/>
              </w:rPr>
              <w:t>2,421,220.25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3409" w:type="dxa"/>
            <w:vAlign w:val="center"/>
          </w:tcPr>
          <w:p>
            <w:pPr>
              <w:autoSpaceDE w:val="0"/>
              <w:autoSpaceDN w:val="0"/>
              <w:adjustRightInd w:val="0"/>
              <w:snapToGrid w:val="0"/>
              <w:spacing w:line="240" w:lineRule="atLeast"/>
              <w:rPr>
                <w:rFonts w:hint="eastAsia"/>
                <w:szCs w:val="21"/>
              </w:rPr>
            </w:pPr>
            <w:r>
              <w:rPr>
                <w:rFonts w:hint="eastAsia"/>
                <w:color w:val="auto"/>
                <w:szCs w:val="21"/>
              </w:rPr>
              <w:t>收到的其他</w:t>
            </w:r>
          </w:p>
        </w:tc>
        <w:tc>
          <w:tcPr>
            <w:tcW w:w="2830" w:type="dxa"/>
            <w:vAlign w:val="center"/>
          </w:tcPr>
          <w:p>
            <w:pPr>
              <w:jc w:val="right"/>
              <w:rPr>
                <w:szCs w:val="21"/>
              </w:rPr>
            </w:pPr>
            <w:r>
              <w:rPr>
                <w:rFonts w:hint="eastAsia"/>
                <w:color w:val="auto"/>
                <w:szCs w:val="21"/>
              </w:rPr>
              <w:t>7,355,228.11</w:t>
            </w:r>
          </w:p>
        </w:tc>
        <w:tc>
          <w:tcPr>
            <w:tcW w:w="2819" w:type="dxa"/>
            <w:vAlign w:val="center"/>
          </w:tcPr>
          <w:p>
            <w:pPr>
              <w:jc w:val="right"/>
              <w:rPr>
                <w:szCs w:val="21"/>
              </w:rPr>
            </w:pPr>
            <w:r>
              <w:rPr>
                <w:rFonts w:hint="eastAsia"/>
                <w:color w:val="auto"/>
                <w:szCs w:val="21"/>
              </w:rPr>
              <w:t>4,219,566.19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3409" w:type="dxa"/>
            <w:vAlign w:val="center"/>
          </w:tcPr>
          <w:p>
            <w:pPr>
              <w:autoSpaceDE w:val="0"/>
              <w:autoSpaceDN w:val="0"/>
              <w:adjustRightInd w:val="0"/>
              <w:snapToGrid w:val="0"/>
              <w:spacing w:line="240" w:lineRule="atLeast"/>
              <w:jc w:val="center"/>
              <w:rPr>
                <w:szCs w:val="21"/>
              </w:rPr>
            </w:pPr>
            <w:r>
              <w:rPr>
                <w:rFonts w:hint="eastAsia"/>
                <w:szCs w:val="21"/>
              </w:rPr>
              <w:t>合计</w:t>
            </w:r>
          </w:p>
        </w:tc>
        <w:tc>
          <w:tcPr>
            <w:tcW w:w="2830" w:type="dxa"/>
            <w:vAlign w:val="center"/>
          </w:tcPr>
          <w:p>
            <w:pPr>
              <w:jc w:val="right"/>
              <w:rPr>
                <w:rFonts w:hint="eastAsia"/>
                <w:szCs w:val="21"/>
              </w:rPr>
            </w:pPr>
            <w:r>
              <w:rPr>
                <w:rFonts w:hint="eastAsia"/>
                <w:color w:val="auto"/>
                <w:szCs w:val="21"/>
              </w:rPr>
              <w:t>51,131,858.34</w:t>
            </w:r>
          </w:p>
        </w:tc>
        <w:tc>
          <w:tcPr>
            <w:tcW w:w="2819" w:type="dxa"/>
            <w:vAlign w:val="center"/>
          </w:tcPr>
          <w:p>
            <w:pPr>
              <w:jc w:val="right"/>
              <w:rPr>
                <w:rFonts w:hint="eastAsia"/>
                <w:szCs w:val="21"/>
              </w:rPr>
            </w:pPr>
            <w:r>
              <w:rPr>
                <w:rFonts w:hint="eastAsia"/>
                <w:color w:val="auto"/>
                <w:szCs w:val="21"/>
              </w:rPr>
              <w:t>50,369,441.20</w:t>
            </w:r>
          </w:p>
        </w:tc>
      </w:tr>
    </w:tbl>
    <w:p/>
    <w:p>
      <w:pPr>
        <w:snapToGrid w:val="0"/>
        <w:spacing w:before="60" w:after="60" w:line="240" w:lineRule="atLeast"/>
        <w:rPr>
          <w:szCs w:val="21"/>
        </w:rPr>
      </w:pPr>
      <w:r>
        <w:rPr>
          <w:rFonts w:hint="eastAsia"/>
          <w:szCs w:val="21"/>
        </w:rPr>
        <w:t>到的其他与经营活动有关的现金说明：</w:t>
      </w:r>
    </w:p>
    <w:sdt>
      <w:sdtPr>
        <w:rPr>
          <w:szCs w:val="21"/>
        </w:rPr>
        <w:alias w:val="收到的其他与经营活动有关的现金说明"/>
        <w:tag w:val="_GBC_2e3adcc96d704a9b8dd36934b863d3d4"/>
        <w:id w:val="7736"/>
        <w:placeholder>
          <w:docPart w:val="GBC22222222222222222222222222222"/>
        </w:placeholder>
      </w:sdtPr>
      <w:sdtEndPr>
        <w:rPr>
          <w:szCs w:val="21"/>
        </w:rPr>
      </w:sdtEndPr>
      <w:sdtContent>
        <w:p>
          <w:pPr>
            <w:rPr>
              <w:szCs w:val="21"/>
            </w:rPr>
          </w:pPr>
          <w:r>
            <w:rPr>
              <w:rFonts w:hint="eastAsia"/>
              <w:szCs w:val="21"/>
            </w:rPr>
            <w:t>无</w:t>
          </w:r>
        </w:p>
      </w:sdtContent>
    </w:sdt>
    <w:p>
      <w:pPr>
        <w:rPr>
          <w:szCs w:val="21"/>
        </w:rPr>
      </w:pPr>
    </w:p>
    <w:p>
      <w:r>
        <w:rPr>
          <w:rFonts w:hint="eastAsia"/>
        </w:rPr>
        <w:t>支付的其他与经营活动有关的现金</w:t>
      </w:r>
    </w:p>
    <w:sdt>
      <w:sdtPr>
        <w:alias w:val="是否适用：支付的其他与经营活动有关的现金[双击切换]"/>
        <w:tag w:val="_GBC_f4dd9812849049808cd722f0acb16a7a"/>
        <w:id w:val="7737"/>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支付的其他与经营活动有关的现金"/>
          <w:tag w:val="_GBC_43b6d286fa3345adb12f59f8ca6d94fd"/>
          <w:id w:val="773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支付的其他与经营活动有关的现金"/>
          <w:tag w:val="_GBC_1cb95a87f7e44f1f81d520deac5b4e18"/>
          <w:id w:val="773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3409"/>
        <w:gridCol w:w="2810"/>
        <w:gridCol w:w="2839"/>
      </w:tblGrid>
      <w:tr>
        <w:tc>
          <w:tcPr>
            <w:tcW w:w="3409" w:type="dxa"/>
            <w:vAlign w:val="center"/>
          </w:tcPr>
          <w:sdt>
            <w:sdtPr>
              <w:tag w:val="_PLD_313336294a534de9a634e32311d5592e"/>
              <w:id w:val="7740"/>
            </w:sdtPr>
            <w:sdtContent>
              <w:p>
                <w:pPr>
                  <w:autoSpaceDE w:val="0"/>
                  <w:autoSpaceDN w:val="0"/>
                  <w:adjustRightInd w:val="0"/>
                  <w:snapToGrid w:val="0"/>
                  <w:jc w:val="center"/>
                  <w:rPr>
                    <w:szCs w:val="21"/>
                  </w:rPr>
                </w:pPr>
                <w:r>
                  <w:rPr>
                    <w:rFonts w:hint="eastAsia"/>
                    <w:szCs w:val="21"/>
                  </w:rPr>
                  <w:t>项目</w:t>
                </w:r>
              </w:p>
            </w:sdtContent>
          </w:sdt>
        </w:tc>
        <w:tc>
          <w:tcPr>
            <w:tcW w:w="2810" w:type="dxa"/>
            <w:vAlign w:val="center"/>
          </w:tcPr>
          <w:sdt>
            <w:sdtPr>
              <w:tag w:val="_PLD_254446e36934468da941d479360a4c79"/>
              <w:id w:val="7741"/>
            </w:sdtPr>
            <w:sdtContent>
              <w:p>
                <w:pPr>
                  <w:autoSpaceDE w:val="0"/>
                  <w:autoSpaceDN w:val="0"/>
                  <w:adjustRightInd w:val="0"/>
                  <w:snapToGrid w:val="0"/>
                  <w:jc w:val="center"/>
                  <w:rPr>
                    <w:szCs w:val="21"/>
                  </w:rPr>
                </w:pPr>
                <w:r>
                  <w:rPr>
                    <w:rFonts w:hint="eastAsia"/>
                  </w:rPr>
                  <w:t>本期发生额</w:t>
                </w:r>
              </w:p>
            </w:sdtContent>
          </w:sdt>
        </w:tc>
        <w:tc>
          <w:tcPr>
            <w:tcW w:w="2839" w:type="dxa"/>
            <w:vAlign w:val="center"/>
          </w:tcPr>
          <w:sdt>
            <w:sdtPr>
              <w:tag w:val="_PLD_7dc479c1c10240cc94f89ea3fc1d6136"/>
              <w:id w:val="7742"/>
            </w:sdtPr>
            <w:sdtContent>
              <w:p>
                <w:pPr>
                  <w:autoSpaceDE w:val="0"/>
                  <w:autoSpaceDN w:val="0"/>
                  <w:adjustRightInd w:val="0"/>
                  <w:snapToGrid w:val="0"/>
                  <w:jc w:val="center"/>
                  <w:rPr>
                    <w:szCs w:val="21"/>
                  </w:rPr>
                </w:pPr>
                <w:r>
                  <w:rPr>
                    <w:rFonts w:hint="eastAsia"/>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3409" w:type="dxa"/>
            <w:vAlign w:val="center"/>
          </w:tcPr>
          <w:p>
            <w:pPr>
              <w:autoSpaceDE w:val="0"/>
              <w:autoSpaceDN w:val="0"/>
              <w:adjustRightInd w:val="0"/>
              <w:snapToGrid w:val="0"/>
              <w:rPr>
                <w:rFonts w:hint="eastAsia"/>
                <w:szCs w:val="21"/>
              </w:rPr>
            </w:pPr>
            <w:r>
              <w:rPr>
                <w:rFonts w:hint="eastAsia"/>
                <w:color w:val="auto"/>
                <w:szCs w:val="21"/>
              </w:rPr>
              <w:t>支付各项费用</w:t>
            </w:r>
          </w:p>
        </w:tc>
        <w:tc>
          <w:tcPr>
            <w:tcW w:w="2810" w:type="dxa"/>
            <w:vAlign w:val="center"/>
          </w:tcPr>
          <w:p>
            <w:pPr>
              <w:jc w:val="right"/>
              <w:rPr>
                <w:szCs w:val="21"/>
              </w:rPr>
            </w:pPr>
            <w:r>
              <w:rPr>
                <w:rFonts w:hint="eastAsia"/>
                <w:color w:val="auto"/>
                <w:szCs w:val="21"/>
              </w:rPr>
              <w:t>100,534,367.86</w:t>
            </w:r>
          </w:p>
        </w:tc>
        <w:tc>
          <w:tcPr>
            <w:tcW w:w="2839" w:type="dxa"/>
            <w:vAlign w:val="center"/>
          </w:tcPr>
          <w:p>
            <w:pPr>
              <w:jc w:val="right"/>
              <w:rPr>
                <w:szCs w:val="21"/>
              </w:rPr>
            </w:pPr>
            <w:r>
              <w:rPr>
                <w:rFonts w:hint="eastAsia"/>
                <w:color w:val="auto"/>
                <w:szCs w:val="21"/>
              </w:rPr>
              <w:t>127,869,059.17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3409" w:type="dxa"/>
            <w:vAlign w:val="center"/>
          </w:tcPr>
          <w:p>
            <w:pPr>
              <w:autoSpaceDE w:val="0"/>
              <w:autoSpaceDN w:val="0"/>
              <w:adjustRightInd w:val="0"/>
              <w:snapToGrid w:val="0"/>
              <w:rPr>
                <w:rFonts w:hint="eastAsia"/>
                <w:szCs w:val="21"/>
              </w:rPr>
            </w:pPr>
            <w:r>
              <w:rPr>
                <w:rFonts w:hint="eastAsia"/>
                <w:color w:val="auto"/>
                <w:szCs w:val="21"/>
              </w:rPr>
              <w:t>支付的往来款</w:t>
            </w:r>
          </w:p>
        </w:tc>
        <w:tc>
          <w:tcPr>
            <w:tcW w:w="2810" w:type="dxa"/>
            <w:vAlign w:val="center"/>
          </w:tcPr>
          <w:p>
            <w:pPr>
              <w:jc w:val="right"/>
              <w:rPr>
                <w:szCs w:val="21"/>
              </w:rPr>
            </w:pPr>
            <w:r>
              <w:rPr>
                <w:rFonts w:hint="eastAsia"/>
                <w:color w:val="auto"/>
                <w:szCs w:val="21"/>
              </w:rPr>
              <w:t>1,195,947.99</w:t>
            </w:r>
          </w:p>
        </w:tc>
        <w:tc>
          <w:tcPr>
            <w:tcW w:w="2839" w:type="dxa"/>
            <w:vAlign w:val="center"/>
          </w:tcPr>
          <w:p>
            <w:pPr>
              <w:jc w:val="right"/>
              <w:rPr>
                <w:szCs w:val="21"/>
              </w:rPr>
            </w:pPr>
            <w:r>
              <w:rPr>
                <w:rFonts w:hint="eastAsia"/>
                <w:color w:val="auto"/>
                <w:szCs w:val="21"/>
              </w:rPr>
              <w:t>3,367,192.27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3409" w:type="dxa"/>
            <w:vAlign w:val="center"/>
          </w:tcPr>
          <w:p>
            <w:pPr>
              <w:autoSpaceDE w:val="0"/>
              <w:autoSpaceDN w:val="0"/>
              <w:adjustRightInd w:val="0"/>
              <w:snapToGrid w:val="0"/>
              <w:jc w:val="center"/>
              <w:rPr>
                <w:szCs w:val="21"/>
              </w:rPr>
            </w:pPr>
            <w:r>
              <w:rPr>
                <w:rFonts w:hint="eastAsia"/>
                <w:szCs w:val="21"/>
              </w:rPr>
              <w:t>合计</w:t>
            </w:r>
          </w:p>
        </w:tc>
        <w:tc>
          <w:tcPr>
            <w:tcW w:w="2810" w:type="dxa"/>
            <w:vAlign w:val="center"/>
          </w:tcPr>
          <w:p>
            <w:pPr>
              <w:jc w:val="right"/>
              <w:rPr>
                <w:rFonts w:hint="eastAsia"/>
                <w:szCs w:val="21"/>
              </w:rPr>
            </w:pPr>
            <w:r>
              <w:rPr>
                <w:rFonts w:hint="eastAsia"/>
                <w:color w:val="auto"/>
                <w:szCs w:val="21"/>
              </w:rPr>
              <w:t>101,730,315.85</w:t>
            </w:r>
          </w:p>
        </w:tc>
        <w:tc>
          <w:tcPr>
            <w:tcW w:w="2839" w:type="dxa"/>
            <w:vAlign w:val="center"/>
          </w:tcPr>
          <w:p>
            <w:pPr>
              <w:jc w:val="right"/>
              <w:rPr>
                <w:rFonts w:hint="eastAsia"/>
                <w:szCs w:val="21"/>
              </w:rPr>
            </w:pPr>
            <w:r>
              <w:rPr>
                <w:rFonts w:hint="eastAsia"/>
                <w:color w:val="auto"/>
                <w:szCs w:val="21"/>
              </w:rPr>
              <w:t>131,236,251.44</w:t>
            </w:r>
          </w:p>
        </w:tc>
      </w:tr>
    </w:tbl>
    <w:p>
      <w:pPr>
        <w:spacing w:before="60" w:after="60"/>
        <w:rPr>
          <w:szCs w:val="21"/>
        </w:rPr>
      </w:pPr>
      <w:r>
        <w:rPr>
          <w:rFonts w:hint="eastAsia"/>
          <w:szCs w:val="21"/>
        </w:rPr>
        <w:t>支付的其他与经营活动有关的现金说明：</w:t>
      </w:r>
    </w:p>
    <w:sdt>
      <w:sdtPr>
        <w:rPr>
          <w:rFonts w:hint="eastAsia"/>
          <w:szCs w:val="21"/>
        </w:rPr>
        <w:alias w:val="支付的其他与经营活动有关的现金说明"/>
        <w:tag w:val="_GBC_0465de66d71e4a34a0d6c076baa704db"/>
        <w:id w:val="7743"/>
        <w:placeholder>
          <w:docPart w:val="GBC22222222222222222222222222222"/>
        </w:placeholder>
      </w:sdtPr>
      <w:sdtEndPr>
        <w:rPr>
          <w:rFonts w:hint="eastAsia"/>
          <w:szCs w:val="21"/>
        </w:rPr>
      </w:sdtEndPr>
      <w:sdtContent>
        <w:p>
          <w:pPr>
            <w:ind w:right="5"/>
            <w:rPr>
              <w:szCs w:val="21"/>
            </w:rPr>
          </w:pPr>
          <w:r>
            <w:rPr>
              <w:rFonts w:hint="eastAsia"/>
              <w:szCs w:val="21"/>
            </w:rPr>
            <w:t>无</w:t>
          </w:r>
        </w:p>
      </w:sdtContent>
    </w:sdt>
    <w:p>
      <w:pPr>
        <w:pStyle w:val="5"/>
        <w:numPr>
          <w:ilvl w:val="0"/>
          <w:numId w:val="102"/>
        </w:numPr>
        <w:ind w:left="426" w:hanging="426"/>
        <w:rPr>
          <w:rFonts w:hint="eastAsia"/>
        </w:rPr>
      </w:pPr>
      <w:r>
        <w:rPr>
          <w:rFonts w:hint="eastAsia"/>
        </w:rPr>
        <w:t>与投资活动有关的现金</w:t>
      </w:r>
    </w:p>
    <w:p>
      <w:r>
        <w:rPr>
          <w:rFonts w:hint="eastAsia"/>
        </w:rPr>
        <w:t>收到的重要的投资活动有关的现金</w:t>
      </w:r>
    </w:p>
    <w:sdt>
      <w:sdtPr>
        <w:alias w:val="是否适用：收到的重要的投资活动有关的现金[双击切换]"/>
        <w:tag w:val="_GBC_9196f5edd13f48c58cf11429e2524db4"/>
        <w:id w:val="7744"/>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rPr>
          <w:rFonts w:hint="eastAsia"/>
        </w:rPr>
        <w:t>支付的重要的投资活动有关的现金</w:t>
      </w:r>
    </w:p>
    <w:sdt>
      <w:sdtPr>
        <w:alias w:val="是否适用：支付的重要的投资活动有关的现金[双击切换]"/>
        <w:tag w:val="_GBC_87278c8d34004ae4ad117e1026d10209"/>
        <w:id w:val="7745"/>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rPr>
          <w:rFonts w:hint="eastAsia"/>
        </w:rPr>
        <w:t>收到的其他与投资活动有关的现金</w:t>
      </w:r>
    </w:p>
    <w:sdt>
      <w:sdtPr>
        <w:alias w:val="是否适用：收到的其他与投资活动有关的现金[双击切换]"/>
        <w:tag w:val="_GBC_a9d11a87566b448d9e6aac9a017a8388"/>
        <w:id w:val="7746"/>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r>
        <w:rPr>
          <w:rFonts w:hint="eastAsia"/>
        </w:rPr>
        <w:t>支付的其他与投资活动有关的现金</w:t>
      </w:r>
    </w:p>
    <w:sdt>
      <w:sdtPr>
        <w:alias w:val="是否适用：支付的其他与投资活动有关的现金[双击切换]"/>
        <w:tag w:val="_GBC_c733aab18a804ecea142a329ce5180ba"/>
        <w:id w:val="7747"/>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pStyle w:val="5"/>
        <w:numPr>
          <w:ilvl w:val="0"/>
          <w:numId w:val="102"/>
        </w:numPr>
        <w:ind w:left="426" w:hanging="426"/>
        <w:rPr>
          <w:rFonts w:hint="eastAsia"/>
        </w:rPr>
      </w:pPr>
      <w:r>
        <w:rPr>
          <w:rFonts w:hint="eastAsia"/>
        </w:rPr>
        <w:t>与筹资活动有关的现金</w:t>
      </w:r>
    </w:p>
    <w:p>
      <w:r>
        <w:rPr>
          <w:rFonts w:hint="eastAsia"/>
        </w:rPr>
        <w:t>收到的其他与筹资活动有关的现金</w:t>
      </w:r>
    </w:p>
    <w:sdt>
      <w:sdtPr>
        <w:alias w:val="是否适用：收到的其他与筹资活动有关的现金[双击切换]"/>
        <w:tag w:val="_GBC_031910cf781944cf80900ffa99f7a9d7"/>
        <w:id w:val="7748"/>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rPr>
          <w:rFonts w:hint="eastAsia"/>
        </w:rPr>
        <w:t>支付的其他与筹资活动有关的现金</w:t>
      </w:r>
    </w:p>
    <w:sdt>
      <w:sdtPr>
        <w:alias w:val="是否适用：支付的其他与筹资活动有关的现金[双击切换]"/>
        <w:tag w:val="_GBC_fcc0d0c43a2d4fa88ca685f3e36f2f40"/>
        <w:id w:val="7749"/>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支付的其他与筹资活动有关的现金"/>
          <w:tag w:val="_GBC_f301b3c53ede43608ccf55c09ef288e7"/>
          <w:id w:val="775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支付的其他与筹资活动有关的现金"/>
          <w:tag w:val="_GBC_462cc25e34014e2cb61c7b4f9232d7e5"/>
          <w:id w:val="775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3409"/>
        <w:gridCol w:w="2916"/>
        <w:gridCol w:w="2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3409" w:type="dxa"/>
            <w:vAlign w:val="center"/>
          </w:tcPr>
          <w:sdt>
            <w:sdtPr>
              <w:tag w:val="_PLD_e2db8e0335cc47fe9b6461eeb2befa7e"/>
              <w:id w:val="7752"/>
            </w:sdtPr>
            <w:sdtContent>
              <w:p>
                <w:pPr>
                  <w:autoSpaceDE w:val="0"/>
                  <w:autoSpaceDN w:val="0"/>
                  <w:adjustRightInd w:val="0"/>
                  <w:snapToGrid w:val="0"/>
                  <w:jc w:val="center"/>
                </w:pPr>
                <w:r>
                  <w:rPr>
                    <w:rFonts w:hint="eastAsia"/>
                  </w:rPr>
                  <w:t>项目</w:t>
                </w:r>
              </w:p>
            </w:sdtContent>
          </w:sdt>
        </w:tc>
        <w:tc>
          <w:tcPr>
            <w:tcW w:w="2916" w:type="dxa"/>
            <w:vAlign w:val="center"/>
          </w:tcPr>
          <w:sdt>
            <w:sdtPr>
              <w:tag w:val="_PLD_bb4a54a8a5be4a6691e4d59483217c64"/>
              <w:id w:val="7753"/>
            </w:sdtPr>
            <w:sdtContent>
              <w:p>
                <w:pPr>
                  <w:autoSpaceDE w:val="0"/>
                  <w:autoSpaceDN w:val="0"/>
                  <w:adjustRightInd w:val="0"/>
                  <w:snapToGrid w:val="0"/>
                  <w:jc w:val="center"/>
                </w:pPr>
                <w:r>
                  <w:rPr>
                    <w:rFonts w:hint="eastAsia"/>
                  </w:rPr>
                  <w:t>本期发生额</w:t>
                </w:r>
              </w:p>
            </w:sdtContent>
          </w:sdt>
        </w:tc>
        <w:tc>
          <w:tcPr>
            <w:tcW w:w="2732" w:type="dxa"/>
            <w:vAlign w:val="center"/>
          </w:tcPr>
          <w:sdt>
            <w:sdtPr>
              <w:tag w:val="_PLD_a4930447bc4d450faf79f923eef8597b"/>
              <w:id w:val="7754"/>
            </w:sdtPr>
            <w:sdtContent>
              <w:p>
                <w:pPr>
                  <w:autoSpaceDE w:val="0"/>
                  <w:autoSpaceDN w:val="0"/>
                  <w:adjustRightInd w:val="0"/>
                  <w:snapToGrid w:val="0"/>
                  <w:jc w:val="center"/>
                </w:pPr>
                <w:r>
                  <w:rPr>
                    <w:rFonts w:hint="eastAsia"/>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3409" w:type="dxa"/>
            <w:vAlign w:val="center"/>
          </w:tcPr>
          <w:p>
            <w:pPr>
              <w:autoSpaceDE w:val="0"/>
              <w:autoSpaceDN w:val="0"/>
              <w:adjustRightInd w:val="0"/>
              <w:snapToGrid w:val="0"/>
            </w:pPr>
            <w:r>
              <w:rPr>
                <w:rFonts w:hint="eastAsia"/>
                <w:color w:val="auto"/>
                <w:szCs w:val="21"/>
              </w:rPr>
              <w:t>支付的融资租赁费</w:t>
            </w:r>
          </w:p>
        </w:tc>
        <w:tc>
          <w:tcPr>
            <w:tcW w:w="2916" w:type="dxa"/>
            <w:vAlign w:val="center"/>
          </w:tcPr>
          <w:p>
            <w:pPr>
              <w:jc w:val="right"/>
            </w:pPr>
            <w:r>
              <w:rPr>
                <w:rFonts w:hint="eastAsia"/>
                <w:color w:val="auto"/>
                <w:szCs w:val="21"/>
              </w:rPr>
              <w:t>2,631,589.00</w:t>
            </w:r>
          </w:p>
        </w:tc>
        <w:tc>
          <w:tcPr>
            <w:tcW w:w="2732" w:type="dxa"/>
            <w:vAlign w:val="center"/>
          </w:tcPr>
          <w:p>
            <w:pPr>
              <w:jc w:val="right"/>
            </w:pPr>
            <w:r>
              <w:rPr>
                <w:rFonts w:hint="eastAsia"/>
                <w:color w:val="auto"/>
                <w:szCs w:val="21"/>
              </w:rPr>
              <w:t>2,543,280.00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3409" w:type="dxa"/>
            <w:vAlign w:val="center"/>
          </w:tcPr>
          <w:p>
            <w:pPr>
              <w:autoSpaceDE w:val="0"/>
              <w:autoSpaceDN w:val="0"/>
              <w:adjustRightInd w:val="0"/>
              <w:snapToGrid w:val="0"/>
              <w:jc w:val="center"/>
            </w:pPr>
            <w:r>
              <w:rPr>
                <w:rFonts w:hint="eastAsia"/>
              </w:rPr>
              <w:t>合计</w:t>
            </w:r>
          </w:p>
        </w:tc>
        <w:tc>
          <w:tcPr>
            <w:tcW w:w="2916" w:type="dxa"/>
            <w:vAlign w:val="center"/>
          </w:tcPr>
          <w:p>
            <w:pPr>
              <w:jc w:val="right"/>
            </w:pPr>
            <w:r>
              <w:rPr>
                <w:rFonts w:hint="eastAsia"/>
                <w:color w:val="auto"/>
                <w:szCs w:val="21"/>
              </w:rPr>
              <w:t>2,631,589.00</w:t>
            </w:r>
          </w:p>
        </w:tc>
        <w:tc>
          <w:tcPr>
            <w:tcW w:w="2732" w:type="dxa"/>
            <w:vAlign w:val="center"/>
          </w:tcPr>
          <w:p>
            <w:pPr>
              <w:jc w:val="right"/>
            </w:pPr>
            <w:r>
              <w:rPr>
                <w:rFonts w:hint="eastAsia"/>
                <w:color w:val="auto"/>
                <w:szCs w:val="21"/>
              </w:rPr>
              <w:t>2,543,280.00</w:t>
            </w:r>
          </w:p>
        </w:tc>
      </w:tr>
    </w:tbl>
    <w:p>
      <w:pPr>
        <w:spacing w:before="60" w:after="60"/>
      </w:pPr>
      <w:r>
        <w:rPr>
          <w:rFonts w:hint="eastAsia"/>
        </w:rPr>
        <w:t>支付的其他与筹资活动有关的现金说明：</w:t>
      </w:r>
    </w:p>
    <w:sdt>
      <w:sdtPr>
        <w:rPr>
          <w:rFonts w:hint="eastAsia"/>
        </w:rPr>
        <w:alias w:val="支付的其他与筹资活动有关的现金说明"/>
        <w:tag w:val="_GBC_1701b304ff9b4fe296ba35640eccbe16"/>
        <w:id w:val="7755"/>
        <w:placeholder>
          <w:docPart w:val="GBC22222222222222222222222222222"/>
        </w:placeholder>
      </w:sdtPr>
      <w:sdtEndPr>
        <w:rPr>
          <w:rFonts w:hint="eastAsia"/>
        </w:rPr>
      </w:sdtEndPr>
      <w:sdtContent>
        <w:p>
          <w:pPr>
            <w:ind w:right="5"/>
            <w:rPr>
              <w:rFonts w:asciiTheme="minorHAnsi" w:hAnsiTheme="minorHAnsi" w:cstheme="minorBidi"/>
              <w:kern w:val="2"/>
              <w:szCs w:val="22"/>
            </w:rPr>
          </w:pPr>
          <w:r>
            <w:rPr>
              <w:rFonts w:hint="eastAsia"/>
            </w:rPr>
            <w:t>无</w:t>
          </w:r>
        </w:p>
      </w:sdtContent>
    </w:sdt>
    <w:p>
      <w:pPr>
        <w:ind w:right="5"/>
      </w:pPr>
    </w:p>
    <w:p>
      <w:pPr>
        <w:ind w:right="5"/>
      </w:pPr>
      <w:r>
        <w:rPr>
          <w:rFonts w:hint="eastAsia"/>
        </w:rPr>
        <w:t>筹资活动产生的各项负债变动情况</w:t>
      </w:r>
    </w:p>
    <w:sdt>
      <w:sdtPr>
        <w:alias w:val="是否适用：筹资活动产生的各项负债变动情况[双击切换]"/>
        <w:tag w:val="_GBC_6935418490e145edaf7010b5534b8d6c"/>
        <w:id w:val="7756"/>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筹资活动产生的各项负债变动情况"/>
          <w:tag w:val="_GBC_925389d7776444c688d3aa66f662adfd"/>
          <w:id w:val="775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筹资活动产生的各项负债变动情况"/>
          <w:tag w:val="_GBC_3a33ea855d774ed4a7e23b58b10b2ecd"/>
          <w:id w:val="7758"/>
          <w:placeholder>
            <w:docPart w:val="GBC22222222222222222222222222222"/>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rPr>
            <w:rFonts w:hint="eastAsia"/>
            <w:szCs w:val="21"/>
          </w:rPr>
        </w:sdtEndPr>
        <w:sdtContent>
          <w:r>
            <w:rPr>
              <w:rFonts w:hint="eastAsia"/>
              <w:szCs w:val="21"/>
            </w:rPr>
            <w:t>人民币</w:t>
          </w:r>
        </w:sdtContent>
      </w:sdt>
    </w:p>
    <w:tbl>
      <w:tblPr>
        <w:tblStyle w:val="38"/>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1489"/>
        <w:gridCol w:w="1484"/>
        <w:gridCol w:w="1549"/>
        <w:gridCol w:w="1145"/>
        <w:gridCol w:w="1571"/>
        <w:gridCol w:w="426"/>
        <w:gridCol w:w="1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135" w:hRule="atLeast"/>
        </w:trPr>
        <w:tc>
          <w:tcPr>
            <w:tcW w:w="1489" w:type="dxa"/>
            <w:vMerge w:val="restart"/>
            <w:vAlign w:val="center"/>
          </w:tcPr>
          <w:sdt>
            <w:sdtPr>
              <w:tag w:val="_PLD_5f8ab210fee34d74a9ce8c73775994d9"/>
              <w:id w:val="7759"/>
            </w:sdtPr>
            <w:sdtContent>
              <w:p>
                <w:pPr>
                  <w:autoSpaceDE w:val="0"/>
                  <w:autoSpaceDN w:val="0"/>
                  <w:adjustRightInd w:val="0"/>
                  <w:snapToGrid w:val="0"/>
                  <w:jc w:val="center"/>
                </w:pPr>
                <w:r>
                  <w:rPr>
                    <w:rFonts w:hint="eastAsia"/>
                  </w:rPr>
                  <w:t>项目</w:t>
                </w:r>
              </w:p>
            </w:sdtContent>
          </w:sdt>
        </w:tc>
        <w:tc>
          <w:tcPr>
            <w:tcW w:w="1484" w:type="dxa"/>
            <w:vMerge w:val="restart"/>
            <w:vAlign w:val="center"/>
          </w:tcPr>
          <w:sdt>
            <w:sdtPr>
              <w:tag w:val="_PLD_bab049d4c26d47d49041c46652b3d748"/>
              <w:id w:val="7760"/>
            </w:sdtPr>
            <w:sdtContent>
              <w:p>
                <w:pPr>
                  <w:autoSpaceDE w:val="0"/>
                  <w:autoSpaceDN w:val="0"/>
                  <w:adjustRightInd w:val="0"/>
                  <w:snapToGrid w:val="0"/>
                  <w:jc w:val="center"/>
                </w:pPr>
                <w:r>
                  <w:t>期初余额</w:t>
                </w:r>
              </w:p>
            </w:sdtContent>
          </w:sdt>
        </w:tc>
        <w:tc>
          <w:tcPr>
            <w:tcW w:w="2694" w:type="dxa"/>
            <w:gridSpan w:val="2"/>
            <w:vAlign w:val="center"/>
          </w:tcPr>
          <w:sdt>
            <w:sdtPr>
              <w:tag w:val="_PLD_440b2c54c3664dc199a52a962ffbbdd3"/>
              <w:id w:val="7761"/>
            </w:sdtPr>
            <w:sdtContent>
              <w:p>
                <w:pPr>
                  <w:autoSpaceDE w:val="0"/>
                  <w:autoSpaceDN w:val="0"/>
                  <w:adjustRightInd w:val="0"/>
                  <w:snapToGrid w:val="0"/>
                  <w:jc w:val="center"/>
                </w:pPr>
                <w:r>
                  <w:rPr>
                    <w:rFonts w:hint="eastAsia"/>
                  </w:rPr>
                  <w:t>本期增加</w:t>
                </w:r>
              </w:p>
            </w:sdtContent>
          </w:sdt>
        </w:tc>
        <w:tc>
          <w:tcPr>
            <w:tcW w:w="1997" w:type="dxa"/>
            <w:gridSpan w:val="2"/>
            <w:vAlign w:val="center"/>
          </w:tcPr>
          <w:sdt>
            <w:sdtPr>
              <w:tag w:val="_PLD_4dc104f2ec524f5a86e41fb0db78ed82"/>
              <w:id w:val="7762"/>
            </w:sdtPr>
            <w:sdtContent>
              <w:p>
                <w:pPr>
                  <w:autoSpaceDE w:val="0"/>
                  <w:autoSpaceDN w:val="0"/>
                  <w:adjustRightInd w:val="0"/>
                  <w:snapToGrid w:val="0"/>
                  <w:jc w:val="center"/>
                </w:pPr>
                <w:r>
                  <w:rPr>
                    <w:rFonts w:hint="eastAsia"/>
                  </w:rPr>
                  <w:t>本期减少</w:t>
                </w:r>
              </w:p>
            </w:sdtContent>
          </w:sdt>
        </w:tc>
        <w:tc>
          <w:tcPr>
            <w:tcW w:w="1581" w:type="dxa"/>
            <w:vMerge w:val="restart"/>
            <w:vAlign w:val="center"/>
          </w:tcPr>
          <w:sdt>
            <w:sdtPr>
              <w:tag w:val="_PLD_54378f5247a844d49aa0017541fa519d"/>
              <w:id w:val="7763"/>
            </w:sdtPr>
            <w:sdtContent>
              <w:p>
                <w:pPr>
                  <w:autoSpaceDE w:val="0"/>
                  <w:autoSpaceDN w:val="0"/>
                  <w:adjustRightInd w:val="0"/>
                  <w:snapToGrid w:val="0"/>
                  <w:jc w:val="center"/>
                </w:pPr>
                <w:r>
                  <w:rPr>
                    <w:rFonts w:hint="eastAsia"/>
                  </w:rPr>
                  <w:t>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135" w:hRule="atLeast"/>
        </w:trPr>
        <w:tc>
          <w:tcPr>
            <w:tcW w:w="1489" w:type="dxa"/>
            <w:vMerge w:val="continue"/>
            <w:vAlign w:val="center"/>
          </w:tcPr>
          <w:p>
            <w:pPr>
              <w:autoSpaceDE w:val="0"/>
              <w:autoSpaceDN w:val="0"/>
              <w:adjustRightInd w:val="0"/>
              <w:snapToGrid w:val="0"/>
              <w:jc w:val="center"/>
            </w:pPr>
          </w:p>
        </w:tc>
        <w:tc>
          <w:tcPr>
            <w:tcW w:w="1484" w:type="dxa"/>
            <w:vMerge w:val="continue"/>
            <w:vAlign w:val="center"/>
          </w:tcPr>
          <w:p>
            <w:pPr>
              <w:autoSpaceDE w:val="0"/>
              <w:autoSpaceDN w:val="0"/>
              <w:adjustRightInd w:val="0"/>
              <w:snapToGrid w:val="0"/>
              <w:jc w:val="center"/>
            </w:pPr>
          </w:p>
        </w:tc>
        <w:tc>
          <w:tcPr>
            <w:tcW w:w="1549" w:type="dxa"/>
            <w:vAlign w:val="center"/>
          </w:tcPr>
          <w:sdt>
            <w:sdtPr>
              <w:tag w:val="_PLD_420e321954544771b0b73780f2164d28"/>
              <w:id w:val="7764"/>
            </w:sdtPr>
            <w:sdtContent>
              <w:p>
                <w:pPr>
                  <w:autoSpaceDE w:val="0"/>
                  <w:autoSpaceDN w:val="0"/>
                  <w:adjustRightInd w:val="0"/>
                  <w:snapToGrid w:val="0"/>
                  <w:jc w:val="center"/>
                </w:pPr>
                <w:r>
                  <w:t>现金变动</w:t>
                </w:r>
              </w:p>
            </w:sdtContent>
          </w:sdt>
        </w:tc>
        <w:tc>
          <w:tcPr>
            <w:tcW w:w="1145" w:type="dxa"/>
            <w:vAlign w:val="center"/>
          </w:tcPr>
          <w:sdt>
            <w:sdtPr>
              <w:tag w:val="_PLD_258fabff104642c7837f9d6f4d653a0f"/>
              <w:id w:val="7765"/>
            </w:sdtPr>
            <w:sdtContent>
              <w:p>
                <w:pPr>
                  <w:autoSpaceDE w:val="0"/>
                  <w:autoSpaceDN w:val="0"/>
                  <w:adjustRightInd w:val="0"/>
                  <w:snapToGrid w:val="0"/>
                  <w:jc w:val="center"/>
                </w:pPr>
                <w:r>
                  <w:t>非现金变动</w:t>
                </w:r>
              </w:p>
            </w:sdtContent>
          </w:sdt>
        </w:tc>
        <w:tc>
          <w:tcPr>
            <w:tcW w:w="1571" w:type="dxa"/>
            <w:vAlign w:val="center"/>
          </w:tcPr>
          <w:sdt>
            <w:sdtPr>
              <w:tag w:val="_PLD_3c34596330aa4ababb3e1ef50efc7668"/>
              <w:id w:val="7766"/>
            </w:sdtPr>
            <w:sdtContent>
              <w:p>
                <w:pPr>
                  <w:autoSpaceDE w:val="0"/>
                  <w:autoSpaceDN w:val="0"/>
                  <w:adjustRightInd w:val="0"/>
                  <w:snapToGrid w:val="0"/>
                  <w:jc w:val="center"/>
                </w:pPr>
                <w:r>
                  <w:t>现金变动</w:t>
                </w:r>
              </w:p>
            </w:sdtContent>
          </w:sdt>
        </w:tc>
        <w:tc>
          <w:tcPr>
            <w:tcW w:w="426" w:type="dxa"/>
            <w:vAlign w:val="center"/>
          </w:tcPr>
          <w:sdt>
            <w:sdtPr>
              <w:tag w:val="_PLD_5640b38554e340769223289d39b620da"/>
              <w:id w:val="7767"/>
            </w:sdtPr>
            <w:sdtContent>
              <w:p>
                <w:pPr>
                  <w:autoSpaceDE w:val="0"/>
                  <w:autoSpaceDN w:val="0"/>
                  <w:adjustRightInd w:val="0"/>
                  <w:snapToGrid w:val="0"/>
                  <w:jc w:val="center"/>
                </w:pPr>
                <w:r>
                  <w:t>非现金变动</w:t>
                </w:r>
              </w:p>
            </w:sdtContent>
          </w:sdt>
        </w:tc>
        <w:tc>
          <w:tcPr>
            <w:tcW w:w="1581" w:type="dxa"/>
            <w:vMerge w:val="continue"/>
            <w:vAlign w:val="center"/>
          </w:tcPr>
          <w:p>
            <w:pPr>
              <w:autoSpaceDE w:val="0"/>
              <w:autoSpaceDN w:val="0"/>
              <w:adjustRightInd w:val="0"/>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489" w:type="dxa"/>
            <w:vAlign w:val="center"/>
          </w:tcPr>
          <w:p>
            <w:pPr>
              <w:autoSpaceDE w:val="0"/>
              <w:autoSpaceDN w:val="0"/>
              <w:adjustRightInd w:val="0"/>
              <w:snapToGrid w:val="0"/>
            </w:pPr>
            <w:r>
              <w:rPr>
                <w:rFonts w:hint="eastAsia"/>
                <w:color w:val="auto"/>
              </w:rPr>
              <w:t>短期借款</w:t>
            </w:r>
          </w:p>
        </w:tc>
        <w:tc>
          <w:tcPr>
            <w:tcW w:w="1484" w:type="dxa"/>
            <w:vAlign w:val="center"/>
          </w:tcPr>
          <w:p>
            <w:pPr>
              <w:jc w:val="right"/>
            </w:pPr>
            <w:r>
              <w:rPr>
                <w:rFonts w:hint="eastAsia"/>
                <w:color w:val="auto"/>
              </w:rPr>
              <w:t>90,000,000.00</w:t>
            </w:r>
          </w:p>
        </w:tc>
        <w:tc>
          <w:tcPr>
            <w:tcW w:w="1549" w:type="dxa"/>
            <w:vAlign w:val="center"/>
          </w:tcPr>
          <w:p>
            <w:pPr>
              <w:jc w:val="right"/>
            </w:pPr>
            <w:r>
              <w:rPr>
                <w:rFonts w:hint="eastAsia"/>
                <w:color w:val="auto"/>
              </w:rPr>
              <w:t>102,000,000.00</w:t>
            </w:r>
          </w:p>
        </w:tc>
        <w:tc>
          <w:tcPr>
            <w:tcW w:w="1145" w:type="dxa"/>
            <w:vAlign w:val="center"/>
          </w:tcPr>
          <w:p>
            <w:pPr>
              <w:jc w:val="right"/>
            </w:pPr>
            <w:r>
              <w:rPr>
                <w:rFonts w:hint="eastAsia"/>
                <w:color w:val="auto"/>
              </w:rPr>
              <w:t>　</w:t>
            </w:r>
          </w:p>
        </w:tc>
        <w:tc>
          <w:tcPr>
            <w:tcW w:w="1571" w:type="dxa"/>
            <w:vAlign w:val="center"/>
          </w:tcPr>
          <w:p>
            <w:pPr>
              <w:jc w:val="right"/>
            </w:pPr>
            <w:r>
              <w:rPr>
                <w:rFonts w:hint="eastAsia"/>
                <w:color w:val="auto"/>
              </w:rPr>
              <w:t>90,000,000.00</w:t>
            </w:r>
          </w:p>
        </w:tc>
        <w:tc>
          <w:tcPr>
            <w:tcW w:w="426" w:type="dxa"/>
            <w:vAlign w:val="center"/>
          </w:tcPr>
          <w:p>
            <w:pPr>
              <w:jc w:val="right"/>
            </w:pPr>
            <w:r>
              <w:rPr>
                <w:rFonts w:hint="eastAsia"/>
                <w:color w:val="auto"/>
              </w:rPr>
              <w:t>　</w:t>
            </w:r>
          </w:p>
        </w:tc>
        <w:tc>
          <w:tcPr>
            <w:tcW w:w="1581" w:type="dxa"/>
            <w:vAlign w:val="center"/>
          </w:tcPr>
          <w:p>
            <w:pPr>
              <w:jc w:val="right"/>
            </w:pPr>
            <w:r>
              <w:rPr>
                <w:rFonts w:hint="eastAsia"/>
                <w:color w:val="auto"/>
              </w:rPr>
              <w:t>102,000,000.00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489" w:type="dxa"/>
            <w:vAlign w:val="center"/>
          </w:tcPr>
          <w:p>
            <w:pPr>
              <w:autoSpaceDE w:val="0"/>
              <w:autoSpaceDN w:val="0"/>
              <w:adjustRightInd w:val="0"/>
              <w:snapToGrid w:val="0"/>
            </w:pPr>
            <w:r>
              <w:rPr>
                <w:rFonts w:hint="eastAsia"/>
                <w:color w:val="auto"/>
              </w:rPr>
              <w:t>租赁负债(含一年内到期的非流动负债)</w:t>
            </w:r>
          </w:p>
        </w:tc>
        <w:tc>
          <w:tcPr>
            <w:tcW w:w="1484" w:type="dxa"/>
            <w:vAlign w:val="center"/>
          </w:tcPr>
          <w:p>
            <w:pPr>
              <w:jc w:val="right"/>
            </w:pPr>
            <w:r>
              <w:rPr>
                <w:rFonts w:hint="eastAsia"/>
                <w:color w:val="auto"/>
              </w:rPr>
              <w:t>6,665,599.22</w:t>
            </w:r>
          </w:p>
        </w:tc>
        <w:tc>
          <w:tcPr>
            <w:tcW w:w="1549" w:type="dxa"/>
            <w:vAlign w:val="center"/>
          </w:tcPr>
          <w:p>
            <w:pPr>
              <w:jc w:val="right"/>
            </w:pPr>
            <w:r>
              <w:rPr>
                <w:rFonts w:hint="eastAsia"/>
                <w:color w:val="auto"/>
              </w:rPr>
              <w:t>　</w:t>
            </w:r>
          </w:p>
        </w:tc>
        <w:tc>
          <w:tcPr>
            <w:tcW w:w="1145" w:type="dxa"/>
            <w:vAlign w:val="center"/>
          </w:tcPr>
          <w:p>
            <w:pPr>
              <w:jc w:val="right"/>
            </w:pPr>
            <w:r>
              <w:rPr>
                <w:rFonts w:hint="eastAsia"/>
                <w:color w:val="auto"/>
              </w:rPr>
              <w:t>91,619.05</w:t>
            </w:r>
          </w:p>
        </w:tc>
        <w:tc>
          <w:tcPr>
            <w:tcW w:w="1571" w:type="dxa"/>
            <w:vAlign w:val="center"/>
          </w:tcPr>
          <w:p>
            <w:pPr>
              <w:jc w:val="right"/>
            </w:pPr>
            <w:r>
              <w:rPr>
                <w:rFonts w:hint="eastAsia"/>
                <w:color w:val="auto"/>
              </w:rPr>
              <w:t>2,631,589.00</w:t>
            </w:r>
          </w:p>
        </w:tc>
        <w:tc>
          <w:tcPr>
            <w:tcW w:w="426" w:type="dxa"/>
            <w:vAlign w:val="center"/>
          </w:tcPr>
          <w:p>
            <w:pPr>
              <w:jc w:val="right"/>
            </w:pPr>
            <w:r>
              <w:rPr>
                <w:rFonts w:hint="eastAsia"/>
                <w:color w:val="auto"/>
              </w:rPr>
              <w:t>　</w:t>
            </w:r>
          </w:p>
        </w:tc>
        <w:tc>
          <w:tcPr>
            <w:tcW w:w="1581" w:type="dxa"/>
            <w:vAlign w:val="center"/>
          </w:tcPr>
          <w:p>
            <w:pPr>
              <w:jc w:val="right"/>
            </w:pPr>
            <w:r>
              <w:rPr>
                <w:rFonts w:hint="eastAsia"/>
                <w:color w:val="auto"/>
              </w:rPr>
              <w:t>4,125,629.27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489" w:type="dxa"/>
            <w:vAlign w:val="center"/>
          </w:tcPr>
          <w:p>
            <w:pPr>
              <w:autoSpaceDE w:val="0"/>
              <w:autoSpaceDN w:val="0"/>
              <w:adjustRightInd w:val="0"/>
              <w:snapToGrid w:val="0"/>
              <w:jc w:val="center"/>
            </w:pPr>
            <w:r>
              <w:rPr>
                <w:rFonts w:hint="eastAsia"/>
              </w:rPr>
              <w:t>合计</w:t>
            </w:r>
          </w:p>
        </w:tc>
        <w:tc>
          <w:tcPr>
            <w:tcW w:w="1484" w:type="dxa"/>
            <w:vAlign w:val="center"/>
          </w:tcPr>
          <w:p>
            <w:pPr>
              <w:jc w:val="right"/>
            </w:pPr>
            <w:r>
              <w:rPr>
                <w:rFonts w:hint="eastAsia"/>
                <w:color w:val="auto"/>
              </w:rPr>
              <w:t>96,665,599.22</w:t>
            </w:r>
          </w:p>
        </w:tc>
        <w:tc>
          <w:tcPr>
            <w:tcW w:w="1549" w:type="dxa"/>
            <w:vAlign w:val="center"/>
          </w:tcPr>
          <w:p>
            <w:pPr>
              <w:jc w:val="right"/>
            </w:pPr>
            <w:r>
              <w:rPr>
                <w:rFonts w:hint="eastAsia"/>
                <w:color w:val="auto"/>
              </w:rPr>
              <w:t>102,000,000.00</w:t>
            </w:r>
          </w:p>
        </w:tc>
        <w:tc>
          <w:tcPr>
            <w:tcW w:w="1145" w:type="dxa"/>
            <w:vAlign w:val="center"/>
          </w:tcPr>
          <w:p>
            <w:pPr>
              <w:jc w:val="right"/>
            </w:pPr>
            <w:r>
              <w:rPr>
                <w:rFonts w:hint="eastAsia"/>
                <w:color w:val="auto"/>
              </w:rPr>
              <w:t>91,619.05</w:t>
            </w:r>
          </w:p>
        </w:tc>
        <w:tc>
          <w:tcPr>
            <w:tcW w:w="1571" w:type="dxa"/>
            <w:vAlign w:val="center"/>
          </w:tcPr>
          <w:p>
            <w:pPr>
              <w:jc w:val="right"/>
            </w:pPr>
            <w:r>
              <w:rPr>
                <w:rFonts w:hint="eastAsia"/>
                <w:color w:val="auto"/>
              </w:rPr>
              <w:t>92,631,589.00</w:t>
            </w:r>
          </w:p>
        </w:tc>
        <w:tc>
          <w:tcPr>
            <w:tcW w:w="426" w:type="dxa"/>
            <w:vAlign w:val="center"/>
          </w:tcPr>
          <w:p>
            <w:pPr>
              <w:jc w:val="right"/>
            </w:pPr>
            <w:r>
              <w:rPr>
                <w:rFonts w:hint="eastAsia"/>
                <w:color w:val="auto"/>
              </w:rPr>
              <w:t>　</w:t>
            </w:r>
          </w:p>
        </w:tc>
        <w:tc>
          <w:tcPr>
            <w:tcW w:w="1581" w:type="dxa"/>
            <w:vAlign w:val="center"/>
          </w:tcPr>
          <w:p>
            <w:pPr>
              <w:jc w:val="right"/>
            </w:pPr>
            <w:r>
              <w:rPr>
                <w:rFonts w:hint="eastAsia"/>
                <w:color w:val="auto"/>
              </w:rPr>
              <w:t>106,125,629.27</w:t>
            </w:r>
          </w:p>
        </w:tc>
      </w:tr>
    </w:tbl>
    <w:p/>
    <w:p>
      <w:pPr>
        <w:pStyle w:val="5"/>
        <w:numPr>
          <w:ilvl w:val="0"/>
          <w:numId w:val="102"/>
        </w:numPr>
        <w:ind w:left="426" w:hanging="426"/>
        <w:rPr>
          <w:rFonts w:hint="eastAsia"/>
        </w:rPr>
      </w:pPr>
      <w:r>
        <w:rPr>
          <w:rFonts w:hint="eastAsia"/>
        </w:rPr>
        <w:t>以净额列报现金流量的说明</w:t>
      </w:r>
    </w:p>
    <w:sdt>
      <w:sdtPr>
        <w:alias w:val="是否适用：以净额列报现金流量的说明[双击切换]"/>
        <w:tag w:val="_GBC_3444590230dd455c82f347bceb8bbf05"/>
        <w:id w:val="7768"/>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ind w:right="5"/>
      </w:pPr>
    </w:p>
    <w:p>
      <w:pPr>
        <w:pStyle w:val="5"/>
        <w:numPr>
          <w:ilvl w:val="0"/>
          <w:numId w:val="102"/>
        </w:numPr>
        <w:rPr>
          <w:rFonts w:hint="eastAsia"/>
        </w:rPr>
      </w:pPr>
      <w:r>
        <w:rPr>
          <w:rFonts w:hint="eastAsia"/>
        </w:rPr>
        <w:t>不涉及当期现金收支、但影响企业财务状况或在未来可能影响企业现金流量的重大活动及财务影响</w:t>
      </w:r>
    </w:p>
    <w:sdt>
      <w:sdtPr>
        <w:alias w:val="是否适用：不涉及当期现金收支、但影响企业财务状况或在未来可能影响企业现金流量的重大活动及财务影响[双击切换]"/>
        <w:tag w:val="_GBC_e3d6d1f344c64af2ad0a827f24c95739"/>
        <w:id w:val="7769"/>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ind w:right="5"/>
        <w:rPr>
          <w:rFonts w:ascii="Calibri" w:hAnsi="Calibri"/>
          <w:kern w:val="2"/>
          <w:szCs w:val="22"/>
        </w:rPr>
      </w:pPr>
    </w:p>
    <w:sdt>
      <w:sdtPr>
        <w:tag w:val="_PLD_08971c77e9db420d8effe66ddfe4a83c"/>
        <w:id w:val="7770"/>
      </w:sdtPr>
      <w:sdtContent>
        <w:p>
          <w:pPr>
            <w:pStyle w:val="4"/>
            <w:numPr>
              <w:ilvl w:val="0"/>
              <w:numId w:val="62"/>
            </w:numPr>
            <w:tabs>
              <w:tab w:val="left" w:pos="504"/>
            </w:tabs>
          </w:pPr>
          <w:r>
            <w:rPr>
              <w:rFonts w:hint="eastAsia"/>
            </w:rPr>
            <w:t>现金流量表</w:t>
          </w:r>
          <w:r>
            <w:rPr>
              <w:rFonts w:hint="eastAsia" w:ascii="宋体" w:hAnsi="宋体"/>
              <w:szCs w:val="21"/>
            </w:rPr>
            <w:t>补充</w:t>
          </w:r>
          <w:r>
            <w:rPr>
              <w:rFonts w:hint="eastAsia"/>
            </w:rPr>
            <w:t>资料</w:t>
          </w:r>
        </w:p>
      </w:sdtContent>
    </w:sdt>
    <w:p>
      <w:pPr>
        <w:pStyle w:val="5"/>
        <w:numPr>
          <w:ilvl w:val="0"/>
          <w:numId w:val="103"/>
        </w:numPr>
        <w:ind w:left="426" w:hanging="426"/>
        <w:rPr>
          <w:rFonts w:hint="eastAsia"/>
        </w:rPr>
      </w:pPr>
      <w:r>
        <w:rPr>
          <w:rFonts w:hint="eastAsia"/>
        </w:rPr>
        <w:t>现金流量表补充资料</w:t>
      </w:r>
    </w:p>
    <w:sdt>
      <w:sdtPr>
        <w:rPr>
          <w:rFonts w:hint="eastAsia"/>
        </w:rPr>
        <w:alias w:val="是否适用：现金流量表补充资料[双击切换]"/>
        <w:tag w:val="_GBC_f77ea662869c431fa9c3cd98fccb529c"/>
        <w:id w:val="7771"/>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财务附注：现金流量表补充资料"/>
          <w:tag w:val="_GBC_816fc4f2c97b4b12911114202247ee82"/>
          <w:id w:val="777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财务附注：现金流量表补充资料"/>
          <w:tag w:val="_GBC_d5067beb6bda4f61b5520807661734bf"/>
          <w:id w:val="777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482"/>
        <w:gridCol w:w="2799"/>
        <w:gridCol w:w="276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sdt>
            <w:sdtPr>
              <w:tag w:val="_PLD_39bfd38318b44efe9fa609ad19a8685a"/>
              <w:id w:val="147472445"/>
            </w:sdtPr>
            <w:sdtContent>
              <w:p>
                <w:pPr>
                  <w:jc w:val="center"/>
                  <w:rPr>
                    <w:bCs/>
                  </w:rPr>
                </w:pPr>
                <w:r>
                  <w:rPr>
                    <w:rFonts w:hint="eastAsia"/>
                    <w:bCs/>
                  </w:rPr>
                  <w:t>补充资料</w:t>
                </w:r>
              </w:p>
            </w:sdtContent>
          </w:sdt>
        </w:tc>
        <w:tc>
          <w:tcPr>
            <w:tcW w:w="2799" w:type="dxa"/>
            <w:tcBorders>
              <w:top w:val="single" w:color="auto" w:sz="4" w:space="0"/>
              <w:left w:val="single" w:color="auto" w:sz="4" w:space="0"/>
              <w:bottom w:val="single" w:color="auto" w:sz="4" w:space="0"/>
              <w:right w:val="single" w:color="auto" w:sz="4" w:space="0"/>
            </w:tcBorders>
            <w:vAlign w:val="center"/>
          </w:tcPr>
          <w:sdt>
            <w:sdtPr>
              <w:tag w:val="_PLD_8ef3863737f6403496cc160c411b0b03"/>
              <w:id w:val="147467092"/>
            </w:sdtPr>
            <w:sdtContent>
              <w:p>
                <w:pPr>
                  <w:jc w:val="center"/>
                </w:pPr>
                <w:r>
                  <w:rPr>
                    <w:rFonts w:hint="eastAsia"/>
                  </w:rPr>
                  <w:t>本期金额</w:t>
                </w:r>
              </w:p>
            </w:sdtContent>
          </w:sdt>
        </w:tc>
        <w:tc>
          <w:tcPr>
            <w:tcW w:w="2767" w:type="dxa"/>
            <w:tcBorders>
              <w:top w:val="single" w:color="auto" w:sz="4" w:space="0"/>
              <w:left w:val="single" w:color="auto" w:sz="4" w:space="0"/>
              <w:bottom w:val="single" w:color="auto" w:sz="4" w:space="0"/>
              <w:right w:val="single" w:color="auto" w:sz="4" w:space="0"/>
            </w:tcBorders>
            <w:vAlign w:val="center"/>
          </w:tcPr>
          <w:sdt>
            <w:sdtPr>
              <w:tag w:val="_PLD_73eb01f791e44a84b1edbc96aa42b3f3"/>
              <w:id w:val="147466268"/>
            </w:sdtPr>
            <w:sdtContent>
              <w:p>
                <w:pPr>
                  <w:jc w:val="center"/>
                </w:pPr>
                <w:r>
                  <w:rPr>
                    <w:rFonts w:hint="eastAsia"/>
                  </w:rPr>
                  <w:t>上期金额</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49" w:type="dxa"/>
            <w:gridSpan w:val="3"/>
            <w:tcBorders>
              <w:top w:val="single" w:color="auto" w:sz="4" w:space="0"/>
              <w:left w:val="single" w:color="auto" w:sz="4" w:space="0"/>
              <w:bottom w:val="single" w:color="auto" w:sz="4" w:space="0"/>
              <w:right w:val="outset" w:color="auto" w:sz="4" w:space="0"/>
            </w:tcBorders>
            <w:vAlign w:val="center"/>
          </w:tcPr>
          <w:sdt>
            <w:sdtPr>
              <w:tag w:val="_PLD_c6db035658bd4a67bcf46ade47da315d"/>
              <w:id w:val="147462185"/>
            </w:sdtPr>
            <w:sdtContent>
              <w:p>
                <w:pPr>
                  <w:jc w:val="both"/>
                  <w:rPr>
                    <w:b/>
                  </w:rPr>
                </w:pPr>
                <w:r>
                  <w:rPr>
                    <w:b/>
                    <w:bCs/>
                  </w:rPr>
                  <w:t>1</w:t>
                </w:r>
                <w:r>
                  <w:rPr>
                    <w:rFonts w:hint="eastAsia"/>
                    <w:b/>
                    <w:bCs/>
                  </w:rPr>
                  <w:t>．将净利润调节为经营活动现金流量：</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净利润</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r>
              <w:rPr>
                <w:rFonts w:hint="eastAsia"/>
                <w:color w:val="auto"/>
              </w:rPr>
              <w:t>10,695,289.36</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r>
              <w:rPr>
                <w:rFonts w:hint="eastAsia"/>
                <w:color w:val="auto"/>
              </w:rPr>
              <w:t>82,561,909.03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加：资产减值准备</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r>
              <w:rPr>
                <w:rFonts w:hint="eastAsia"/>
                <w:color w:val="auto"/>
              </w:rPr>
              <w:t>2,258,608.73</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r>
              <w:rPr>
                <w:rFonts w:hint="eastAsia"/>
                <w:color w:val="auto"/>
              </w:rPr>
              <w:t>1,218,493.51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信用减值损失</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r>
              <w:rPr>
                <w:rFonts w:hint="eastAsia"/>
                <w:color w:val="auto"/>
              </w:rPr>
              <w:t>2,387,262.52</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r>
              <w:rPr>
                <w:rFonts w:hint="eastAsia"/>
                <w:color w:val="auto"/>
              </w:rPr>
              <w:t>-380,768.66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固定资产折旧、油气资产折耗、生产性生物资产折旧</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r>
              <w:rPr>
                <w:rFonts w:hint="eastAsia"/>
                <w:color w:val="auto"/>
              </w:rPr>
              <w:t>25,796,414.63</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r>
              <w:rPr>
                <w:rFonts w:hint="eastAsia"/>
                <w:color w:val="auto"/>
              </w:rPr>
              <w:t>24,428,595.25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使用权资产摊销</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r>
              <w:rPr>
                <w:rFonts w:hint="eastAsia"/>
                <w:color w:val="auto"/>
              </w:rPr>
              <w:t>2,304,357.03</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r>
              <w:rPr>
                <w:rFonts w:hint="eastAsia"/>
                <w:color w:val="auto"/>
              </w:rPr>
              <w:t>2,717,108.60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无形资产摊销</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r>
              <w:rPr>
                <w:rFonts w:hint="eastAsia"/>
                <w:color w:val="auto"/>
              </w:rPr>
              <w:t>2,931,935.55</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r>
              <w:rPr>
                <w:rFonts w:hint="eastAsia"/>
                <w:color w:val="auto"/>
              </w:rPr>
              <w:t>3,768,029.39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长期待摊费用摊销</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r>
              <w:rPr>
                <w:rFonts w:hint="eastAsia"/>
                <w:color w:val="auto"/>
              </w:rPr>
              <w:t>2,425,357.24</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r>
              <w:rPr>
                <w:rFonts w:hint="eastAsia"/>
                <w:color w:val="auto"/>
              </w:rPr>
              <w:t>1,185,754.09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处置固定资产、无形资产和其他长期资产的损失（收益以</w:t>
            </w:r>
            <w:r>
              <w:t>“</w:t>
            </w:r>
            <w:r>
              <w:rPr>
                <w:rFonts w:hint="eastAsia"/>
              </w:rPr>
              <w:t>－</w:t>
            </w:r>
            <w:r>
              <w:t>”</w:t>
            </w:r>
            <w:r>
              <w:rPr>
                <w:rFonts w:hint="eastAsia"/>
              </w:rPr>
              <w:t>号填列）</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r>
              <w:rPr>
                <w:rFonts w:hint="eastAsia"/>
                <w:lang w:val="en-US" w:eastAsia="zh-CN"/>
              </w:rPr>
              <w:t xml:space="preserve"> </w:t>
            </w:r>
            <w:r>
              <w:rPr>
                <w:rFonts w:hint="eastAsia"/>
                <w:color w:val="auto"/>
              </w:rPr>
              <w:t>9,826.60</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固定资产报废损失（收益以</w:t>
            </w:r>
            <w:r>
              <w:t>“</w:t>
            </w:r>
            <w:r>
              <w:rPr>
                <w:rFonts w:hint="eastAsia"/>
              </w:rPr>
              <w:t>－</w:t>
            </w:r>
            <w:r>
              <w:t>”</w:t>
            </w:r>
            <w:r>
              <w:rPr>
                <w:rFonts w:hint="eastAsia"/>
              </w:rPr>
              <w:t>号填列）</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r>
              <w:rPr>
                <w:rFonts w:hint="eastAsia"/>
                <w:color w:val="auto"/>
              </w:rPr>
              <w:t>60,305.67</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r>
              <w:rPr>
                <w:rFonts w:hint="eastAsia"/>
                <w:color w:val="auto"/>
              </w:rPr>
              <w:t>553,562.46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公允价值变动损失（收益以</w:t>
            </w:r>
            <w:r>
              <w:t>“</w:t>
            </w:r>
            <w:r>
              <w:rPr>
                <w:rFonts w:hint="eastAsia"/>
              </w:rPr>
              <w:t>－</w:t>
            </w:r>
            <w:r>
              <w:t>”</w:t>
            </w:r>
            <w:r>
              <w:rPr>
                <w:rFonts w:hint="eastAsia"/>
              </w:rPr>
              <w:t>号填列）</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r>
              <w:rPr>
                <w:rFonts w:hint="eastAsia"/>
                <w:color w:val="auto"/>
              </w:rPr>
              <w:t>4,428,195.28</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r>
              <w:rPr>
                <w:rFonts w:hint="eastAsia"/>
                <w:color w:val="auto"/>
              </w:rPr>
              <w:t>-87,741,824.53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财务费用（收益以</w:t>
            </w:r>
            <w:r>
              <w:t>“</w:t>
            </w:r>
            <w:r>
              <w:rPr>
                <w:rFonts w:hint="eastAsia"/>
              </w:rPr>
              <w:t>－</w:t>
            </w:r>
            <w:r>
              <w:t>”</w:t>
            </w:r>
            <w:r>
              <w:rPr>
                <w:rFonts w:hint="eastAsia"/>
              </w:rPr>
              <w:t>号填列）</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r>
              <w:rPr>
                <w:rFonts w:hint="eastAsia"/>
                <w:color w:val="auto"/>
              </w:rPr>
              <w:t>2,367,383.72</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r>
              <w:rPr>
                <w:rFonts w:hint="eastAsia"/>
                <w:color w:val="auto"/>
              </w:rPr>
              <w:t>2,335,611.78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投资损失（收益以</w:t>
            </w:r>
            <w:r>
              <w:t>“</w:t>
            </w:r>
            <w:r>
              <w:rPr>
                <w:rFonts w:hint="eastAsia"/>
              </w:rPr>
              <w:t>－</w:t>
            </w:r>
            <w:r>
              <w:t>”</w:t>
            </w:r>
            <w:r>
              <w:rPr>
                <w:rFonts w:hint="eastAsia"/>
              </w:rPr>
              <w:t>号填列）</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r>
              <w:rPr>
                <w:rFonts w:hint="eastAsia"/>
                <w:color w:val="auto"/>
              </w:rPr>
              <w:t>-18,232,895.36</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r>
              <w:rPr>
                <w:rFonts w:hint="eastAsia"/>
                <w:color w:val="auto"/>
              </w:rPr>
              <w:t>-23,354,107.51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递延所得税资产减少（增加以</w:t>
            </w:r>
            <w:r>
              <w:t>“</w:t>
            </w:r>
            <w:r>
              <w:rPr>
                <w:rFonts w:hint="eastAsia"/>
              </w:rPr>
              <w:t>－</w:t>
            </w:r>
            <w:r>
              <w:t>”</w:t>
            </w:r>
            <w:r>
              <w:rPr>
                <w:rFonts w:hint="eastAsia"/>
              </w:rPr>
              <w:t>号填列）</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r>
              <w:rPr>
                <w:rFonts w:hint="eastAsia"/>
                <w:color w:val="auto"/>
              </w:rPr>
              <w:t>1,297,870.58</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r>
              <w:rPr>
                <w:rFonts w:hint="eastAsia"/>
                <w:color w:val="auto"/>
              </w:rPr>
              <w:t>701,336.44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递延所得税负债增加（减少以</w:t>
            </w:r>
            <w:r>
              <w:t>“</w:t>
            </w:r>
            <w:r>
              <w:rPr>
                <w:rFonts w:hint="eastAsia"/>
              </w:rPr>
              <w:t>－</w:t>
            </w:r>
            <w:r>
              <w:t>”</w:t>
            </w:r>
            <w:r>
              <w:rPr>
                <w:rFonts w:hint="eastAsia"/>
              </w:rPr>
              <w:t>号填列）</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r>
              <w:rPr>
                <w:rFonts w:hint="eastAsia"/>
                <w:color w:val="auto"/>
              </w:rPr>
              <w:t>-2,172,505.73</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r>
              <w:rPr>
                <w:rFonts w:hint="eastAsia"/>
                <w:color w:val="auto"/>
              </w:rPr>
              <w:t>22,721,418.82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存货的减少（增加以</w:t>
            </w:r>
            <w:r>
              <w:t>“</w:t>
            </w:r>
            <w:r>
              <w:rPr>
                <w:rFonts w:hint="eastAsia"/>
              </w:rPr>
              <w:t>－</w:t>
            </w:r>
            <w:r>
              <w:t>”</w:t>
            </w:r>
            <w:r>
              <w:rPr>
                <w:rFonts w:hint="eastAsia"/>
              </w:rPr>
              <w:t>号填列）</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r>
              <w:rPr>
                <w:rFonts w:hint="eastAsia"/>
                <w:lang w:val="en-US" w:eastAsia="zh-CN"/>
              </w:rPr>
              <w:t xml:space="preserve">  </w:t>
            </w:r>
            <w:r>
              <w:rPr>
                <w:rFonts w:hint="eastAsia"/>
                <w:color w:val="auto"/>
              </w:rPr>
              <w:t>32,776,624.60</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r>
              <w:rPr>
                <w:rFonts w:hint="eastAsia"/>
                <w:color w:val="auto"/>
              </w:rPr>
              <w:t>-10,978,060.25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经营性应收项目的减少（增加以</w:t>
            </w:r>
            <w:r>
              <w:t>“</w:t>
            </w:r>
            <w:r>
              <w:rPr>
                <w:rFonts w:hint="eastAsia"/>
              </w:rPr>
              <w:t>－</w:t>
            </w:r>
            <w:r>
              <w:t>”</w:t>
            </w:r>
            <w:r>
              <w:rPr>
                <w:rFonts w:hint="eastAsia"/>
              </w:rPr>
              <w:t>号填列）</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r>
              <w:rPr>
                <w:rFonts w:hint="eastAsia"/>
                <w:color w:val="auto"/>
              </w:rPr>
              <w:t>-11,391,379.98</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r>
              <w:rPr>
                <w:rFonts w:hint="eastAsia"/>
                <w:color w:val="auto"/>
              </w:rPr>
              <w:t>-4,796,122.22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经营性应付项目的增加（减少以</w:t>
            </w:r>
            <w:r>
              <w:t>“</w:t>
            </w:r>
            <w:r>
              <w:rPr>
                <w:rFonts w:hint="eastAsia"/>
              </w:rPr>
              <w:t>－</w:t>
            </w:r>
            <w:r>
              <w:t>”</w:t>
            </w:r>
            <w:r>
              <w:rPr>
                <w:rFonts w:hint="eastAsia"/>
              </w:rPr>
              <w:t>号填列）</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r>
              <w:rPr>
                <w:rFonts w:hint="eastAsia"/>
                <w:color w:val="auto"/>
              </w:rPr>
              <w:t>3,069,298.78</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r>
              <w:rPr>
                <w:rFonts w:hint="eastAsia"/>
                <w:color w:val="auto"/>
              </w:rPr>
              <w:t>-660,989.71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其他</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经营活动产生的现金流量净额</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r>
              <w:rPr>
                <w:rFonts w:hint="eastAsia"/>
                <w:color w:val="auto"/>
              </w:rPr>
              <w:t>61,011,949.22</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r>
              <w:rPr>
                <w:rFonts w:hint="eastAsia"/>
                <w:color w:val="auto"/>
              </w:rPr>
              <w:t>14,279,946.49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49" w:type="dxa"/>
            <w:gridSpan w:val="3"/>
            <w:tcBorders>
              <w:top w:val="single" w:color="auto" w:sz="4" w:space="0"/>
              <w:left w:val="single" w:color="auto" w:sz="4" w:space="0"/>
              <w:bottom w:val="single" w:color="auto" w:sz="4" w:space="0"/>
              <w:right w:val="outset" w:color="auto" w:sz="4" w:space="0"/>
            </w:tcBorders>
            <w:vAlign w:val="center"/>
          </w:tcPr>
          <w:sdt>
            <w:sdtPr>
              <w:tag w:val="_PLD_4b9bf22c7a64477db916821f6ee032d7"/>
              <w:id w:val="147452712"/>
            </w:sdtPr>
            <w:sdtContent>
              <w:p>
                <w:r>
                  <w:rPr>
                    <w:b/>
                    <w:bCs/>
                  </w:rPr>
                  <w:t>2</w:t>
                </w:r>
                <w:r>
                  <w:rPr>
                    <w:rFonts w:hint="eastAsia"/>
                    <w:b/>
                    <w:bCs/>
                  </w:rPr>
                  <w:t>．不涉及现金收支的重大投资和筹资活动：</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债务转为资本</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一年内到期的可转换公司债券</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融资租入固定资产</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49" w:type="dxa"/>
            <w:gridSpan w:val="3"/>
            <w:tcBorders>
              <w:top w:val="single" w:color="auto" w:sz="4" w:space="0"/>
              <w:left w:val="single" w:color="auto" w:sz="4" w:space="0"/>
              <w:bottom w:val="single" w:color="auto" w:sz="4" w:space="0"/>
              <w:right w:val="outset" w:color="auto" w:sz="4" w:space="0"/>
            </w:tcBorders>
            <w:vAlign w:val="center"/>
          </w:tcPr>
          <w:sdt>
            <w:sdtPr>
              <w:tag w:val="_PLD_b32f2ba3b4a94101978cc22144b58749"/>
              <w:id w:val="147457480"/>
            </w:sdtPr>
            <w:sdtContent>
              <w:p>
                <w:r>
                  <w:rPr>
                    <w:b/>
                    <w:bCs/>
                  </w:rPr>
                  <w:t>3</w:t>
                </w:r>
                <w:r>
                  <w:rPr>
                    <w:rFonts w:hint="eastAsia"/>
                    <w:b/>
                    <w:bCs/>
                  </w:rPr>
                  <w:t>．现金及现金等价物净变动情况：</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现金的期末余额</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r>
              <w:rPr>
                <w:rFonts w:hint="eastAsia"/>
                <w:color w:val="auto"/>
              </w:rPr>
              <w:t xml:space="preserve">1,292,507,479.99 </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r>
              <w:rPr>
                <w:rFonts w:hint="eastAsia"/>
                <w:color w:val="auto"/>
              </w:rPr>
              <w:t>1,272,877,948.54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减：现金的期初余额</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rPr>
                <w:bCs/>
              </w:rPr>
            </w:pPr>
            <w:r>
              <w:rPr>
                <w:rFonts w:hint="eastAsia"/>
                <w:color w:val="auto"/>
              </w:rPr>
              <w:t>1,272,877,948.54</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rPr>
                <w:bCs/>
              </w:rPr>
            </w:pPr>
            <w:r>
              <w:rPr>
                <w:rFonts w:hint="eastAsia"/>
                <w:color w:val="auto"/>
              </w:rPr>
              <w:t>1,277,820,841.14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加：现金等价物的期末余额</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p>
        </w:tc>
        <w:tc>
          <w:tcPr>
            <w:tcW w:w="2767" w:type="dxa"/>
            <w:tcBorders>
              <w:top w:val="outset" w:color="auto" w:sz="4" w:space="0"/>
              <w:left w:val="outset" w:color="auto" w:sz="4" w:space="0"/>
              <w:bottom w:val="outset" w:color="auto" w:sz="4" w:space="0"/>
              <w:right w:val="outset" w:color="auto" w:sz="4"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减：现金等价物的期初余额</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rPr>
                <w:bCs/>
              </w:rPr>
            </w:pPr>
          </w:p>
        </w:tc>
        <w:tc>
          <w:tcPr>
            <w:tcW w:w="2767" w:type="dxa"/>
            <w:tcBorders>
              <w:top w:val="outset" w:color="auto" w:sz="4" w:space="0"/>
              <w:left w:val="outset" w:color="auto" w:sz="4" w:space="0"/>
              <w:bottom w:val="outset" w:color="auto" w:sz="4" w:space="0"/>
              <w:right w:val="outset" w:color="auto" w:sz="4" w:space="0"/>
            </w:tcBorders>
            <w:vAlign w:val="center"/>
          </w:tcPr>
          <w:p>
            <w:pPr>
              <w:jc w:val="right"/>
              <w:rPr>
                <w:bCs/>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2" w:type="dxa"/>
            <w:tcBorders>
              <w:top w:val="single" w:color="auto" w:sz="4" w:space="0"/>
              <w:left w:val="single" w:color="auto" w:sz="4" w:space="0"/>
              <w:bottom w:val="single" w:color="auto" w:sz="4" w:space="0"/>
              <w:right w:val="single" w:color="auto" w:sz="4" w:space="0"/>
            </w:tcBorders>
            <w:vAlign w:val="center"/>
          </w:tcPr>
          <w:p>
            <w:r>
              <w:rPr>
                <w:rFonts w:hint="eastAsia"/>
              </w:rPr>
              <w:t>现金及现金等价物净增加额</w:t>
            </w:r>
          </w:p>
        </w:tc>
        <w:tc>
          <w:tcPr>
            <w:tcW w:w="2799" w:type="dxa"/>
            <w:tcBorders>
              <w:top w:val="outset" w:color="auto" w:sz="4" w:space="0"/>
              <w:left w:val="single" w:color="auto" w:sz="4" w:space="0"/>
              <w:bottom w:val="outset" w:color="auto" w:sz="4" w:space="0"/>
              <w:right w:val="outset" w:color="auto" w:sz="4" w:space="0"/>
            </w:tcBorders>
            <w:vAlign w:val="center"/>
          </w:tcPr>
          <w:p>
            <w:pPr>
              <w:jc w:val="right"/>
            </w:pPr>
            <w:r>
              <w:rPr>
                <w:rFonts w:hint="eastAsia"/>
                <w:color w:val="auto"/>
              </w:rPr>
              <w:t>19,629,531.45</w:t>
            </w:r>
          </w:p>
        </w:tc>
        <w:tc>
          <w:tcPr>
            <w:tcW w:w="2767" w:type="dxa"/>
            <w:tcBorders>
              <w:top w:val="outset" w:color="auto" w:sz="4" w:space="0"/>
              <w:left w:val="outset" w:color="auto" w:sz="4" w:space="0"/>
              <w:bottom w:val="outset" w:color="auto" w:sz="4" w:space="0"/>
              <w:right w:val="outset" w:color="auto" w:sz="4" w:space="0"/>
            </w:tcBorders>
            <w:vAlign w:val="center"/>
          </w:tcPr>
          <w:p>
            <w:pPr>
              <w:jc w:val="right"/>
              <w:rPr>
                <w:bCs/>
              </w:rPr>
            </w:pPr>
            <w:r>
              <w:rPr>
                <w:rFonts w:hint="eastAsia"/>
                <w:color w:val="auto"/>
              </w:rPr>
              <w:t>-4,942,892.60</w:t>
            </w:r>
          </w:p>
        </w:tc>
      </w:tr>
    </w:tbl>
    <w:p/>
    <w:p>
      <w:pPr>
        <w:pStyle w:val="5"/>
        <w:numPr>
          <w:ilvl w:val="0"/>
          <w:numId w:val="103"/>
        </w:numPr>
        <w:ind w:left="426" w:hanging="426"/>
        <w:rPr>
          <w:rFonts w:hint="eastAsia"/>
        </w:rPr>
      </w:pPr>
      <w:r>
        <w:rPr>
          <w:rFonts w:hint="eastAsia"/>
        </w:rPr>
        <w:t>本期</w:t>
      </w:r>
      <w:r>
        <w:rPr>
          <w:rFonts w:hint="eastAsia" w:ascii="宋体" w:hAnsi="宋体" w:cs="宋体"/>
          <w:kern w:val="0"/>
        </w:rPr>
        <w:t>支付的</w:t>
      </w:r>
      <w:r>
        <w:rPr>
          <w:rFonts w:hint="eastAsia"/>
        </w:rPr>
        <w:t>取得子公司的现金净额</w:t>
      </w:r>
    </w:p>
    <w:p>
      <w:sdt>
        <w:sdtPr>
          <w:alias w:val="是否适用：本期支付的取得子公司的现金净额[双击切换]"/>
          <w:tag w:val="_GBC_e15d87c710624e119515f4697cba951d"/>
          <w:id w:val="7780"/>
          <w:placeholder>
            <w:docPart w:val="GBC22222222222222222222222222222"/>
          </w:placeholder>
        </w:sdtPr>
        <w:sdtContent>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p>
      <w:pPr>
        <w:pStyle w:val="5"/>
        <w:numPr>
          <w:ilvl w:val="0"/>
          <w:numId w:val="103"/>
        </w:numPr>
        <w:ind w:left="426" w:hanging="426"/>
        <w:rPr>
          <w:rFonts w:hint="eastAsia"/>
        </w:rPr>
      </w:pPr>
      <w:r>
        <w:rPr>
          <w:rFonts w:hint="eastAsia" w:ascii="宋体" w:hAnsi="宋体" w:cs="宋体"/>
          <w:kern w:val="0"/>
          <w:szCs w:val="24"/>
        </w:rPr>
        <w:t>本期收到的</w:t>
      </w:r>
      <w:r>
        <w:rPr>
          <w:rFonts w:hint="eastAsia"/>
        </w:rPr>
        <w:t>处置子公司的现金净额</w:t>
      </w:r>
    </w:p>
    <w:p>
      <w:sdt>
        <w:sdtPr>
          <w:alias w:val="是否适用：本期收到的处置子公司的现金净额[双击切换]"/>
          <w:tag w:val="_GBC_34f955c7fd1f404b9df6ccd09e080d38"/>
          <w:id w:val="7781"/>
          <w:placeholder>
            <w:docPart w:val="GBC22222222222222222222222222222"/>
          </w:placeholder>
        </w:sdtPr>
        <w:sdtContent>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p>
      <w:pPr>
        <w:pStyle w:val="5"/>
        <w:numPr>
          <w:ilvl w:val="0"/>
          <w:numId w:val="103"/>
        </w:numPr>
        <w:ind w:left="426" w:hanging="426"/>
        <w:rPr>
          <w:rFonts w:hint="eastAsia"/>
          <w:szCs w:val="21"/>
        </w:rPr>
      </w:pPr>
      <w:bookmarkStart w:id="359" w:name="_Hlk152667287"/>
      <w:r>
        <w:rPr>
          <w:rFonts w:hint="eastAsia" w:ascii="宋体" w:hAnsi="宋体"/>
          <w:szCs w:val="21"/>
        </w:rPr>
        <w:t>现金和现金</w:t>
      </w:r>
      <w:r>
        <w:rPr>
          <w:rFonts w:hint="eastAsia"/>
        </w:rPr>
        <w:t>等价物</w:t>
      </w:r>
      <w:r>
        <w:rPr>
          <w:rFonts w:hint="eastAsia"/>
          <w:szCs w:val="21"/>
        </w:rPr>
        <w:t>的</w:t>
      </w:r>
      <w:r>
        <w:rPr>
          <w:rFonts w:hint="eastAsia" w:ascii="宋体" w:hAnsi="宋体" w:eastAsia="宋体" w:cs="宋体"/>
          <w:kern w:val="0"/>
          <w:szCs w:val="24"/>
        </w:rPr>
        <w:t>构成</w:t>
      </w:r>
    </w:p>
    <w:sdt>
      <w:sdtPr>
        <w:alias w:val="是否适用：现金和现金等价物的构成[双击切换]"/>
        <w:tag w:val="_GBC_e0555d7e87b94189b1eb8131088a70ab"/>
        <w:id w:val="7782"/>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b/>
          <w:szCs w:val="21"/>
        </w:rPr>
      </w:pPr>
      <w:r>
        <w:rPr>
          <w:rFonts w:hint="eastAsia"/>
        </w:rPr>
        <w:t>单位：</w:t>
      </w:r>
      <w:sdt>
        <w:sdtPr>
          <w:rPr>
            <w:rFonts w:hint="eastAsia"/>
          </w:rPr>
          <w:alias w:val="单位：财务附注：现金和现金等价物的构成"/>
          <w:tag w:val="_GBC_1e304caf56fc443fa3c4a1d772d34293"/>
          <w:id w:val="778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rPr>
        </w:sdtEndPr>
        <w:sdtContent>
          <w:r>
            <w:rPr>
              <w:rFonts w:hint="eastAsia"/>
            </w:rPr>
            <w:t>元</w:t>
          </w:r>
        </w:sdtContent>
      </w:sdt>
      <w:r>
        <w:rPr>
          <w:rFonts w:hint="eastAsia"/>
        </w:rPr>
        <w:t xml:space="preserve">  币种：</w:t>
      </w:r>
      <w:sdt>
        <w:sdtPr>
          <w:rPr>
            <w:rFonts w:hint="eastAsia"/>
          </w:rPr>
          <w:alias w:val="币种：财务附注：现金和现金等价物的构成"/>
          <w:tag w:val="_GBC_d3515d75fc184b1e9585a67f7cb04faa"/>
          <w:id w:val="7784"/>
          <w:placeholder>
            <w:docPart w:val="GBC22222222222222222222222222222"/>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54"/>
        <w:gridCol w:w="2762"/>
        <w:gridCol w:w="2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754" w:type="dxa"/>
            <w:tcBorders>
              <w:bottom w:val="single" w:color="auto" w:sz="4" w:space="0"/>
            </w:tcBorders>
            <w:vAlign w:val="center"/>
          </w:tcPr>
          <w:sdt>
            <w:sdtPr>
              <w:tag w:val="_PLD_7ae145dd51fc48d4a76bb239061b0a6e"/>
              <w:id w:val="7785"/>
            </w:sdtPr>
            <w:sdtContent>
              <w:p>
                <w:pPr>
                  <w:ind w:left="-107" w:leftChars="-51"/>
                  <w:jc w:val="center"/>
                  <w:rPr>
                    <w:szCs w:val="21"/>
                  </w:rPr>
                </w:pPr>
                <w:r>
                  <w:rPr>
                    <w:rFonts w:hint="eastAsia"/>
                    <w:szCs w:val="21"/>
                  </w:rPr>
                  <w:t>项目</w:t>
                </w:r>
              </w:p>
            </w:sdtContent>
          </w:sdt>
        </w:tc>
        <w:tc>
          <w:tcPr>
            <w:tcW w:w="2762" w:type="dxa"/>
            <w:vAlign w:val="center"/>
          </w:tcPr>
          <w:sdt>
            <w:sdtPr>
              <w:tag w:val="_PLD_426ac24378064f8ab324e59db3ac5d98"/>
              <w:id w:val="7786"/>
            </w:sdtPr>
            <w:sdtContent>
              <w:p>
                <w:pPr>
                  <w:jc w:val="center"/>
                  <w:rPr>
                    <w:szCs w:val="21"/>
                  </w:rPr>
                </w:pPr>
                <w:r>
                  <w:rPr>
                    <w:rFonts w:hint="eastAsia"/>
                    <w:szCs w:val="21"/>
                  </w:rPr>
                  <w:t>期末余额</w:t>
                </w:r>
              </w:p>
            </w:sdtContent>
          </w:sdt>
        </w:tc>
        <w:tc>
          <w:tcPr>
            <w:tcW w:w="2532" w:type="dxa"/>
            <w:vAlign w:val="center"/>
          </w:tcPr>
          <w:sdt>
            <w:sdtPr>
              <w:tag w:val="_PLD_d8d41db246514c0dbfacfe0f48eeceac"/>
              <w:id w:val="7787"/>
            </w:sdtPr>
            <w:sdtContent>
              <w:p>
                <w:pPr>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754" w:type="dxa"/>
            <w:vAlign w:val="center"/>
          </w:tcPr>
          <w:p>
            <w:pPr>
              <w:rPr>
                <w:szCs w:val="21"/>
              </w:rPr>
            </w:pPr>
            <w:r>
              <w:rPr>
                <w:rFonts w:hint="eastAsia"/>
                <w:szCs w:val="21"/>
              </w:rPr>
              <w:t>一、现金</w:t>
            </w:r>
          </w:p>
        </w:tc>
        <w:tc>
          <w:tcPr>
            <w:tcW w:w="2762" w:type="dxa"/>
            <w:vAlign w:val="center"/>
          </w:tcPr>
          <w:p>
            <w:pPr>
              <w:jc w:val="right"/>
              <w:rPr>
                <w:szCs w:val="21"/>
              </w:rPr>
            </w:pPr>
            <w:r>
              <w:rPr>
                <w:rFonts w:hint="eastAsia"/>
                <w:color w:val="auto"/>
                <w:szCs w:val="21"/>
              </w:rPr>
              <w:t>1,292,507,479.99</w:t>
            </w:r>
          </w:p>
        </w:tc>
        <w:tc>
          <w:tcPr>
            <w:tcW w:w="2532" w:type="dxa"/>
            <w:vAlign w:val="center"/>
          </w:tcPr>
          <w:p>
            <w:pPr>
              <w:jc w:val="right"/>
              <w:rPr>
                <w:szCs w:val="21"/>
              </w:rPr>
            </w:pPr>
            <w:r>
              <w:rPr>
                <w:rFonts w:hint="eastAsia"/>
                <w:color w:val="auto"/>
                <w:szCs w:val="21"/>
              </w:rPr>
              <w:t>1,272,877,948.54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754" w:type="dxa"/>
            <w:vAlign w:val="center"/>
          </w:tcPr>
          <w:p>
            <w:pPr>
              <w:rPr>
                <w:szCs w:val="21"/>
              </w:rPr>
            </w:pPr>
            <w:r>
              <w:rPr>
                <w:rFonts w:hint="eastAsia"/>
                <w:szCs w:val="21"/>
              </w:rPr>
              <w:t>其中：库存现金</w:t>
            </w:r>
          </w:p>
        </w:tc>
        <w:tc>
          <w:tcPr>
            <w:tcW w:w="2762" w:type="dxa"/>
            <w:vAlign w:val="center"/>
          </w:tcPr>
          <w:p>
            <w:pPr>
              <w:jc w:val="right"/>
              <w:rPr>
                <w:szCs w:val="21"/>
              </w:rPr>
            </w:pPr>
            <w:r>
              <w:rPr>
                <w:rFonts w:hint="eastAsia"/>
                <w:color w:val="auto"/>
                <w:szCs w:val="21"/>
              </w:rPr>
              <w:t>19,619.51</w:t>
            </w:r>
          </w:p>
        </w:tc>
        <w:tc>
          <w:tcPr>
            <w:tcW w:w="2532" w:type="dxa"/>
            <w:vAlign w:val="center"/>
          </w:tcPr>
          <w:p>
            <w:pPr>
              <w:jc w:val="right"/>
              <w:rPr>
                <w:szCs w:val="21"/>
              </w:rPr>
            </w:pPr>
            <w:r>
              <w:rPr>
                <w:rFonts w:hint="eastAsia"/>
                <w:color w:val="auto"/>
                <w:szCs w:val="21"/>
              </w:rPr>
              <w:t>6,659.52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754" w:type="dxa"/>
            <w:vAlign w:val="center"/>
          </w:tcPr>
          <w:p>
            <w:pPr>
              <w:rPr>
                <w:szCs w:val="21"/>
              </w:rPr>
            </w:pPr>
            <w:r>
              <w:rPr>
                <w:rFonts w:hint="eastAsia"/>
                <w:szCs w:val="21"/>
              </w:rPr>
              <w:t>　　可随时用于支付的银行存款</w:t>
            </w:r>
          </w:p>
        </w:tc>
        <w:tc>
          <w:tcPr>
            <w:tcW w:w="2762" w:type="dxa"/>
            <w:vAlign w:val="center"/>
          </w:tcPr>
          <w:p>
            <w:pPr>
              <w:jc w:val="right"/>
              <w:rPr>
                <w:szCs w:val="21"/>
              </w:rPr>
            </w:pPr>
            <w:r>
              <w:rPr>
                <w:rFonts w:hint="eastAsia"/>
                <w:color w:val="auto"/>
                <w:szCs w:val="21"/>
              </w:rPr>
              <w:t>1,292,224,426.29</w:t>
            </w:r>
          </w:p>
        </w:tc>
        <w:tc>
          <w:tcPr>
            <w:tcW w:w="2532" w:type="dxa"/>
            <w:vAlign w:val="center"/>
          </w:tcPr>
          <w:p>
            <w:pPr>
              <w:jc w:val="right"/>
              <w:rPr>
                <w:szCs w:val="21"/>
              </w:rPr>
            </w:pPr>
            <w:r>
              <w:rPr>
                <w:rFonts w:hint="eastAsia"/>
                <w:color w:val="auto"/>
                <w:szCs w:val="21"/>
              </w:rPr>
              <w:t>1,265,477,113.73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754" w:type="dxa"/>
            <w:vAlign w:val="center"/>
          </w:tcPr>
          <w:p>
            <w:pPr>
              <w:rPr>
                <w:szCs w:val="21"/>
              </w:rPr>
            </w:pPr>
            <w:r>
              <w:rPr>
                <w:rFonts w:hint="eastAsia"/>
                <w:szCs w:val="21"/>
              </w:rPr>
              <w:t>　　可随时用于支付的其他货币资金</w:t>
            </w:r>
          </w:p>
        </w:tc>
        <w:tc>
          <w:tcPr>
            <w:tcW w:w="2762" w:type="dxa"/>
            <w:vAlign w:val="center"/>
          </w:tcPr>
          <w:p>
            <w:pPr>
              <w:jc w:val="right"/>
              <w:rPr>
                <w:szCs w:val="21"/>
              </w:rPr>
            </w:pPr>
            <w:r>
              <w:rPr>
                <w:rFonts w:hint="eastAsia"/>
                <w:color w:val="auto"/>
                <w:szCs w:val="21"/>
              </w:rPr>
              <w:t>263,434.19</w:t>
            </w:r>
          </w:p>
        </w:tc>
        <w:tc>
          <w:tcPr>
            <w:tcW w:w="2532" w:type="dxa"/>
            <w:vAlign w:val="center"/>
          </w:tcPr>
          <w:p>
            <w:pPr>
              <w:jc w:val="right"/>
              <w:rPr>
                <w:szCs w:val="21"/>
              </w:rPr>
            </w:pPr>
            <w:r>
              <w:rPr>
                <w:rFonts w:hint="eastAsia"/>
                <w:color w:val="auto"/>
                <w:szCs w:val="21"/>
              </w:rPr>
              <w:t>7,394,175.29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754" w:type="dxa"/>
            <w:vAlign w:val="center"/>
          </w:tcPr>
          <w:p>
            <w:pPr>
              <w:rPr>
                <w:szCs w:val="21"/>
              </w:rPr>
            </w:pPr>
            <w:r>
              <w:rPr>
                <w:rFonts w:hint="eastAsia"/>
                <w:szCs w:val="21"/>
              </w:rPr>
              <w:t>　　可用于支付的存放中央银行款项</w:t>
            </w:r>
          </w:p>
        </w:tc>
        <w:tc>
          <w:tcPr>
            <w:tcW w:w="2762" w:type="dxa"/>
            <w:vAlign w:val="center"/>
          </w:tcPr>
          <w:p>
            <w:pPr>
              <w:jc w:val="right"/>
              <w:rPr>
                <w:szCs w:val="21"/>
              </w:rPr>
            </w:pPr>
          </w:p>
        </w:tc>
        <w:tc>
          <w:tcPr>
            <w:tcW w:w="2532" w:type="dxa"/>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754" w:type="dxa"/>
            <w:vAlign w:val="center"/>
          </w:tcPr>
          <w:p>
            <w:pPr>
              <w:rPr>
                <w:szCs w:val="21"/>
              </w:rPr>
            </w:pPr>
            <w:r>
              <w:rPr>
                <w:rFonts w:hint="eastAsia"/>
                <w:szCs w:val="21"/>
              </w:rPr>
              <w:t>　　存放同业款项</w:t>
            </w:r>
          </w:p>
        </w:tc>
        <w:tc>
          <w:tcPr>
            <w:tcW w:w="2762" w:type="dxa"/>
            <w:vAlign w:val="center"/>
          </w:tcPr>
          <w:p>
            <w:pPr>
              <w:jc w:val="right"/>
              <w:rPr>
                <w:szCs w:val="21"/>
              </w:rPr>
            </w:pPr>
          </w:p>
        </w:tc>
        <w:tc>
          <w:tcPr>
            <w:tcW w:w="2532" w:type="dxa"/>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754" w:type="dxa"/>
            <w:vAlign w:val="center"/>
          </w:tcPr>
          <w:p>
            <w:pPr>
              <w:rPr>
                <w:szCs w:val="21"/>
              </w:rPr>
            </w:pPr>
            <w:r>
              <w:rPr>
                <w:rFonts w:hint="eastAsia"/>
                <w:szCs w:val="21"/>
              </w:rPr>
              <w:t>　　拆放同业款项</w:t>
            </w:r>
          </w:p>
        </w:tc>
        <w:tc>
          <w:tcPr>
            <w:tcW w:w="2762" w:type="dxa"/>
            <w:vAlign w:val="center"/>
          </w:tcPr>
          <w:p>
            <w:pPr>
              <w:jc w:val="right"/>
              <w:rPr>
                <w:szCs w:val="21"/>
              </w:rPr>
            </w:pPr>
          </w:p>
        </w:tc>
        <w:tc>
          <w:tcPr>
            <w:tcW w:w="2532" w:type="dxa"/>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754" w:type="dxa"/>
            <w:vAlign w:val="center"/>
          </w:tcPr>
          <w:p>
            <w:pPr>
              <w:rPr>
                <w:szCs w:val="21"/>
              </w:rPr>
            </w:pPr>
            <w:r>
              <w:rPr>
                <w:rFonts w:hint="eastAsia"/>
                <w:szCs w:val="21"/>
              </w:rPr>
              <w:t>二、现金等价物</w:t>
            </w:r>
          </w:p>
        </w:tc>
        <w:tc>
          <w:tcPr>
            <w:tcW w:w="2762" w:type="dxa"/>
            <w:vAlign w:val="center"/>
          </w:tcPr>
          <w:p>
            <w:pPr>
              <w:jc w:val="right"/>
              <w:rPr>
                <w:szCs w:val="21"/>
              </w:rPr>
            </w:pPr>
          </w:p>
        </w:tc>
        <w:tc>
          <w:tcPr>
            <w:tcW w:w="2532" w:type="dxa"/>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754" w:type="dxa"/>
            <w:tcBorders>
              <w:bottom w:val="single" w:color="auto" w:sz="4" w:space="0"/>
            </w:tcBorders>
            <w:vAlign w:val="center"/>
          </w:tcPr>
          <w:p>
            <w:pPr>
              <w:rPr>
                <w:szCs w:val="21"/>
              </w:rPr>
            </w:pPr>
            <w:r>
              <w:rPr>
                <w:rFonts w:hint="eastAsia"/>
                <w:szCs w:val="21"/>
              </w:rPr>
              <w:t>其中：三个月内到期的债券投资</w:t>
            </w:r>
          </w:p>
        </w:tc>
        <w:tc>
          <w:tcPr>
            <w:tcW w:w="2762" w:type="dxa"/>
            <w:tcBorders>
              <w:bottom w:val="single" w:color="auto" w:sz="4" w:space="0"/>
            </w:tcBorders>
            <w:vAlign w:val="center"/>
          </w:tcPr>
          <w:p>
            <w:pPr>
              <w:jc w:val="right"/>
              <w:rPr>
                <w:szCs w:val="21"/>
              </w:rPr>
            </w:pPr>
          </w:p>
        </w:tc>
        <w:tc>
          <w:tcPr>
            <w:tcW w:w="2532" w:type="dxa"/>
            <w:tcBorders>
              <w:bottom w:val="single"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754" w:type="dxa"/>
            <w:vAlign w:val="center"/>
          </w:tcPr>
          <w:p>
            <w:pPr>
              <w:rPr>
                <w:szCs w:val="21"/>
              </w:rPr>
            </w:pPr>
            <w:r>
              <w:rPr>
                <w:rFonts w:hint="eastAsia"/>
                <w:szCs w:val="21"/>
              </w:rPr>
              <w:t>三、期末现金及现金等价物余额</w:t>
            </w:r>
          </w:p>
        </w:tc>
        <w:tc>
          <w:tcPr>
            <w:tcW w:w="2762" w:type="dxa"/>
            <w:vAlign w:val="center"/>
          </w:tcPr>
          <w:p>
            <w:pPr>
              <w:jc w:val="right"/>
              <w:rPr>
                <w:szCs w:val="21"/>
              </w:rPr>
            </w:pPr>
            <w:r>
              <w:rPr>
                <w:rFonts w:hint="eastAsia"/>
                <w:color w:val="auto"/>
                <w:szCs w:val="21"/>
              </w:rPr>
              <w:t>1,292,507,479.99</w:t>
            </w:r>
          </w:p>
        </w:tc>
        <w:tc>
          <w:tcPr>
            <w:tcW w:w="2532" w:type="dxa"/>
            <w:vAlign w:val="center"/>
          </w:tcPr>
          <w:p>
            <w:pPr>
              <w:jc w:val="right"/>
              <w:rPr>
                <w:szCs w:val="21"/>
              </w:rPr>
            </w:pPr>
            <w:r>
              <w:rPr>
                <w:rFonts w:hint="eastAsia"/>
                <w:color w:val="auto"/>
                <w:szCs w:val="21"/>
              </w:rPr>
              <w:t>1,272,877,948.54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754" w:type="dxa"/>
            <w:vAlign w:val="center"/>
          </w:tcPr>
          <w:p>
            <w:pPr>
              <w:rPr>
                <w:szCs w:val="21"/>
              </w:rPr>
            </w:pPr>
            <w:r>
              <w:rPr>
                <w:rFonts w:hint="eastAsia"/>
                <w:szCs w:val="21"/>
              </w:rPr>
              <w:t>其中：母公司或集团内子公司使用受限制的现金和现金等价物</w:t>
            </w:r>
          </w:p>
        </w:tc>
        <w:tc>
          <w:tcPr>
            <w:tcW w:w="2762" w:type="dxa"/>
            <w:vAlign w:val="center"/>
          </w:tcPr>
          <w:p>
            <w:pPr>
              <w:jc w:val="right"/>
              <w:rPr>
                <w:szCs w:val="21"/>
              </w:rPr>
            </w:pPr>
          </w:p>
        </w:tc>
        <w:tc>
          <w:tcPr>
            <w:tcW w:w="2532" w:type="dxa"/>
            <w:vAlign w:val="center"/>
          </w:tcPr>
          <w:p>
            <w:pPr>
              <w:jc w:val="right"/>
              <w:rPr>
                <w:szCs w:val="21"/>
              </w:rPr>
            </w:pPr>
          </w:p>
        </w:tc>
      </w:tr>
    </w:tbl>
    <w:p>
      <w:pPr>
        <w:spacing w:before="60" w:after="60"/>
        <w:rPr>
          <w:szCs w:val="21"/>
        </w:rPr>
      </w:pPr>
    </w:p>
    <w:p>
      <w:pPr>
        <w:pStyle w:val="5"/>
        <w:numPr>
          <w:ilvl w:val="0"/>
          <w:numId w:val="103"/>
        </w:numPr>
        <w:ind w:left="426" w:hanging="426"/>
        <w:rPr>
          <w:rFonts w:hint="eastAsia"/>
        </w:rPr>
      </w:pPr>
      <w:r>
        <w:rPr>
          <w:rFonts w:hint="eastAsia"/>
        </w:rPr>
        <w:t>使用范围受限但仍作为现金和现金等价物列示的情况</w:t>
      </w:r>
    </w:p>
    <w:sdt>
      <w:sdtPr>
        <w:alias w:val="是否适用：使用范围受限但仍作为现金和现金等价物列示的情况[双击切换]"/>
        <w:tag w:val="_GBC_3f4f3ab69b8d40ad90e4e461178c0e10"/>
        <w:id w:val="7788"/>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pacing w:before="60" w:after="60"/>
        <w:rPr>
          <w:szCs w:val="21"/>
        </w:rPr>
      </w:pPr>
    </w:p>
    <w:p>
      <w:pPr>
        <w:pStyle w:val="5"/>
        <w:numPr>
          <w:ilvl w:val="0"/>
          <w:numId w:val="103"/>
        </w:numPr>
        <w:ind w:left="426" w:hanging="426"/>
        <w:rPr>
          <w:rFonts w:hint="eastAsia"/>
        </w:rPr>
      </w:pPr>
      <w:r>
        <w:rPr>
          <w:rFonts w:hint="eastAsia"/>
        </w:rPr>
        <w:t>不属于现金及现金等价物的货币资金</w:t>
      </w:r>
    </w:p>
    <w:sdt>
      <w:sdtPr>
        <w:alias w:val="是否适用：不属于现金及现金等价物的货币资金[双击切换]"/>
        <w:tag w:val="_GBC_a99c932c933e4271bbb13783f71a0a6a"/>
        <w:id w:val="7789"/>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pacing w:before="60" w:after="60"/>
        <w:rPr>
          <w:szCs w:val="21"/>
        </w:rPr>
      </w:pPr>
    </w:p>
    <w:p>
      <w:pPr>
        <w:spacing w:before="60" w:after="60"/>
        <w:rPr>
          <w:szCs w:val="21"/>
        </w:rPr>
      </w:pPr>
      <w:r>
        <w:rPr>
          <w:rFonts w:hint="eastAsia"/>
          <w:szCs w:val="21"/>
        </w:rPr>
        <w:t>其他说明：</w:t>
      </w:r>
    </w:p>
    <w:sdt>
      <w:sdtPr>
        <w:rPr>
          <w:szCs w:val="21"/>
        </w:rPr>
        <w:alias w:val="是否适用：现金流量表补充资料的说明[双击切换]"/>
        <w:tag w:val="_GBC_73894bf4981b4beaae2551b205a2e7cc"/>
        <w:id w:val="7790"/>
        <w:placeholder>
          <w:docPart w:val="GBC22222222222222222222222222222"/>
        </w:placeholder>
      </w:sdtPr>
      <w:sdtEndPr>
        <w:rPr>
          <w:szCs w:val="21"/>
        </w:rPr>
      </w:sdtEndPr>
      <w:sdtContent>
        <w:p>
          <w:pPr>
            <w:spacing w:before="60" w:after="60"/>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bookmarkEnd w:id="359"/>
    <w:p>
      <w:pPr>
        <w:pStyle w:val="4"/>
        <w:numPr>
          <w:ilvl w:val="0"/>
          <w:numId w:val="62"/>
        </w:numPr>
        <w:tabs>
          <w:tab w:val="left" w:pos="504"/>
        </w:tabs>
        <w:rPr>
          <w:rFonts w:hint="eastAsia" w:ascii="宋体" w:hAnsi="宋体"/>
          <w:szCs w:val="21"/>
        </w:rPr>
      </w:pPr>
      <w:r>
        <w:rPr>
          <w:rFonts w:hint="eastAsia" w:ascii="宋体" w:hAnsi="宋体"/>
          <w:szCs w:val="21"/>
        </w:rPr>
        <w:t>所有者权益变动表项目注释</w:t>
      </w:r>
    </w:p>
    <w:p>
      <w:r>
        <w:rPr>
          <w:rFonts w:hint="eastAsia"/>
        </w:rPr>
        <w:t>说明对上年期末余额进行调整的“其他”项目名称及调整金额等事项：</w:t>
      </w:r>
    </w:p>
    <w:sdt>
      <w:sdtPr>
        <w:alias w:val="是否适用：所有者权益变动表项目注释[双击切换]"/>
        <w:tag w:val="_GBC_fca039532a374a3e9daa81c75d491b1f"/>
        <w:id w:val="7791"/>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pStyle w:val="4"/>
        <w:numPr>
          <w:ilvl w:val="0"/>
          <w:numId w:val="62"/>
        </w:numPr>
        <w:tabs>
          <w:tab w:val="left" w:pos="504"/>
        </w:tabs>
        <w:rPr>
          <w:rFonts w:hint="eastAsia" w:ascii="宋体" w:hAnsi="宋体"/>
          <w:szCs w:val="21"/>
        </w:rPr>
      </w:pPr>
      <w:bookmarkStart w:id="360" w:name="OLE_LINK12"/>
      <w:r>
        <w:rPr>
          <w:rFonts w:hint="eastAsia" w:ascii="宋体" w:hAnsi="宋体"/>
          <w:szCs w:val="21"/>
        </w:rPr>
        <w:t>外币货币</w:t>
      </w:r>
      <w:bookmarkEnd w:id="360"/>
      <w:r>
        <w:rPr>
          <w:rFonts w:hint="eastAsia" w:ascii="宋体" w:hAnsi="宋体"/>
          <w:szCs w:val="21"/>
        </w:rPr>
        <w:t>性项目</w:t>
      </w:r>
    </w:p>
    <w:p>
      <w:pPr>
        <w:pStyle w:val="5"/>
        <w:numPr>
          <w:ilvl w:val="0"/>
          <w:numId w:val="104"/>
        </w:numPr>
        <w:ind w:left="426" w:hanging="426"/>
        <w:rPr>
          <w:rFonts w:hint="eastAsia" w:ascii="宋体" w:hAnsi="宋体"/>
          <w:b w:val="0"/>
          <w:szCs w:val="21"/>
        </w:rPr>
      </w:pPr>
      <w:r>
        <w:rPr>
          <w:rStyle w:val="48"/>
          <w:rFonts w:hint="eastAsia" w:ascii="宋体" w:hAnsi="宋体"/>
          <w:b/>
          <w:bCs w:val="0"/>
          <w:szCs w:val="21"/>
        </w:rPr>
        <w:t>外币货币性项目</w:t>
      </w:r>
    </w:p>
    <w:sdt>
      <w:sdtPr>
        <w:alias w:val="是否适用：外币货币性项目[双击切换]"/>
        <w:tag w:val="_GBC_6b0f646811a94c228ba6be3453047191"/>
        <w:id w:val="7792"/>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pStyle w:val="56"/>
        <w:ind w:firstLine="0" w:firstLineChars="0"/>
        <w:jc w:val="right"/>
        <w:rPr>
          <w:rFonts w:hint="eastAsia" w:ascii="宋体" w:hAnsi="宋体"/>
          <w:szCs w:val="21"/>
        </w:rPr>
      </w:pPr>
      <w:r>
        <w:rPr>
          <w:rFonts w:hint="eastAsia" w:ascii="宋体" w:hAnsi="宋体"/>
          <w:szCs w:val="21"/>
        </w:rPr>
        <w:t>单位：</w:t>
      </w:r>
      <w:sdt>
        <w:sdtPr>
          <w:rPr>
            <w:rFonts w:hint="eastAsia" w:ascii="宋体" w:hAnsi="宋体"/>
            <w:szCs w:val="21"/>
          </w:rPr>
          <w:alias w:val="单位：财务附注：外币货币性项目"/>
          <w:tag w:val="_GBC_43871b6586c8428c8da522abb267c528"/>
          <w:id w:val="779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ascii="宋体" w:hAnsi="宋体"/>
            <w:szCs w:val="21"/>
          </w:rPr>
        </w:sdtEndPr>
        <w:sdtContent>
          <w:r>
            <w:rPr>
              <w:rFonts w:hint="eastAsia" w:ascii="宋体" w:hAnsi="宋体"/>
              <w:szCs w:val="21"/>
            </w:rPr>
            <w:t>元</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7"/>
        <w:gridCol w:w="2048"/>
        <w:gridCol w:w="2057"/>
        <w:gridCol w:w="2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7" w:type="dxa"/>
            <w:tcBorders>
              <w:top w:val="single" w:color="auto" w:sz="4" w:space="0"/>
              <w:left w:val="single" w:color="auto" w:sz="4" w:space="0"/>
              <w:bottom w:val="single" w:color="auto" w:sz="4" w:space="0"/>
              <w:right w:val="single" w:color="auto" w:sz="4" w:space="0"/>
            </w:tcBorders>
            <w:vAlign w:val="center"/>
          </w:tcPr>
          <w:sdt>
            <w:sdtPr>
              <w:tag w:val="_PLD_a5c3516dfa974dea983fcf6d3a5e4272"/>
              <w:id w:val="7794"/>
            </w:sdtPr>
            <w:sdtContent>
              <w:p>
                <w:pPr>
                  <w:jc w:val="center"/>
                  <w:rPr>
                    <w:szCs w:val="21"/>
                  </w:rPr>
                </w:pPr>
                <w:r>
                  <w:rPr>
                    <w:rFonts w:hint="eastAsia"/>
                    <w:szCs w:val="21"/>
                  </w:rPr>
                  <w:t>项目</w:t>
                </w:r>
              </w:p>
            </w:sdtContent>
          </w:sdt>
        </w:tc>
        <w:tc>
          <w:tcPr>
            <w:tcW w:w="2048" w:type="dxa"/>
            <w:tcBorders>
              <w:top w:val="single" w:color="auto" w:sz="4" w:space="0"/>
              <w:left w:val="single" w:color="auto" w:sz="4" w:space="0"/>
              <w:bottom w:val="single" w:color="auto" w:sz="4" w:space="0"/>
              <w:right w:val="single" w:color="auto" w:sz="4" w:space="0"/>
            </w:tcBorders>
            <w:vAlign w:val="center"/>
          </w:tcPr>
          <w:sdt>
            <w:sdtPr>
              <w:tag w:val="_PLD_c677b8fd217342e7b28e98a1c8e497e9"/>
              <w:id w:val="7795"/>
            </w:sdtPr>
            <w:sdtContent>
              <w:p>
                <w:pPr>
                  <w:jc w:val="center"/>
                  <w:rPr>
                    <w:szCs w:val="21"/>
                  </w:rPr>
                </w:pPr>
                <w:r>
                  <w:rPr>
                    <w:rFonts w:hint="eastAsia"/>
                    <w:szCs w:val="21"/>
                  </w:rPr>
                  <w:t>期末外币余额</w:t>
                </w:r>
              </w:p>
            </w:sdtContent>
          </w:sdt>
        </w:tc>
        <w:tc>
          <w:tcPr>
            <w:tcW w:w="2057" w:type="dxa"/>
            <w:tcBorders>
              <w:top w:val="single" w:color="auto" w:sz="4" w:space="0"/>
              <w:left w:val="single" w:color="auto" w:sz="4" w:space="0"/>
              <w:bottom w:val="single" w:color="auto" w:sz="4" w:space="0"/>
              <w:right w:val="single" w:color="auto" w:sz="4" w:space="0"/>
            </w:tcBorders>
            <w:vAlign w:val="center"/>
          </w:tcPr>
          <w:sdt>
            <w:sdtPr>
              <w:tag w:val="_PLD_e0e88022a2754ae991eb4bb1a9caae4f"/>
              <w:id w:val="7796"/>
            </w:sdtPr>
            <w:sdtContent>
              <w:p>
                <w:pPr>
                  <w:jc w:val="center"/>
                  <w:rPr>
                    <w:szCs w:val="21"/>
                  </w:rPr>
                </w:pPr>
                <w:r>
                  <w:rPr>
                    <w:rFonts w:hint="eastAsia"/>
                    <w:szCs w:val="21"/>
                  </w:rPr>
                  <w:t>折算汇率</w:t>
                </w:r>
              </w:p>
            </w:sdtContent>
          </w:sdt>
        </w:tc>
        <w:tc>
          <w:tcPr>
            <w:tcW w:w="2045" w:type="dxa"/>
            <w:tcBorders>
              <w:top w:val="single" w:color="auto" w:sz="4" w:space="0"/>
              <w:left w:val="single" w:color="auto" w:sz="4" w:space="0"/>
              <w:bottom w:val="single" w:color="auto" w:sz="4" w:space="0"/>
              <w:right w:val="single" w:color="auto" w:sz="4" w:space="0"/>
            </w:tcBorders>
            <w:vAlign w:val="center"/>
          </w:tcPr>
          <w:sdt>
            <w:sdtPr>
              <w:tag w:val="_PLD_a1542d7b69a444ef9e91ceaf4a96f49d"/>
              <w:id w:val="7797"/>
            </w:sdtPr>
            <w:sdtContent>
              <w:p>
                <w:pPr>
                  <w:jc w:val="center"/>
                  <w:rPr>
                    <w:szCs w:val="21"/>
                  </w:rPr>
                </w:pPr>
                <w:r>
                  <w:rPr>
                    <w:rFonts w:hint="eastAsia"/>
                    <w:szCs w:val="21"/>
                  </w:rPr>
                  <w:t>期末折算人民币</w:t>
                </w:r>
              </w:p>
              <w:p>
                <w:pPr>
                  <w:jc w:val="center"/>
                  <w:rPr>
                    <w:szCs w:val="21"/>
                  </w:rPr>
                </w:pPr>
                <w:r>
                  <w:rPr>
                    <w:rFonts w:hint="eastAsia"/>
                    <w:szCs w:val="21"/>
                  </w:rPr>
                  <w:t>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7" w:type="dxa"/>
            <w:tcBorders>
              <w:top w:val="single" w:color="auto" w:sz="4" w:space="0"/>
              <w:left w:val="single" w:color="auto" w:sz="4" w:space="0"/>
              <w:bottom w:val="single" w:color="auto" w:sz="4" w:space="0"/>
              <w:right w:val="single" w:color="auto" w:sz="4" w:space="0"/>
            </w:tcBorders>
            <w:vAlign w:val="center"/>
          </w:tcPr>
          <w:p>
            <w:pPr>
              <w:rPr>
                <w:szCs w:val="21"/>
              </w:rPr>
            </w:pPr>
            <w:r>
              <w:rPr>
                <w:szCs w:val="21"/>
              </w:rPr>
              <w:t>货币资金</w:t>
            </w:r>
          </w:p>
        </w:tc>
        <w:tc>
          <w:tcPr>
            <w:tcW w:w="204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 xml:space="preserve">4,605,132.21 </w:t>
            </w:r>
          </w:p>
        </w:tc>
        <w:tc>
          <w:tcPr>
            <w:tcW w:w="205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szCs w:val="21"/>
              </w:rPr>
              <w:t>-</w:t>
            </w:r>
          </w:p>
        </w:tc>
        <w:tc>
          <w:tcPr>
            <w:tcW w:w="204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32,329,136.65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7"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其中：</w:t>
            </w:r>
            <w:sdt>
              <w:sdtPr>
                <w:rPr>
                  <w:szCs w:val="21"/>
                </w:rPr>
                <w:alias w:val="以外币核算的币种明细-币种名称"/>
                <w:tag w:val="_GBC_b9ad493c07994625bf872e807197c998"/>
                <w:id w:val="7798"/>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rPr>
                  <w:szCs w:val="21"/>
                </w:rPr>
              </w:sdtEndPr>
              <w:sdtContent>
                <w:r>
                  <w:rPr>
                    <w:szCs w:val="21"/>
                  </w:rPr>
                  <w:t>美元</w:t>
                </w:r>
              </w:sdtContent>
            </w:sdt>
          </w:p>
        </w:tc>
        <w:tc>
          <w:tcPr>
            <w:tcW w:w="204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4,597,740.66</w:t>
            </w:r>
          </w:p>
        </w:tc>
        <w:tc>
          <w:tcPr>
            <w:tcW w:w="205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7.029</w:t>
            </w:r>
          </w:p>
        </w:tc>
        <w:tc>
          <w:tcPr>
            <w:tcW w:w="204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32,316,670.06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7"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 xml:space="preserve">      </w:t>
            </w:r>
            <w:r>
              <w:rPr>
                <w:szCs w:val="21"/>
              </w:rPr>
              <w:t>欧元</w:t>
            </w:r>
          </w:p>
        </w:tc>
        <w:tc>
          <w:tcPr>
            <w:tcW w:w="204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789.73</w:t>
            </w:r>
          </w:p>
        </w:tc>
        <w:tc>
          <w:tcPr>
            <w:tcW w:w="205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8.235</w:t>
            </w:r>
          </w:p>
        </w:tc>
        <w:tc>
          <w:tcPr>
            <w:tcW w:w="204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6,503.82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7"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 xml:space="preserve">      </w:t>
            </w:r>
            <w:r>
              <w:rPr>
                <w:szCs w:val="21"/>
              </w:rPr>
              <w:t>港币</w:t>
            </w:r>
          </w:p>
        </w:tc>
        <w:tc>
          <w:tcPr>
            <w:tcW w:w="204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6,601.82</w:t>
            </w:r>
          </w:p>
        </w:tc>
        <w:tc>
          <w:tcPr>
            <w:tcW w:w="205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0.903</w:t>
            </w:r>
          </w:p>
        </w:tc>
        <w:tc>
          <w:tcPr>
            <w:tcW w:w="204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5,962.77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7"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 xml:space="preserve">      </w:t>
            </w:r>
            <w:r>
              <w:rPr>
                <w:szCs w:val="21"/>
              </w:rPr>
              <w:t>应收账款</w:t>
            </w:r>
          </w:p>
        </w:tc>
        <w:tc>
          <w:tcPr>
            <w:tcW w:w="204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1,411,675.02</w:t>
            </w:r>
          </w:p>
        </w:tc>
        <w:tc>
          <w:tcPr>
            <w:tcW w:w="205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　</w:t>
            </w:r>
          </w:p>
        </w:tc>
        <w:tc>
          <w:tcPr>
            <w:tcW w:w="204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9,922,403.01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7"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 xml:space="preserve">      </w:t>
            </w:r>
            <w:r>
              <w:rPr>
                <w:szCs w:val="21"/>
              </w:rPr>
              <w:t>美元</w:t>
            </w:r>
          </w:p>
        </w:tc>
        <w:tc>
          <w:tcPr>
            <w:tcW w:w="204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1,411,675.02</w:t>
            </w:r>
          </w:p>
        </w:tc>
        <w:tc>
          <w:tcPr>
            <w:tcW w:w="205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7.029</w:t>
            </w:r>
          </w:p>
        </w:tc>
        <w:tc>
          <w:tcPr>
            <w:tcW w:w="204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9,922,403.01</w:t>
            </w:r>
          </w:p>
        </w:tc>
      </w:tr>
    </w:tbl>
    <w:p>
      <w:pPr>
        <w:spacing w:before="60" w:after="60"/>
        <w:rPr>
          <w:szCs w:val="21"/>
        </w:rPr>
      </w:pPr>
      <w:r>
        <w:rPr>
          <w:rFonts w:hint="eastAsia"/>
          <w:szCs w:val="21"/>
        </w:rPr>
        <w:t>其他说明：</w:t>
      </w:r>
    </w:p>
    <w:sdt>
      <w:sdtPr>
        <w:rPr>
          <w:szCs w:val="21"/>
        </w:rPr>
        <w:alias w:val="外币货币性项目的其他说明"/>
        <w:tag w:val="_GBC_293dd519b8b44c699246ad508c51bbfd"/>
        <w:id w:val="7799"/>
        <w:placeholder>
          <w:docPart w:val="GBC22222222222222222222222222222"/>
        </w:placeholder>
      </w:sdtPr>
      <w:sdtEndPr>
        <w:rPr>
          <w:szCs w:val="21"/>
        </w:rPr>
      </w:sdtEndPr>
      <w:sdtContent>
        <w:p>
          <w:pPr>
            <w:rPr>
              <w:szCs w:val="21"/>
            </w:rPr>
          </w:pPr>
          <w:r>
            <w:rPr>
              <w:rFonts w:hint="eastAsia"/>
              <w:szCs w:val="21"/>
            </w:rPr>
            <w:t>无</w:t>
          </w:r>
        </w:p>
      </w:sdtContent>
    </w:sdt>
    <w:p>
      <w:pPr>
        <w:rPr>
          <w:szCs w:val="21"/>
        </w:rPr>
      </w:pPr>
    </w:p>
    <w:p>
      <w:pPr>
        <w:pStyle w:val="5"/>
        <w:numPr>
          <w:ilvl w:val="0"/>
          <w:numId w:val="104"/>
        </w:numPr>
        <w:ind w:left="0" w:firstLine="0"/>
        <w:rPr>
          <w:rFonts w:hint="eastAsia"/>
          <w:szCs w:val="21"/>
        </w:rPr>
      </w:pPr>
      <w:r>
        <w:rPr>
          <w:rStyle w:val="48"/>
          <w:rFonts w:hint="eastAsia" w:ascii="宋体" w:hAnsi="宋体"/>
          <w:b/>
          <w:bCs w:val="0"/>
          <w:szCs w:val="21"/>
        </w:rPr>
        <w:t>境外</w:t>
      </w:r>
      <w:r>
        <w:rPr>
          <w:rFonts w:hint="eastAsia"/>
          <w:szCs w:val="21"/>
        </w:rPr>
        <w:t>经营实体说明，包括对于重要的境外经营实体，应披露其境外主要经营地、记账本位币及选择依据，记账本位币发生变化的还应披露原因</w:t>
      </w:r>
    </w:p>
    <w:p>
      <w:pPr>
        <w:rPr>
          <w:szCs w:val="21"/>
        </w:rPr>
      </w:pPr>
      <w:sdt>
        <w:sdtPr>
          <w:rPr>
            <w:szCs w:val="21"/>
          </w:rPr>
          <w:alias w:val="是否适用：境外经营实体主要报表项目的折算汇率[双击切换]"/>
          <w:tag w:val="_GBC_c433d39e245c4fb79cd5170717bb5b9c"/>
          <w:id w:val="7800"/>
          <w:placeholder>
            <w:docPart w:val="GBC22222222222222222222222222222"/>
          </w:placeholder>
        </w:sdtPr>
        <w:sdtEndPr>
          <w:rPr>
            <w:szCs w:val="21"/>
          </w:rPr>
        </w:sdtEndPr>
        <w:sdtContent>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sdtContent>
      </w:sdt>
    </w:p>
    <w:p/>
    <w:sdt>
      <w:sdtPr>
        <w:tag w:val="_PLD_61bd4976ba88471c95dad2e18f44b55d"/>
        <w:id w:val="7801"/>
      </w:sdtPr>
      <w:sdtContent>
        <w:p>
          <w:pPr>
            <w:pStyle w:val="4"/>
            <w:numPr>
              <w:ilvl w:val="0"/>
              <w:numId w:val="62"/>
            </w:numPr>
            <w:tabs>
              <w:tab w:val="left" w:pos="504"/>
            </w:tabs>
            <w:ind w:left="450" w:hanging="450"/>
            <w:rPr>
              <w:rFonts w:hint="eastAsia" w:ascii="宋体" w:hAnsi="宋体"/>
              <w:szCs w:val="21"/>
            </w:rPr>
          </w:pPr>
          <w:r>
            <w:rPr>
              <w:rFonts w:hint="eastAsia" w:ascii="宋体" w:hAnsi="宋体"/>
              <w:szCs w:val="21"/>
            </w:rPr>
            <w:t>租赁</w:t>
          </w:r>
        </w:p>
      </w:sdtContent>
    </w:sdt>
    <w:p>
      <w:pPr>
        <w:pStyle w:val="5"/>
        <w:numPr>
          <w:ilvl w:val="0"/>
          <w:numId w:val="105"/>
        </w:numPr>
        <w:ind w:left="0" w:firstLine="0"/>
        <w:rPr>
          <w:rFonts w:hint="eastAsia"/>
        </w:rPr>
      </w:pPr>
      <w:r>
        <w:t>作为承租人</w:t>
      </w:r>
    </w:p>
    <w:sdt>
      <w:sdtPr>
        <w:alias w:val="是否适用：作为承租人[双击切换]"/>
        <w:tag w:val="_GBC_fe311ebf6010457c8817199183148161"/>
        <w:id w:val="7802"/>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rPr>
          <w:rFonts w:hint="eastAsia"/>
        </w:rPr>
        <w:t>未纳入租赁负债计量的可变租赁付款额</w:t>
      </w:r>
    </w:p>
    <w:sdt>
      <w:sdtPr>
        <w:alias w:val="是否适用：未纳入租赁负债计量的可变租赁付款额[双击切换]"/>
        <w:tag w:val="_GBC_80d6a089e2ee407391cb1582a957568e"/>
        <w:id w:val="7803"/>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rPr>
          <w:rFonts w:hint="eastAsia"/>
        </w:rPr>
        <w:t>简化处理的短期租赁或低价值资产的租赁费用</w:t>
      </w:r>
    </w:p>
    <w:sdt>
      <w:sdtPr>
        <w:alias w:val="是否适用：简化处理的短期租赁或低价值资产的租赁费用[双击切换]"/>
        <w:tag w:val="_GBC_9750a0f7bb7b4d4eb353b64f9aef7ed1"/>
        <w:id w:val="7804"/>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rPr>
          <w:rFonts w:hint="eastAsia"/>
        </w:rPr>
        <w:t>售后租回交易及判断依据</w:t>
      </w:r>
    </w:p>
    <w:sdt>
      <w:sdtPr>
        <w:alias w:val="是否适用：售后租回交易及判断依据[双击切换]"/>
        <w:tag w:val="_GBC_a5dfb8e554434d8eb3f4c59e01e27ea4"/>
        <w:id w:val="7805"/>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rPr>
          <w:rFonts w:hint="eastAsia"/>
        </w:rPr>
        <w:t>与租赁相关的现金流出总额</w:t>
      </w:r>
      <w:sdt>
        <w:sdtPr>
          <w:rPr>
            <w:rFonts w:hint="eastAsia"/>
          </w:rPr>
          <w:alias w:val="与租赁相关的现金流出总额"/>
          <w:tag w:val="_GBC_c17023cf7ca74e9a8636a8f592034a57"/>
          <w:id w:val="7806"/>
          <w:placeholder>
            <w:docPart w:val="GBC22222222222222222222222222222"/>
          </w:placeholder>
        </w:sdtPr>
        <w:sdtEndPr>
          <w:rPr>
            <w:rFonts w:hint="eastAsia"/>
          </w:rPr>
        </w:sdtEndPr>
        <w:sdtContent>
          <w:r>
            <w:rPr>
              <w:rFonts w:hint="eastAsia"/>
            </w:rPr>
            <w:t>1,241,429.75</w:t>
          </w:r>
        </w:sdtContent>
      </w:sdt>
      <w:r>
        <w:rPr>
          <w:rFonts w:hint="eastAsia"/>
        </w:rPr>
        <w:t>(单位：</w:t>
      </w:r>
      <w:sdt>
        <w:sdtPr>
          <w:rPr>
            <w:rFonts w:hint="eastAsia"/>
          </w:rPr>
          <w:alias w:val="单位：与租赁相关的现金流出总额"/>
          <w:tag w:val="_GBC_958c18bfb6e24086971643691eba660d"/>
          <w:id w:val="780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rPr>
        </w:sdtEndPr>
        <w:sdtContent>
          <w:r>
            <w:rPr>
              <w:rFonts w:hint="eastAsia"/>
            </w:rPr>
            <w:t>元</w:t>
          </w:r>
        </w:sdtContent>
      </w:sdt>
      <w:r>
        <w:rPr>
          <w:rFonts w:hint="eastAsia"/>
        </w:rPr>
        <w:t xml:space="preserve">  币种：</w:t>
      </w:r>
      <w:sdt>
        <w:sdtPr>
          <w:rPr>
            <w:rFonts w:hint="eastAsia"/>
          </w:rPr>
          <w:alias w:val="币种：与租赁相关的现金流出总额"/>
          <w:tag w:val="_GBC_fca975f845d34a26bdc9764887518796"/>
          <w:id w:val="7808"/>
          <w:placeholder>
            <w:docPart w:val="GBC22222222222222222222222222222"/>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rPr>
            <w:rFonts w:hint="eastAsia"/>
          </w:rPr>
        </w:sdtEndPr>
        <w:sdtContent>
          <w:r>
            <w:rPr>
              <w:rFonts w:hint="eastAsia"/>
            </w:rPr>
            <w:t>人民币</w:t>
          </w:r>
        </w:sdtContent>
      </w:sdt>
      <w:r>
        <w:rPr>
          <w:rFonts w:hint="eastAsia"/>
        </w:rPr>
        <w:t>)</w:t>
      </w:r>
    </w:p>
    <w:p/>
    <w:p>
      <w:pPr>
        <w:pStyle w:val="5"/>
        <w:numPr>
          <w:ilvl w:val="0"/>
          <w:numId w:val="105"/>
        </w:numPr>
        <w:ind w:left="0" w:firstLine="0"/>
        <w:rPr>
          <w:rFonts w:hint="eastAsia"/>
        </w:rPr>
      </w:pPr>
      <w:r>
        <w:t>作为出租人</w:t>
      </w:r>
    </w:p>
    <w:p>
      <w:r>
        <w:t>作为出租人的经营</w:t>
      </w:r>
      <w:r>
        <w:rPr>
          <w:rFonts w:hint="eastAsia"/>
        </w:rPr>
        <w:t>租赁</w:t>
      </w:r>
    </w:p>
    <w:sdt>
      <w:sdtPr>
        <w:rPr>
          <w:rFonts w:hint="eastAsia"/>
        </w:rPr>
        <w:alias w:val="是否适用：作为出租人的经营租赁[双击切换]"/>
        <w:tag w:val="_GBC_d5cd3a4b291f4a089f0080385207b552"/>
        <w:id w:val="7809"/>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作为出租人的经营租赁"/>
          <w:tag w:val="_GBC_33154e0a2b6b4de1ba1d9ac25d94b964"/>
          <w:id w:val="781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rPr>
        </w:sdtEndPr>
        <w:sdtContent>
          <w:r>
            <w:rPr>
              <w:rFonts w:hint="eastAsia"/>
            </w:rPr>
            <w:t>元</w:t>
          </w:r>
        </w:sdtContent>
      </w:sdt>
      <w:r>
        <w:rPr>
          <w:rFonts w:hint="eastAsia"/>
        </w:rPr>
        <w:t xml:space="preserve">  币种：</w:t>
      </w:r>
      <w:sdt>
        <w:sdtPr>
          <w:rPr>
            <w:rFonts w:hint="eastAsia"/>
          </w:rPr>
          <w:alias w:val="币种：作为出租人的经营租赁"/>
          <w:tag w:val="_GBC_74d27fbc036640eebacb9f62324bdfd2"/>
          <w:id w:val="7811"/>
          <w:placeholder>
            <w:docPart w:val="GBC22222222222222222222222222222"/>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5"/>
        <w:gridCol w:w="3016"/>
        <w:gridCol w:w="3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vAlign w:val="center"/>
          </w:tcPr>
          <w:sdt>
            <w:sdtPr>
              <w:tag w:val="_PLD_00ecb26a541b4476ae397f9dc938c006"/>
              <w:id w:val="7812"/>
            </w:sdtPr>
            <w:sdtContent>
              <w:p>
                <w:pPr>
                  <w:jc w:val="center"/>
                </w:pPr>
                <w:r>
                  <w:rPr>
                    <w:rFonts w:hint="eastAsia"/>
                  </w:rPr>
                  <w:t>项目</w:t>
                </w:r>
              </w:p>
            </w:sdtContent>
          </w:sdt>
        </w:tc>
        <w:tc>
          <w:tcPr>
            <w:tcW w:w="3016" w:type="dxa"/>
            <w:vAlign w:val="center"/>
          </w:tcPr>
          <w:sdt>
            <w:sdtPr>
              <w:tag w:val="_PLD_96216f0f4e664412a0e5e854a957fa35"/>
              <w:id w:val="7813"/>
            </w:sdtPr>
            <w:sdtContent>
              <w:p>
                <w:pPr>
                  <w:jc w:val="center"/>
                </w:pPr>
                <w:r>
                  <w:t>租赁收入</w:t>
                </w:r>
              </w:p>
            </w:sdtContent>
          </w:sdt>
        </w:tc>
        <w:tc>
          <w:tcPr>
            <w:tcW w:w="3016" w:type="dxa"/>
            <w:vAlign w:val="center"/>
          </w:tcPr>
          <w:sdt>
            <w:sdtPr>
              <w:tag w:val="_PLD_ad377951fc0c44299ea39a709c6a8089"/>
              <w:id w:val="7814"/>
            </w:sdtPr>
            <w:sdtContent>
              <w:p>
                <w:pPr>
                  <w:jc w:val="center"/>
                </w:pPr>
                <w:r>
                  <w:t>其中</w:t>
                </w:r>
                <w:r>
                  <w:rPr>
                    <w:rFonts w:hint="eastAsia"/>
                  </w:rPr>
                  <w:t>:</w:t>
                </w:r>
                <w:r>
                  <w:t>未计入租赁收款额的可变租赁付款额相关的收入</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vAlign w:val="center"/>
          </w:tcPr>
          <w:p>
            <w:r>
              <w:rPr>
                <w:rFonts w:hint="eastAsia"/>
                <w:color w:val="auto"/>
              </w:rPr>
              <w:t>租赁收入</w:t>
            </w:r>
          </w:p>
        </w:tc>
        <w:tc>
          <w:tcPr>
            <w:tcW w:w="3016" w:type="dxa"/>
            <w:vAlign w:val="center"/>
          </w:tcPr>
          <w:p>
            <w:pPr>
              <w:jc w:val="right"/>
            </w:pPr>
            <w:r>
              <w:rPr>
                <w:rFonts w:hint="eastAsia"/>
                <w:color w:val="auto"/>
              </w:rPr>
              <w:t>616,427.94</w:t>
            </w:r>
          </w:p>
        </w:tc>
        <w:tc>
          <w:tcPr>
            <w:tcW w:w="3016" w:type="dxa"/>
            <w:vAlign w:val="center"/>
          </w:tcPr>
          <w:p>
            <w:pPr>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vAlign w:val="center"/>
          </w:tcPr>
          <w:p>
            <w:pPr>
              <w:jc w:val="center"/>
            </w:pPr>
            <w:r>
              <w:t>合计</w:t>
            </w:r>
          </w:p>
        </w:tc>
        <w:tc>
          <w:tcPr>
            <w:tcW w:w="3016" w:type="dxa"/>
            <w:vAlign w:val="center"/>
          </w:tcPr>
          <w:p>
            <w:pPr>
              <w:jc w:val="right"/>
            </w:pPr>
            <w:r>
              <w:rPr>
                <w:rFonts w:hint="eastAsia"/>
                <w:color w:val="auto"/>
              </w:rPr>
              <w:t>616,427.94</w:t>
            </w:r>
          </w:p>
        </w:tc>
        <w:tc>
          <w:tcPr>
            <w:tcW w:w="3016" w:type="dxa"/>
            <w:vAlign w:val="center"/>
          </w:tcPr>
          <w:p>
            <w:pPr>
              <w:jc w:val="right"/>
            </w:pPr>
          </w:p>
        </w:tc>
      </w:tr>
    </w:tbl>
    <w:p>
      <w:pPr>
        <w:rPr>
          <w:b/>
          <w:szCs w:val="21"/>
        </w:rPr>
      </w:pPr>
    </w:p>
    <w:p>
      <w:r>
        <w:t>作为出租人的融资租赁</w:t>
      </w:r>
    </w:p>
    <w:sdt>
      <w:sdtPr>
        <w:alias w:val="是否适用：作为出租人的融资租赁[双击切换]"/>
        <w:tag w:val="_GBC_a96fee2f2d7c4192a3a8f10ae08d73cc"/>
        <w:id w:val="7815"/>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b/>
          <w:szCs w:val="21"/>
        </w:rPr>
      </w:pPr>
    </w:p>
    <w:p>
      <w:r>
        <w:t>未折现租赁收款额与租赁投资净额的调节表</w:t>
      </w:r>
    </w:p>
    <w:sdt>
      <w:sdtPr>
        <w:alias w:val="是否适用：未折现租赁收款额与租赁投资净额的调节表?[双击切换]"/>
        <w:tag w:val="_GBC_4a108274280e49bd8dc1cba49cff5159"/>
        <w:id w:val="7816"/>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b/>
          <w:szCs w:val="21"/>
        </w:rPr>
      </w:pPr>
    </w:p>
    <w:p>
      <w:r>
        <w:t>未来五年</w:t>
      </w:r>
      <w:r>
        <w:rPr>
          <w:rFonts w:hint="eastAsia"/>
        </w:rPr>
        <w:t>未</w:t>
      </w:r>
      <w:r>
        <w:t>折现租赁收款额</w:t>
      </w:r>
    </w:p>
    <w:sdt>
      <w:sdtPr>
        <w:alias w:val="是否适用：未来五年未折现租赁收款额[双击切换]"/>
        <w:tag w:val="_GBC_60c95c043b424e188bd225c67d071e24"/>
        <w:id w:val="7817"/>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未来五年未折现租赁收款额"/>
          <w:tag w:val="_GBC_0f156e3ea1304df3873db3bede30ad62"/>
          <w:id w:val="781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rPr>
        </w:sdtEndPr>
        <w:sdtContent>
          <w:r>
            <w:rPr>
              <w:rFonts w:hint="eastAsia"/>
            </w:rPr>
            <w:t>元</w:t>
          </w:r>
        </w:sdtContent>
      </w:sdt>
      <w:r>
        <w:rPr>
          <w:rFonts w:hint="eastAsia"/>
        </w:rPr>
        <w:t xml:space="preserve">  币种：</w:t>
      </w:r>
      <w:sdt>
        <w:sdtPr>
          <w:rPr>
            <w:rFonts w:hint="eastAsia"/>
          </w:rPr>
          <w:alias w:val="币种：未来五年未折现租赁收款额"/>
          <w:tag w:val="_GBC_c6bc418acd7c4195a868d98660aea070"/>
          <w:id w:val="7819"/>
          <w:placeholder>
            <w:docPart w:val="GBC22222222222222222222222222222"/>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rPr>
            <w:rFonts w:hint="eastAsia"/>
          </w:rPr>
        </w:sdtEndPr>
        <w:sdtContent>
          <w:r>
            <w:rPr>
              <w:rFonts w:hint="eastAsia"/>
            </w:rPr>
            <w:t>人民币</w:t>
          </w:r>
        </w:sdtContent>
      </w:sdt>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7"/>
        <w:gridCol w:w="3020"/>
        <w:gridCol w:w="3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7" w:type="dxa"/>
            <w:vMerge w:val="restart"/>
            <w:vAlign w:val="center"/>
          </w:tcPr>
          <w:sdt>
            <w:sdtPr>
              <w:tag w:val="_PLD_560236a8bfa1465babf4b80a6f3a5952"/>
              <w:id w:val="7820"/>
            </w:sdtPr>
            <w:sdtContent>
              <w:p>
                <w:pPr>
                  <w:widowControl w:val="0"/>
                  <w:jc w:val="center"/>
                  <w:rPr>
                    <w:szCs w:val="21"/>
                  </w:rPr>
                </w:pPr>
                <w:r>
                  <w:t>项目</w:t>
                </w:r>
              </w:p>
            </w:sdtContent>
          </w:sdt>
        </w:tc>
        <w:tc>
          <w:tcPr>
            <w:tcW w:w="6041" w:type="dxa"/>
            <w:gridSpan w:val="2"/>
            <w:vAlign w:val="center"/>
          </w:tcPr>
          <w:sdt>
            <w:sdtPr>
              <w:tag w:val="_PLD_8033e1b2cc4248e388fc610609fd3072"/>
              <w:id w:val="7821"/>
            </w:sdtPr>
            <w:sdtContent>
              <w:p>
                <w:pPr>
                  <w:widowControl w:val="0"/>
                  <w:jc w:val="center"/>
                  <w:rPr>
                    <w:szCs w:val="21"/>
                  </w:rPr>
                </w:pPr>
                <w:r>
                  <w:t>每年未折现租赁收款额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3007" w:type="dxa"/>
            <w:vMerge w:val="continue"/>
            <w:vAlign w:val="center"/>
          </w:tcPr>
          <w:p>
            <w:pPr>
              <w:widowControl w:val="0"/>
              <w:jc w:val="center"/>
              <w:rPr>
                <w:szCs w:val="21"/>
              </w:rPr>
            </w:pPr>
          </w:p>
        </w:tc>
        <w:tc>
          <w:tcPr>
            <w:tcW w:w="3020" w:type="dxa"/>
            <w:vAlign w:val="center"/>
          </w:tcPr>
          <w:sdt>
            <w:sdtPr>
              <w:tag w:val="_PLD_aa7174c8b0ee481a82f1c3b0d9dad318"/>
              <w:id w:val="7822"/>
            </w:sdtPr>
            <w:sdtContent>
              <w:p>
                <w:pPr>
                  <w:widowControl w:val="0"/>
                  <w:jc w:val="center"/>
                  <w:rPr>
                    <w:szCs w:val="21"/>
                  </w:rPr>
                </w:pPr>
                <w:r>
                  <w:rPr>
                    <w:szCs w:val="21"/>
                  </w:rPr>
                  <w:t>期末金额</w:t>
                </w:r>
              </w:p>
            </w:sdtContent>
          </w:sdt>
        </w:tc>
        <w:tc>
          <w:tcPr>
            <w:tcW w:w="3022" w:type="dxa"/>
            <w:vAlign w:val="center"/>
          </w:tcPr>
          <w:sdt>
            <w:sdtPr>
              <w:tag w:val="_PLD_49845ad07dee412bae11c7401d0be7c8"/>
              <w:id w:val="7823"/>
            </w:sdtPr>
            <w:sdtContent>
              <w:p>
                <w:pPr>
                  <w:widowControl w:val="0"/>
                  <w:jc w:val="center"/>
                  <w:rPr>
                    <w:szCs w:val="21"/>
                  </w:rPr>
                </w:pPr>
                <w:r>
                  <w:rPr>
                    <w:szCs w:val="21"/>
                  </w:rPr>
                  <w:t>期初金额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7" w:type="dxa"/>
            <w:vAlign w:val="center"/>
          </w:tcPr>
          <w:p>
            <w:pPr>
              <w:widowControl w:val="0"/>
              <w:jc w:val="both"/>
              <w:rPr>
                <w:szCs w:val="21"/>
              </w:rPr>
            </w:pPr>
            <w:r>
              <w:t>第一年</w:t>
            </w:r>
          </w:p>
        </w:tc>
        <w:tc>
          <w:tcPr>
            <w:tcW w:w="3020" w:type="dxa"/>
            <w:vAlign w:val="center"/>
          </w:tcPr>
          <w:p>
            <w:pPr>
              <w:widowControl w:val="0"/>
              <w:jc w:val="right"/>
              <w:rPr>
                <w:szCs w:val="21"/>
              </w:rPr>
            </w:pPr>
          </w:p>
        </w:tc>
        <w:tc>
          <w:tcPr>
            <w:tcW w:w="3022" w:type="dxa"/>
            <w:vAlign w:val="center"/>
          </w:tcPr>
          <w:p>
            <w:pPr>
              <w:widowControl w:val="0"/>
              <w:jc w:val="right"/>
              <w:rPr>
                <w:szCs w:val="21"/>
              </w:rPr>
            </w:pPr>
            <w:r>
              <w:rPr>
                <w:rFonts w:hint="eastAsia"/>
                <w:color w:val="auto"/>
              </w:rPr>
              <w:t>616,427.94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7" w:type="dxa"/>
            <w:vAlign w:val="center"/>
          </w:tcPr>
          <w:p>
            <w:pPr>
              <w:widowControl w:val="0"/>
              <w:jc w:val="both"/>
              <w:rPr>
                <w:szCs w:val="21"/>
              </w:rPr>
            </w:pPr>
            <w:r>
              <w:t>第二年</w:t>
            </w:r>
          </w:p>
        </w:tc>
        <w:tc>
          <w:tcPr>
            <w:tcW w:w="3020" w:type="dxa"/>
            <w:vAlign w:val="center"/>
          </w:tcPr>
          <w:p>
            <w:pPr>
              <w:widowControl w:val="0"/>
              <w:jc w:val="right"/>
              <w:rPr>
                <w:szCs w:val="21"/>
              </w:rPr>
            </w:pPr>
            <w:r>
              <w:rPr>
                <w:rFonts w:hint="eastAsia"/>
                <w:color w:val="auto"/>
              </w:rPr>
              <w:t>544,205.71</w:t>
            </w:r>
          </w:p>
        </w:tc>
        <w:tc>
          <w:tcPr>
            <w:tcW w:w="3022" w:type="dxa"/>
            <w:vAlign w:val="center"/>
          </w:tcPr>
          <w:p>
            <w:pPr>
              <w:widowControl w:val="0"/>
              <w:jc w:val="right"/>
              <w:rPr>
                <w:szCs w:val="21"/>
              </w:rPr>
            </w:pPr>
            <w:r>
              <w:rPr>
                <w:rFonts w:hint="eastAsia"/>
                <w:color w:val="auto"/>
              </w:rPr>
              <w:t>544,205.71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7" w:type="dxa"/>
            <w:vAlign w:val="center"/>
          </w:tcPr>
          <w:p>
            <w:pPr>
              <w:widowControl w:val="0"/>
              <w:jc w:val="both"/>
              <w:rPr>
                <w:szCs w:val="21"/>
              </w:rPr>
            </w:pPr>
            <w:r>
              <w:t>第三年</w:t>
            </w:r>
          </w:p>
        </w:tc>
        <w:tc>
          <w:tcPr>
            <w:tcW w:w="3020" w:type="dxa"/>
            <w:vAlign w:val="center"/>
          </w:tcPr>
          <w:p>
            <w:pPr>
              <w:widowControl w:val="0"/>
              <w:jc w:val="right"/>
              <w:rPr>
                <w:szCs w:val="21"/>
              </w:rPr>
            </w:pPr>
            <w:r>
              <w:rPr>
                <w:rFonts w:hint="eastAsia"/>
                <w:color w:val="auto"/>
              </w:rPr>
              <w:t>544,205.71</w:t>
            </w:r>
          </w:p>
        </w:tc>
        <w:tc>
          <w:tcPr>
            <w:tcW w:w="3022" w:type="dxa"/>
            <w:vAlign w:val="center"/>
          </w:tcPr>
          <w:p>
            <w:pPr>
              <w:widowControl w:val="0"/>
              <w:jc w:val="right"/>
              <w:rPr>
                <w:szCs w:val="21"/>
              </w:rPr>
            </w:pPr>
            <w:r>
              <w:rPr>
                <w:rFonts w:hint="eastAsia"/>
                <w:color w:val="auto"/>
              </w:rPr>
              <w:t>544,205.71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7" w:type="dxa"/>
            <w:vAlign w:val="center"/>
          </w:tcPr>
          <w:p>
            <w:pPr>
              <w:widowControl w:val="0"/>
              <w:jc w:val="both"/>
              <w:rPr>
                <w:szCs w:val="21"/>
              </w:rPr>
            </w:pPr>
            <w:r>
              <w:t>五年后未折现租赁收款额总额</w:t>
            </w:r>
          </w:p>
        </w:tc>
        <w:tc>
          <w:tcPr>
            <w:tcW w:w="3020" w:type="dxa"/>
            <w:vAlign w:val="center"/>
          </w:tcPr>
          <w:p>
            <w:pPr>
              <w:widowControl w:val="0"/>
              <w:jc w:val="right"/>
              <w:rPr>
                <w:szCs w:val="21"/>
              </w:rPr>
            </w:pPr>
            <w:r>
              <w:rPr>
                <w:rFonts w:hint="eastAsia"/>
                <w:color w:val="auto"/>
              </w:rPr>
              <w:t>1,088,411.42</w:t>
            </w:r>
          </w:p>
        </w:tc>
        <w:tc>
          <w:tcPr>
            <w:tcW w:w="3022" w:type="dxa"/>
            <w:vAlign w:val="center"/>
          </w:tcPr>
          <w:p>
            <w:pPr>
              <w:widowControl w:val="0"/>
              <w:jc w:val="right"/>
              <w:rPr>
                <w:szCs w:val="21"/>
              </w:rPr>
            </w:pPr>
            <w:r>
              <w:rPr>
                <w:rFonts w:hint="eastAsia"/>
                <w:color w:val="auto"/>
              </w:rPr>
              <w:t>1,704,839.37</w:t>
            </w:r>
          </w:p>
        </w:tc>
      </w:tr>
    </w:tbl>
    <w:p>
      <w:pPr>
        <w:rPr>
          <w:b/>
          <w:szCs w:val="21"/>
        </w:rPr>
      </w:pPr>
    </w:p>
    <w:p>
      <w:pPr>
        <w:pStyle w:val="5"/>
        <w:numPr>
          <w:ilvl w:val="0"/>
          <w:numId w:val="105"/>
        </w:numPr>
        <w:ind w:left="0" w:firstLine="0"/>
        <w:rPr>
          <w:rFonts w:hint="eastAsia"/>
        </w:rPr>
      </w:pPr>
      <w:r>
        <w:t>作为生产商或经销商确认融资租赁销售损益</w:t>
      </w:r>
    </w:p>
    <w:sdt>
      <w:sdtPr>
        <w:alias w:val="是否适用：作为生产商或经销商确认融资租赁销售损益[双击切换]"/>
        <w:tag w:val="_GBC_595c7ca108a34d50bffdd3e765cca466"/>
        <w:id w:val="7824"/>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rPr>
          <w:rFonts w:hint="eastAsia"/>
        </w:rPr>
        <w:t>其他说明：</w:t>
      </w:r>
    </w:p>
    <w:sdt>
      <w:sdtPr>
        <w:alias w:val="租赁其他说明"/>
        <w:tag w:val="_GBC_c4951ce943a04c5e965df092a40963b7"/>
        <w:id w:val="7825"/>
        <w:placeholder>
          <w:docPart w:val="GBC22222222222222222222222222222"/>
        </w:placeholder>
      </w:sdtPr>
      <w:sdtContent>
        <w:p>
          <w:r>
            <w:t>无</w:t>
          </w:r>
        </w:p>
      </w:sdtContent>
    </w:sdt>
    <w:p/>
    <w:p>
      <w:pPr>
        <w:pStyle w:val="4"/>
        <w:numPr>
          <w:ilvl w:val="0"/>
          <w:numId w:val="62"/>
        </w:numPr>
        <w:tabs>
          <w:tab w:val="left" w:pos="504"/>
        </w:tabs>
        <w:rPr>
          <w:rFonts w:hint="eastAsia" w:ascii="宋体" w:hAnsi="宋体"/>
          <w:color w:val="000000" w:themeColor="text1"/>
          <w14:textFill>
            <w14:solidFill>
              <w14:schemeClr w14:val="tx1"/>
            </w14:solidFill>
          </w14:textFill>
        </w:rPr>
      </w:pPr>
      <w:bookmarkStart w:id="361" w:name="_Hlk182485828"/>
      <w:r>
        <w:rPr>
          <w:rFonts w:hint="eastAsia" w:ascii="宋体" w:hAnsi="宋体"/>
          <w:color w:val="000000" w:themeColor="text1"/>
          <w14:textFill>
            <w14:solidFill>
              <w14:schemeClr w14:val="tx1"/>
            </w14:solidFill>
          </w14:textFill>
        </w:rPr>
        <w:t>数据资源</w:t>
      </w:r>
    </w:p>
    <w:sdt>
      <w:sdtPr>
        <w:rPr>
          <w:color w:val="000000" w:themeColor="text1"/>
          <w14:textFill>
            <w14:solidFill>
              <w14:schemeClr w14:val="tx1"/>
            </w14:solidFill>
          </w14:textFill>
        </w:rPr>
        <w:alias w:val="是否适用：附注数据资源需要说明的事项[双击切换]"/>
        <w:tag w:val="_GBC_a8e8280e20f44ceba7092d703f59659a"/>
        <w:id w:val="7826"/>
        <w:placeholder>
          <w:docPart w:val="GBC22222222222222222222222222222"/>
        </w:placeholder>
      </w:sdtPr>
      <w:sdtEndPr>
        <w:rPr>
          <w:color w:val="000000" w:themeColor="text1"/>
          <w14:textFill>
            <w14:solidFill>
              <w14:schemeClr w14:val="tx1"/>
            </w14:solidFill>
          </w14:textFill>
        </w:rPr>
      </w:sdtEndPr>
      <w:sdtContent>
        <w:p>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p>
      <w:pPr>
        <w:rPr>
          <w:color w:val="000000" w:themeColor="text1"/>
          <w14:textFill>
            <w14:solidFill>
              <w14:schemeClr w14:val="tx1"/>
            </w14:solidFill>
          </w14:textFill>
        </w:rPr>
      </w:pPr>
    </w:p>
    <w:bookmarkEnd w:id="361"/>
    <w:p>
      <w:pPr>
        <w:pStyle w:val="4"/>
        <w:numPr>
          <w:ilvl w:val="0"/>
          <w:numId w:val="62"/>
        </w:numPr>
        <w:tabs>
          <w:tab w:val="left" w:pos="504"/>
        </w:tabs>
      </w:pPr>
      <w:r>
        <w:rPr>
          <w:rFonts w:hint="eastAsia"/>
        </w:rPr>
        <w:t>其他</w:t>
      </w:r>
    </w:p>
    <w:sdt>
      <w:sdtPr>
        <w:alias w:val="是否适用：合并财务报表项目注释其他需要说明的事项[双击切换]"/>
        <w:tag w:val="_GBC_67815da71293483fad0e823098235edb"/>
        <w:id w:val="7827"/>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sdt>
      <w:sdtPr>
        <w:tag w:val="_PLD_e009033c7cae4d21a71e1aae4a3a6059"/>
        <w:id w:val="7828"/>
      </w:sdtPr>
      <w:sdtEndPr>
        <w:rPr>
          <w:rFonts w:ascii="Arial" w:hAnsi="Arial" w:cs="Times New Roman"/>
          <w:b/>
          <w:bCs/>
          <w:kern w:val="2"/>
          <w:szCs w:val="21"/>
        </w:rPr>
      </w:sdtEndPr>
      <w:sdtContent>
        <w:p>
          <w:pPr>
            <w:pStyle w:val="3"/>
            <w:numPr>
              <w:ilvl w:val="0"/>
              <w:numId w:val="52"/>
            </w:numPr>
          </w:pPr>
          <w:bookmarkStart w:id="362" w:name="_Hlk40108415"/>
          <w:r>
            <w:rPr>
              <w:rFonts w:hint="eastAsia"/>
            </w:rPr>
            <w:t>研发支出</w:t>
          </w:r>
        </w:p>
      </w:sdtContent>
    </w:sdt>
    <w:p>
      <w:pPr>
        <w:pStyle w:val="4"/>
        <w:numPr>
          <w:ilvl w:val="0"/>
          <w:numId w:val="106"/>
        </w:numPr>
      </w:pPr>
      <w:r>
        <w:rPr>
          <w:rFonts w:hint="eastAsia"/>
        </w:rPr>
        <w:t>按费用性质列示</w:t>
      </w:r>
    </w:p>
    <w:sdt>
      <w:sdtPr>
        <w:rPr>
          <w:szCs w:val="21"/>
        </w:rPr>
        <w:alias w:val="是否适用：研发费用[双击切换]"/>
        <w:tag w:val="_GBC_04b52b9f74d642ed996cff71b3380562"/>
        <w:id w:val="7829"/>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pStyle w:val="56"/>
        <w:ind w:left="420" w:firstLine="0" w:firstLineChars="0"/>
        <w:jc w:val="right"/>
        <w:rPr>
          <w:szCs w:val="21"/>
        </w:rPr>
      </w:pPr>
      <w:r>
        <w:rPr>
          <w:rFonts w:hint="eastAsia"/>
          <w:szCs w:val="21"/>
        </w:rPr>
        <w:t>单位：</w:t>
      </w:r>
      <w:sdt>
        <w:sdtPr>
          <w:rPr>
            <w:rFonts w:hint="eastAsia"/>
            <w:szCs w:val="21"/>
          </w:rPr>
          <w:alias w:val="单位：研发费用"/>
          <w:tag w:val="_GBC_cf8eb084313b4a1daa3dbb7d47c6cc60"/>
          <w:id w:val="783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研发费用"/>
          <w:tag w:val="_GBC_572bef247e4247e09454933a69c36e65"/>
          <w:id w:val="783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5"/>
        <w:gridCol w:w="2604"/>
        <w:gridCol w:w="2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sdt>
            <w:sdtPr>
              <w:tag w:val="_PLD_373a371c2fc74073850def05593a1e6b"/>
              <w:id w:val="7832"/>
            </w:sdtPr>
            <w:sdtContent>
              <w:p>
                <w:pPr>
                  <w:jc w:val="center"/>
                  <w:rPr>
                    <w:szCs w:val="21"/>
                  </w:rPr>
                </w:pPr>
                <w:r>
                  <w:rPr>
                    <w:rFonts w:hint="eastAsia"/>
                    <w:szCs w:val="21"/>
                  </w:rPr>
                  <w:t>项目</w:t>
                </w:r>
              </w:p>
            </w:sdtContent>
          </w:sdt>
        </w:tc>
        <w:tc>
          <w:tcPr>
            <w:tcW w:w="2604" w:type="dxa"/>
            <w:tcBorders>
              <w:top w:val="single" w:color="auto" w:sz="4" w:space="0"/>
              <w:left w:val="single" w:color="auto" w:sz="4" w:space="0"/>
              <w:bottom w:val="single" w:color="auto" w:sz="4" w:space="0"/>
              <w:right w:val="single" w:color="auto" w:sz="4" w:space="0"/>
            </w:tcBorders>
            <w:vAlign w:val="center"/>
          </w:tcPr>
          <w:sdt>
            <w:sdtPr>
              <w:tag w:val="_PLD_6822cfd6a9f74188bf87ee408083b254"/>
              <w:id w:val="7833"/>
            </w:sdtPr>
            <w:sdtContent>
              <w:p>
                <w:pPr>
                  <w:jc w:val="center"/>
                  <w:rPr>
                    <w:szCs w:val="21"/>
                  </w:rPr>
                </w:pPr>
                <w:r>
                  <w:rPr>
                    <w:rFonts w:hint="eastAsia"/>
                    <w:szCs w:val="21"/>
                  </w:rPr>
                  <w:t>本期发生额</w:t>
                </w:r>
              </w:p>
            </w:sdtContent>
          </w:sdt>
        </w:tc>
        <w:tc>
          <w:tcPr>
            <w:tcW w:w="2439" w:type="dxa"/>
            <w:tcBorders>
              <w:top w:val="single" w:color="auto" w:sz="4" w:space="0"/>
              <w:left w:val="single" w:color="auto" w:sz="4" w:space="0"/>
              <w:bottom w:val="single" w:color="auto" w:sz="4" w:space="0"/>
              <w:right w:val="single" w:color="auto" w:sz="4" w:space="0"/>
            </w:tcBorders>
            <w:vAlign w:val="center"/>
          </w:tcPr>
          <w:sdt>
            <w:sdtPr>
              <w:tag w:val="_PLD_9179c21572a24986aa54bad16a61a225"/>
              <w:id w:val="7834"/>
            </w:sdtPr>
            <w:sdtContent>
              <w:p>
                <w:pPr>
                  <w:jc w:val="center"/>
                  <w:rPr>
                    <w:szCs w:val="21"/>
                  </w:rPr>
                </w:pPr>
                <w:r>
                  <w:rPr>
                    <w:rFonts w:hint="eastAsia"/>
                    <w:szCs w:val="21"/>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职工薪酬</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10,369,835.59</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9,150,687.46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服务费</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3,792,494.32</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2,669,782.79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物料消耗</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839,389.53</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967,965.64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折旧及摊销</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939,472.74</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964,021.57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水电汽费用</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302,039.96</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322,973.32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差旅费</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352,725.10</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282,413.13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rPr>
              <w:t>其他</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rPr>
                <w:rFonts w:hint="eastAsia" w:eastAsia="宋体"/>
                <w:szCs w:val="21"/>
                <w:lang w:val="en-US" w:eastAsia="zh-CN"/>
              </w:rPr>
            </w:pPr>
            <w:r>
              <w:rPr>
                <w:rFonts w:hint="eastAsia"/>
                <w:color w:val="auto"/>
              </w:rPr>
              <w:t>2,503,058.9</w:t>
            </w:r>
            <w:r>
              <w:rPr>
                <w:rFonts w:hint="eastAsia"/>
                <w:color w:val="auto"/>
                <w:lang w:val="en-US" w:eastAsia="zh-CN"/>
              </w:rPr>
              <w:t>0</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2,967,877.49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合计</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19,099,016.14</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17,325,721.40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5" w:type="dxa"/>
            <w:tcBorders>
              <w:top w:val="single" w:color="auto" w:sz="4" w:space="0"/>
              <w:left w:val="single" w:color="auto" w:sz="4" w:space="0"/>
              <w:bottom w:val="single" w:color="auto" w:sz="4" w:space="0"/>
              <w:right w:val="single" w:color="auto" w:sz="4" w:space="0"/>
            </w:tcBorders>
            <w:vAlign w:val="center"/>
          </w:tcPr>
          <w:p>
            <w:r>
              <w:rPr>
                <w:rFonts w:hint="eastAsia"/>
              </w:rPr>
              <w:t>其中：费用化研发支出</w:t>
            </w:r>
          </w:p>
        </w:tc>
        <w:tc>
          <w:tcPr>
            <w:tcW w:w="260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19,099,016.14</w:t>
            </w:r>
          </w:p>
        </w:tc>
        <w:tc>
          <w:tcPr>
            <w:tcW w:w="243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17,325,721.40</w:t>
            </w:r>
          </w:p>
        </w:tc>
      </w:tr>
    </w:tbl>
    <w:p>
      <w:pPr>
        <w:rPr>
          <w:szCs w:val="21"/>
        </w:rPr>
      </w:pPr>
      <w:r>
        <w:rPr>
          <w:rFonts w:hint="eastAsia"/>
          <w:szCs w:val="21"/>
        </w:rPr>
        <w:t>其他说明：</w:t>
      </w:r>
    </w:p>
    <w:sdt>
      <w:sdtPr>
        <w:alias w:val="研发支出按费用性质列示的其他说明"/>
        <w:tag w:val="_GBC_832f0bcbd22345ddb2d8bda2e55f93da"/>
        <w:id w:val="7835"/>
        <w:placeholder>
          <w:docPart w:val="GBC22222222222222222222222222222"/>
        </w:placeholder>
      </w:sdtPr>
      <w:sdtContent>
        <w:p>
          <w:r>
            <w:t>无</w:t>
          </w:r>
        </w:p>
      </w:sdtContent>
    </w:sdt>
    <w:p/>
    <w:bookmarkEnd w:id="362"/>
    <w:p>
      <w:pPr>
        <w:pStyle w:val="4"/>
        <w:numPr>
          <w:ilvl w:val="0"/>
          <w:numId w:val="106"/>
        </w:numPr>
      </w:pPr>
      <w:bookmarkStart w:id="363" w:name="_Hlk153266294"/>
      <w:r>
        <w:t>符合资本化条件的研发项目</w:t>
      </w:r>
      <w:r>
        <w:rPr>
          <w:rFonts w:hint="eastAsia"/>
        </w:rPr>
        <w:t>开发支出</w:t>
      </w:r>
    </w:p>
    <w:sdt>
      <w:sdtPr>
        <w:alias w:val="是否适用：开发支出[双击切换]"/>
        <w:tag w:val="_GBC_173f2bb3b2db483e82638801b8b2955b"/>
        <w:id w:val="7836"/>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napToGrid w:val="0"/>
        <w:spacing w:line="240" w:lineRule="atLeast"/>
        <w:rPr>
          <w:szCs w:val="21"/>
        </w:rPr>
      </w:pPr>
    </w:p>
    <w:bookmarkEnd w:id="363"/>
    <w:p>
      <w:pPr>
        <w:rPr>
          <w:szCs w:val="21"/>
        </w:rPr>
      </w:pPr>
      <w:r>
        <w:rPr>
          <w:szCs w:val="21"/>
        </w:rPr>
        <w:t>重要的资本化研发项目</w:t>
      </w:r>
    </w:p>
    <w:sdt>
      <w:sdtPr>
        <w:rPr>
          <w:szCs w:val="21"/>
        </w:rPr>
        <w:alias w:val="是否适用：重要的资本化研发项目[双击切换]"/>
        <w:tag w:val="_GBC_d1b90c9364924f2791f75c6b9a12139f"/>
        <w:id w:val="7837"/>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rPr>
          <w:szCs w:val="21"/>
        </w:rPr>
      </w:pPr>
      <w:r>
        <w:rPr>
          <w:szCs w:val="21"/>
        </w:rPr>
        <w:t>开发支出减值准备</w:t>
      </w:r>
    </w:p>
    <w:sdt>
      <w:sdtPr>
        <w:rPr>
          <w:szCs w:val="21"/>
        </w:rPr>
        <w:alias w:val="是否适用：开发支出减值准备[双击切换]"/>
        <w:tag w:val="_GBC_54eb6a513e574cfa85e9b90a1588b10f"/>
        <w:id w:val="7838"/>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rPr>
          <w:szCs w:val="21"/>
        </w:rPr>
      </w:pPr>
      <w:r>
        <w:rPr>
          <w:rFonts w:hint="eastAsia"/>
          <w:szCs w:val="21"/>
        </w:rPr>
        <w:t>其他说明：</w:t>
      </w:r>
    </w:p>
    <w:sdt>
      <w:sdtPr>
        <w:alias w:val="符合资本化条件的研发项目开发支出的其他说明"/>
        <w:tag w:val="_GBC_3c7da8ec7a3a443ba6a37565a5e99433"/>
        <w:id w:val="7839"/>
        <w:placeholder>
          <w:docPart w:val="GBC22222222222222222222222222222"/>
        </w:placeholder>
      </w:sdtPr>
      <w:sdtContent>
        <w:p>
          <w:r>
            <w:t>无</w:t>
          </w:r>
        </w:p>
      </w:sdtContent>
    </w:sdt>
    <w:p>
      <w:pPr>
        <w:rPr>
          <w:szCs w:val="21"/>
        </w:rPr>
      </w:pPr>
    </w:p>
    <w:p>
      <w:pPr>
        <w:pStyle w:val="4"/>
        <w:numPr>
          <w:ilvl w:val="0"/>
          <w:numId w:val="106"/>
        </w:numPr>
      </w:pPr>
      <w:r>
        <w:t>重要的外购在研项目</w:t>
      </w:r>
    </w:p>
    <w:sdt>
      <w:sdtPr>
        <w:rPr>
          <w:szCs w:val="21"/>
        </w:rPr>
        <w:alias w:val="是否适用：重要的外购在研项目[双击切换]"/>
        <w:tag w:val="_GBC_8385c2c52dfe44b6b2522468b8800584"/>
        <w:id w:val="7840"/>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sdt>
      <w:sdtPr>
        <w:tag w:val="_PLD_e4dc61cf1831402ca3812e876db271aa"/>
        <w:id w:val="7841"/>
      </w:sdtPr>
      <w:sdtContent>
        <w:p>
          <w:pPr>
            <w:pStyle w:val="3"/>
            <w:numPr>
              <w:ilvl w:val="0"/>
              <w:numId w:val="52"/>
            </w:numPr>
          </w:pPr>
          <w:r>
            <w:rPr>
              <w:rFonts w:hint="eastAsia"/>
            </w:rPr>
            <w:t>合并范围的变更</w:t>
          </w:r>
        </w:p>
      </w:sdtContent>
    </w:sdt>
    <w:p>
      <w:pPr>
        <w:pStyle w:val="4"/>
        <w:numPr>
          <w:ilvl w:val="0"/>
          <w:numId w:val="107"/>
        </w:numPr>
        <w:rPr>
          <w:rFonts w:hint="eastAsia" w:ascii="宋体" w:hAnsi="宋体" w:cs="Arial"/>
          <w:szCs w:val="21"/>
        </w:rPr>
      </w:pPr>
      <w:r>
        <w:rPr>
          <w:rFonts w:hint="eastAsia" w:ascii="宋体" w:hAnsi="宋体" w:cs="Arial"/>
          <w:szCs w:val="21"/>
        </w:rPr>
        <w:t>非同一控制下企业合并</w:t>
      </w:r>
    </w:p>
    <w:sdt>
      <w:sdtPr>
        <w:alias w:val="是否适用：非同一控制下企业合并[双击切换]"/>
        <w:tag w:val="_GBC_f305adddf4654659bd28ceedc072aa05"/>
        <w:id w:val="7842"/>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sdt>
      <w:sdtPr>
        <w:tag w:val="_PLD_7e9568a7e72643d49c43051228cceb8c"/>
        <w:id w:val="7843"/>
      </w:sdtPr>
      <w:sdtContent>
        <w:p>
          <w:pPr>
            <w:pStyle w:val="4"/>
            <w:numPr>
              <w:ilvl w:val="0"/>
              <w:numId w:val="107"/>
            </w:numPr>
            <w:rPr>
              <w:rFonts w:hint="eastAsia" w:ascii="宋体" w:hAnsi="宋体" w:cs="Arial"/>
              <w:szCs w:val="21"/>
            </w:rPr>
          </w:pPr>
          <w:r>
            <w:rPr>
              <w:rFonts w:hint="eastAsia" w:ascii="宋体" w:hAnsi="宋体" w:cs="Arial"/>
              <w:szCs w:val="21"/>
            </w:rPr>
            <w:t>同一控制下企业合并</w:t>
          </w:r>
        </w:p>
      </w:sdtContent>
    </w:sdt>
    <w:sdt>
      <w:sdtPr>
        <w:alias w:val="是否适用：同一控制下企业合并[双击切换]"/>
        <w:tag w:val="_GBC_698d1a451f094ec0bf9c3a278d26a0d3"/>
        <w:id w:val="784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pStyle w:val="4"/>
        <w:numPr>
          <w:ilvl w:val="0"/>
          <w:numId w:val="107"/>
        </w:numPr>
        <w:rPr>
          <w:rFonts w:hint="eastAsia" w:ascii="宋体" w:hAnsi="宋体" w:cs="Arial"/>
          <w:szCs w:val="21"/>
        </w:rPr>
      </w:pPr>
      <w:r>
        <w:rPr>
          <w:rFonts w:hint="eastAsia" w:ascii="宋体" w:hAnsi="宋体" w:cs="Arial"/>
          <w:szCs w:val="21"/>
        </w:rPr>
        <w:t>反向购买</w:t>
      </w:r>
    </w:p>
    <w:sdt>
      <w:sdtPr>
        <w:alias w:val="是否适用：反向购买[双击切换]"/>
        <w:tag w:val="_GBC_717fa638fefe45c09c1f2627ba167ee4"/>
        <w:id w:val="7845"/>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rFonts w:cs="Arial"/>
          <w:szCs w:val="21"/>
        </w:rPr>
      </w:pPr>
    </w:p>
    <w:p>
      <w:pPr>
        <w:rPr>
          <w:rFonts w:cs="Arial"/>
          <w:szCs w:val="21"/>
        </w:rPr>
        <w:sectPr>
          <w:pgSz w:w="11906" w:h="16838"/>
          <w:pgMar w:top="1440" w:right="1797" w:bottom="1525" w:left="1276" w:header="856" w:footer="992" w:gutter="0"/>
          <w:cols w:space="425" w:num="1"/>
          <w:docGrid w:linePitch="312" w:charSpace="0"/>
        </w:sectPr>
      </w:pPr>
    </w:p>
    <w:p>
      <w:pPr>
        <w:pStyle w:val="4"/>
        <w:numPr>
          <w:ilvl w:val="0"/>
          <w:numId w:val="107"/>
        </w:numPr>
        <w:rPr>
          <w:rFonts w:hint="eastAsia" w:ascii="宋体" w:hAnsi="宋体" w:cs="Arial"/>
          <w:szCs w:val="21"/>
        </w:rPr>
      </w:pPr>
      <w:r>
        <w:rPr>
          <w:rFonts w:hint="eastAsia" w:ascii="宋体" w:hAnsi="宋体" w:cs="Arial"/>
          <w:szCs w:val="21"/>
        </w:rPr>
        <w:t>处置子公司</w:t>
      </w:r>
    </w:p>
    <w:p>
      <w:r>
        <w:rPr>
          <w:rFonts w:hint="eastAsia"/>
        </w:rPr>
        <w:t>本期是否存在</w:t>
      </w:r>
      <w:r>
        <w:t>丧失</w:t>
      </w:r>
      <w:r>
        <w:rPr>
          <w:rFonts w:hint="eastAsia"/>
        </w:rPr>
        <w:t>子公司</w:t>
      </w:r>
      <w:r>
        <w:t>控制权</w:t>
      </w:r>
      <w:r>
        <w:rPr>
          <w:rFonts w:hint="eastAsia"/>
        </w:rPr>
        <w:t>的交易或事项</w:t>
      </w:r>
    </w:p>
    <w:sdt>
      <w:sdtPr>
        <w:rPr>
          <w:rFonts w:hint="eastAsia" w:cs="Arial"/>
          <w:szCs w:val="21"/>
        </w:rPr>
        <w:alias w:val="是否存在单次交易处置对子公司投资即丧失控制权的情形[双击切换]"/>
        <w:tag w:val="_GBC_34b271ee01844be4a0580269d95adcf3"/>
        <w:id w:val="7846"/>
        <w:placeholder>
          <w:docPart w:val="GBC22222222222222222222222222222"/>
        </w:placeholder>
      </w:sdtPr>
      <w:sdtEndPr>
        <w:rPr>
          <w:rFonts w:hint="eastAsia" w:cs="Arial"/>
          <w:szCs w:val="21"/>
        </w:rPr>
      </w:sdtEndPr>
      <w:sdtContent>
        <w:p>
          <w:pPr>
            <w:rPr>
              <w:rFonts w:cs="Arial"/>
              <w:szCs w:val="21"/>
            </w:rPr>
          </w:pPr>
          <w:r>
            <w:rPr>
              <w:rFonts w:ascii="宋体" w:hAnsi="宋体" w:cs="Arial"/>
              <w:szCs w:val="21"/>
            </w:rPr>
            <w:fldChar w:fldCharType="begin"/>
          </w:r>
          <w:r>
            <w:rPr>
              <w:rFonts w:hint="eastAsia" w:ascii="宋体" w:hAnsi="宋体" w:cs="Arial"/>
              <w:szCs w:val="21"/>
            </w:rPr>
            <w:instrText xml:space="preserve">MACROBUTTON  SnrToggleCheckbox □适用 </w:instrText>
          </w:r>
          <w:r>
            <w:rPr>
              <w:rFonts w:ascii="宋体" w:hAnsi="宋体" w:cs="Arial"/>
              <w:szCs w:val="21"/>
            </w:rPr>
            <w:fldChar w:fldCharType="end"/>
          </w:r>
          <w:r>
            <w:rPr>
              <w:rFonts w:ascii="宋体" w:hAnsi="宋体" w:cs="Arial"/>
              <w:szCs w:val="21"/>
            </w:rPr>
            <w:fldChar w:fldCharType="begin"/>
          </w:r>
          <w:r>
            <w:rPr>
              <w:rFonts w:ascii="宋体" w:hAnsi="宋体" w:cs="Arial"/>
              <w:szCs w:val="21"/>
            </w:rPr>
            <w:instrText xml:space="preserve"> MACROBUTTON  SnrToggleCheckbox √不适用 </w:instrText>
          </w:r>
          <w:r>
            <w:rPr>
              <w:rFonts w:ascii="宋体" w:hAnsi="宋体" w:cs="Arial"/>
              <w:szCs w:val="21"/>
            </w:rPr>
            <w:fldChar w:fldCharType="end"/>
          </w:r>
        </w:p>
      </w:sdtContent>
    </w:sdt>
    <w:p/>
    <w:p>
      <w:pPr>
        <w:rPr>
          <w:rFonts w:cs="Arial"/>
          <w:color w:val="000000"/>
          <w:szCs w:val="21"/>
        </w:rPr>
      </w:pPr>
      <w:r>
        <w:rPr>
          <w:rFonts w:hint="eastAsia" w:cs="Arial"/>
          <w:color w:val="000000"/>
          <w:szCs w:val="21"/>
        </w:rPr>
        <w:t>其他说明：</w:t>
      </w:r>
    </w:p>
    <w:sdt>
      <w:sdtPr>
        <w:rPr>
          <w:rFonts w:cs="Arial"/>
          <w:color w:val="000000"/>
          <w:szCs w:val="21"/>
        </w:rPr>
        <w:alias w:val="是否适用：单次交易处置对子公司投资即丧失控制权的情形的说明[双击切换]"/>
        <w:tag w:val="_GBC_e9745370c40b4780b36f3f18da05201e"/>
        <w:id w:val="7847"/>
        <w:placeholder>
          <w:docPart w:val="GBC22222222222222222222222222222"/>
        </w:placeholder>
      </w:sdtPr>
      <w:sdtEndPr>
        <w:rPr>
          <w:rFonts w:cs="Arial"/>
          <w:color w:val="000000"/>
          <w:szCs w:val="21"/>
        </w:rPr>
      </w:sdtEndPr>
      <w:sdtContent>
        <w:p>
          <w:pPr>
            <w:rPr>
              <w:rFonts w:cs="Arial"/>
              <w:color w:val="000000"/>
              <w:szCs w:val="21"/>
            </w:rPr>
          </w:pPr>
          <w:r>
            <w:rPr>
              <w:rFonts w:ascii="宋体" w:hAnsi="宋体" w:cs="Arial"/>
              <w:color w:val="000000"/>
              <w:szCs w:val="21"/>
            </w:rPr>
            <w:fldChar w:fldCharType="begin"/>
          </w:r>
          <w:r>
            <w:rPr>
              <w:rFonts w:hint="eastAsia" w:ascii="宋体" w:hAnsi="宋体" w:cs="Arial"/>
              <w:color w:val="000000"/>
              <w:szCs w:val="21"/>
            </w:rPr>
            <w:instrText xml:space="preserve">MACROBUTTON  SnrToggleCheckbox □适用 </w:instrText>
          </w:r>
          <w:r>
            <w:rPr>
              <w:rFonts w:ascii="宋体" w:hAnsi="宋体" w:cs="Arial"/>
              <w:color w:val="000000"/>
              <w:szCs w:val="21"/>
            </w:rPr>
            <w:fldChar w:fldCharType="end"/>
          </w:r>
          <w:r>
            <w:rPr>
              <w:rFonts w:ascii="宋体" w:hAnsi="宋体" w:cs="Arial"/>
              <w:color w:val="000000"/>
              <w:szCs w:val="21"/>
            </w:rPr>
            <w:fldChar w:fldCharType="begin"/>
          </w:r>
          <w:r>
            <w:rPr>
              <w:rFonts w:ascii="宋体" w:hAnsi="宋体" w:cs="Arial"/>
              <w:color w:val="000000"/>
              <w:szCs w:val="21"/>
            </w:rPr>
            <w:instrText xml:space="preserve"> MACROBUTTON  SnrToggleCheckbox √不适用 </w:instrText>
          </w:r>
          <w:r>
            <w:rPr>
              <w:rFonts w:ascii="宋体" w:hAnsi="宋体" w:cs="Arial"/>
              <w:color w:val="000000"/>
              <w:szCs w:val="21"/>
            </w:rPr>
            <w:fldChar w:fldCharType="end"/>
          </w:r>
        </w:p>
      </w:sdtContent>
    </w:sdt>
    <w:p>
      <w:pPr>
        <w:pStyle w:val="15"/>
        <w:rPr>
          <w:color w:val="000000"/>
        </w:rPr>
      </w:pPr>
    </w:p>
    <w:p>
      <w:pPr>
        <w:rPr>
          <w:rFonts w:cs="Arial"/>
          <w:szCs w:val="21"/>
        </w:rPr>
      </w:pPr>
      <w:bookmarkStart w:id="364" w:name="_Hlk153549147"/>
      <w:r>
        <w:rPr>
          <w:rFonts w:hint="eastAsia" w:cs="Arial"/>
          <w:szCs w:val="21"/>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4b70a49fc9804e569104ce532e1e0bd8"/>
        <w:id w:val="7848"/>
        <w:placeholder>
          <w:docPart w:val="GBC22222222222222222222222222222"/>
        </w:placeholder>
      </w:sdtPr>
      <w:sdtEndPr>
        <w:rPr>
          <w:rFonts w:hint="eastAsia"/>
        </w:rPr>
      </w:sdtEndPr>
      <w:sdtContent>
        <w:p>
          <w:pPr>
            <w:pStyle w:val="15"/>
            <w:rPr>
              <w:color w:val="000000"/>
            </w:rPr>
          </w:pPr>
          <w:r>
            <w:rPr>
              <w:rFonts w:ascii="宋体" w:hAnsi="宋体"/>
              <w:color w:val="000000"/>
            </w:rPr>
            <w:fldChar w:fldCharType="begin"/>
          </w:r>
          <w:r>
            <w:rPr>
              <w:rFonts w:hint="eastAsia" w:ascii="宋体" w:hAnsi="宋体"/>
              <w:color w:val="000000"/>
            </w:rPr>
            <w:instrText xml:space="preserve">MACROBUTTON  SnrToggleCheckbox □适用 </w:instrText>
          </w:r>
          <w:r>
            <w:rPr>
              <w:rFonts w:ascii="宋体" w:hAnsi="宋体"/>
              <w:color w:val="000000"/>
            </w:rPr>
            <w:fldChar w:fldCharType="end"/>
          </w:r>
          <w:r>
            <w:rPr>
              <w:rFonts w:ascii="宋体" w:hAnsi="宋体"/>
              <w:color w:val="000000"/>
            </w:rPr>
            <w:fldChar w:fldCharType="begin"/>
          </w:r>
          <w:r>
            <w:rPr>
              <w:rFonts w:ascii="宋体" w:hAnsi="宋体"/>
              <w:color w:val="000000"/>
            </w:rPr>
            <w:instrText xml:space="preserve"> MACROBUTTON  SnrToggleCheckbox √不适用 </w:instrText>
          </w:r>
          <w:r>
            <w:rPr>
              <w:rFonts w:ascii="宋体" w:hAnsi="宋体"/>
              <w:color w:val="000000"/>
            </w:rPr>
            <w:fldChar w:fldCharType="end"/>
          </w:r>
        </w:p>
      </w:sdtContent>
    </w:sdt>
    <w:p/>
    <w:bookmarkEnd w:id="364"/>
    <w:p>
      <w:pPr>
        <w:rPr>
          <w:rFonts w:cs="Arial"/>
          <w:color w:val="000000"/>
          <w:szCs w:val="21"/>
        </w:rPr>
      </w:pPr>
      <w:r>
        <w:rPr>
          <w:rFonts w:hint="eastAsia" w:cs="Arial"/>
          <w:color w:val="000000"/>
          <w:szCs w:val="21"/>
        </w:rPr>
        <w:t>其他说明：</w:t>
      </w:r>
    </w:p>
    <w:sdt>
      <w:sdtPr>
        <w:rPr>
          <w:rFonts w:cs="Arial"/>
          <w:color w:val="000000"/>
          <w:szCs w:val="21"/>
        </w:rPr>
        <w:alias w:val="是否适用：是否存在通过多次交易分步处置对子公司投资且在本期丧失控制权的情形的说明[双击切换]"/>
        <w:tag w:val="_GBC_c934ae55b23744bba8048538d6771d0e"/>
        <w:id w:val="7849"/>
        <w:placeholder>
          <w:docPart w:val="GBC22222222222222222222222222222"/>
        </w:placeholder>
      </w:sdtPr>
      <w:sdtEndPr>
        <w:rPr>
          <w:rFonts w:cs="Arial"/>
          <w:color w:val="000000"/>
          <w:szCs w:val="21"/>
        </w:rPr>
      </w:sdtEndPr>
      <w:sdtContent>
        <w:p>
          <w:pPr>
            <w:rPr>
              <w:rFonts w:cs="Arial"/>
              <w:color w:val="000000"/>
              <w:szCs w:val="21"/>
            </w:rPr>
          </w:pPr>
          <w:r>
            <w:rPr>
              <w:rFonts w:ascii="宋体" w:hAnsi="宋体" w:cs="Arial"/>
              <w:color w:val="000000"/>
              <w:szCs w:val="21"/>
            </w:rPr>
            <w:fldChar w:fldCharType="begin"/>
          </w:r>
          <w:r>
            <w:rPr>
              <w:rFonts w:ascii="宋体" w:hAnsi="宋体" w:cs="Arial"/>
              <w:color w:val="000000"/>
              <w:szCs w:val="21"/>
            </w:rPr>
            <w:instrText xml:space="preserve"> MACROBUTTON  SnrToggleCheckbox □适用 </w:instrText>
          </w:r>
          <w:r>
            <w:rPr>
              <w:rFonts w:ascii="宋体" w:hAnsi="宋体" w:cs="Arial"/>
              <w:color w:val="000000"/>
              <w:szCs w:val="21"/>
            </w:rPr>
            <w:fldChar w:fldCharType="end"/>
          </w:r>
          <w:r>
            <w:rPr>
              <w:rFonts w:ascii="宋体" w:hAnsi="宋体" w:cs="Arial"/>
              <w:color w:val="000000"/>
              <w:szCs w:val="21"/>
            </w:rPr>
            <w:fldChar w:fldCharType="begin"/>
          </w:r>
          <w:r>
            <w:rPr>
              <w:rFonts w:ascii="宋体" w:hAnsi="宋体" w:cs="Arial"/>
              <w:color w:val="000000"/>
              <w:szCs w:val="21"/>
            </w:rPr>
            <w:instrText xml:space="preserve"> MACROBUTTON  SnrToggleCheckbox √不适用 </w:instrText>
          </w:r>
          <w:r>
            <w:rPr>
              <w:rFonts w:ascii="宋体" w:hAnsi="宋体" w:cs="Arial"/>
              <w:color w:val="000000"/>
              <w:szCs w:val="21"/>
            </w:rPr>
            <w:fldChar w:fldCharType="end"/>
          </w:r>
        </w:p>
      </w:sdtContent>
    </w:sdt>
    <w:p>
      <w:pPr>
        <w:rPr>
          <w:rFonts w:ascii="Calibri" w:hAnsi="Calibri" w:cs="Arial"/>
          <w:color w:val="000000"/>
        </w:rPr>
      </w:pPr>
    </w:p>
    <w:p>
      <w:pPr>
        <w:pStyle w:val="4"/>
        <w:numPr>
          <w:ilvl w:val="0"/>
          <w:numId w:val="107"/>
        </w:numPr>
        <w:rPr>
          <w:rFonts w:cs="Arial" w:asciiTheme="minorHAnsi" w:hAnsiTheme="minorHAnsi" w:eastAsiaTheme="minorEastAsia"/>
          <w:color w:val="000000"/>
        </w:rPr>
      </w:pPr>
      <w:r>
        <w:rPr>
          <w:rFonts w:hint="eastAsia" w:cs="Arial" w:asciiTheme="minorHAnsi" w:hAnsiTheme="minorHAnsi" w:eastAsiaTheme="minorEastAsia"/>
          <w:color w:val="000000"/>
        </w:rPr>
        <w:t>其他原因的合并范围变动</w:t>
      </w:r>
    </w:p>
    <w:p>
      <w:r>
        <w:rPr>
          <w:rFonts w:hint="eastAsia"/>
        </w:rPr>
        <w:t>说明其他原因导致的合并范围变动（如，新设子公司、清算子公司等）及其相关情况：</w:t>
      </w:r>
    </w:p>
    <w:sdt>
      <w:sdtPr>
        <w:alias w:val="是否适用：其他原因导致的合并范围变动及其相关情况[双击切换]"/>
        <w:tag w:val="_GBC_a178c205f79f4941b8b4edb9c45db613"/>
        <w:id w:val="7850"/>
        <w:placeholder>
          <w:docPart w:val="GBC22222222222222222222222222222"/>
        </w:placeholder>
      </w:sdtPr>
      <w:sdtContent>
        <w:p>
          <w:r>
            <w:rPr>
              <w:rFonts w:ascii="宋体" w:hAnsi="宋体"/>
            </w:rPr>
            <w:fldChar w:fldCharType="begin"/>
          </w:r>
          <w:r>
            <w:rPr>
              <w:rFonts w:hint="eastAsia" w:ascii="宋体" w:hAnsi="宋体"/>
              <w:lang w:eastAsia="zh-CN"/>
            </w:rPr>
            <w:instrText xml:space="preserve">MACROBUTTON  SnrToggleCheckbox √适用 </w:instrText>
          </w:r>
          <w:r>
            <w:rPr>
              <w:rFonts w:ascii="宋体" w:hAnsi="宋体"/>
            </w:rPr>
            <w:fldChar w:fldCharType="end"/>
          </w:r>
          <w:r>
            <w:rPr>
              <w:rFonts w:ascii="宋体" w:hAnsi="宋体"/>
            </w:rPr>
            <w:fldChar w:fldCharType="begin"/>
          </w:r>
          <w:r>
            <w:rPr>
              <w:rFonts w:hint="eastAsia" w:ascii="宋体" w:hAnsi="宋体"/>
              <w:lang w:eastAsia="zh-CN"/>
            </w:rPr>
            <w:instrText xml:space="preserve"> MACROBUTTON  SnrToggleCheckbox □不适用 </w:instrText>
          </w:r>
          <w:r>
            <w:rPr>
              <w:rFonts w:ascii="宋体" w:hAnsi="宋体"/>
            </w:rPr>
            <w:fldChar w:fldCharType="end"/>
          </w:r>
        </w:p>
      </w:sdtContent>
    </w:sdt>
    <w:sdt>
      <w:sdtPr>
        <w:rPr>
          <w:rFonts w:hint="eastAsia" w:ascii="Times New Roman" w:hAnsi="Times New Roman" w:eastAsia="宋体"/>
          <w:sz w:val="21"/>
          <w:szCs w:val="21"/>
        </w:rPr>
        <w:alias w:val="其他原因的合并范围变动"/>
        <w:tag w:val="_GBC_3146fc6fdcf14cec8af7bcae81e1ef18"/>
        <w:id w:val="147457041"/>
        <w:placeholder>
          <w:docPart w:val="{bcb51c6b-14d8-48c7-be28-9d0f645d959e}"/>
        </w:placeholder>
      </w:sdtPr>
      <w:sdtEndPr>
        <w:rPr>
          <w:rFonts w:hint="eastAsia" w:cs="Arial" w:asciiTheme="minorHAnsi" w:hAnsiTheme="minorHAnsi" w:eastAsiaTheme="minorEastAsia"/>
          <w:color w:val="000000"/>
          <w:sz w:val="21"/>
          <w:szCs w:val="21"/>
        </w:rPr>
      </w:sdtEndPr>
      <w:sdtContent>
        <w:p>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cs="Arial" w:asciiTheme="minorHAnsi" w:hAnsiTheme="minorHAnsi" w:eastAsiaTheme="minorEastAsia"/>
              <w:color w:val="000000"/>
            </w:rPr>
          </w:pPr>
          <w:r>
            <w:rPr>
              <w:rFonts w:hint="eastAsia" w:ascii="Times New Roman" w:hAnsi="Times New Roman" w:eastAsia="宋体"/>
              <w:sz w:val="21"/>
              <w:szCs w:val="21"/>
            </w:rPr>
            <w:t>公司于2025年4月24日召开第八届董事会第二十七次会议，审议通过了《关于设立全资子公司的议案》，同意设立全资子公司柳州两面针供应链有限公司。并于2025年4月27日完成工商设立登记，注册资本为人民币200万元，柳州两面针股份有限公司占注册资本的100%，拥有对其控制权，故自该公司成立之日起，将其纳入合并财务报表范围。</w:t>
          </w:r>
        </w:p>
      </w:sdtContent>
    </w:sdt>
    <w:p>
      <w:pPr>
        <w:rPr>
          <w:rFonts w:cs="Arial" w:asciiTheme="minorHAnsi" w:hAnsiTheme="minorHAnsi" w:eastAsiaTheme="minorEastAsia"/>
          <w:color w:val="000000"/>
        </w:rPr>
      </w:pPr>
    </w:p>
    <w:p>
      <w:pPr>
        <w:pStyle w:val="4"/>
        <w:numPr>
          <w:ilvl w:val="0"/>
          <w:numId w:val="107"/>
        </w:numPr>
        <w:rPr>
          <w:rFonts w:hint="eastAsia" w:ascii="宋体" w:hAnsi="宋体" w:cs="Arial"/>
          <w:color w:val="000000"/>
        </w:rPr>
      </w:pPr>
      <w:r>
        <w:rPr>
          <w:rFonts w:hint="eastAsia" w:ascii="宋体" w:hAnsi="宋体" w:cs="Arial"/>
          <w:color w:val="000000"/>
        </w:rPr>
        <w:t>其他</w:t>
      </w:r>
    </w:p>
    <w:sdt>
      <w:sdtPr>
        <w:rPr>
          <w:rFonts w:hint="eastAsia" w:cs="Arial"/>
          <w:color w:val="000000"/>
        </w:rPr>
        <w:alias w:val="是否适用：合并范围的变更-其他说明[双击切换]"/>
        <w:tag w:val="_GBC_f93907dc64cd43f0a9e4c85b200aec0c"/>
        <w:id w:val="7851"/>
        <w:placeholder>
          <w:docPart w:val="GBC22222222222222222222222222222"/>
        </w:placeholder>
      </w:sdtPr>
      <w:sdtEndPr>
        <w:rPr>
          <w:rFonts w:hint="eastAsia" w:cs="Arial"/>
          <w:color w:val="000000"/>
        </w:rPr>
      </w:sdtEndPr>
      <w:sdtContent>
        <w:p>
          <w:pPr>
            <w:rPr>
              <w:rFonts w:cs="Arial"/>
              <w:color w:val="000000"/>
            </w:rPr>
          </w:pPr>
          <w:r>
            <w:rPr>
              <w:rFonts w:ascii="宋体" w:hAnsi="宋体" w:cs="Arial"/>
              <w:color w:val="000000"/>
            </w:rPr>
            <w:fldChar w:fldCharType="begin"/>
          </w:r>
          <w:r>
            <w:rPr>
              <w:rFonts w:ascii="宋体" w:hAnsi="宋体" w:cs="Arial"/>
              <w:color w:val="000000"/>
            </w:rPr>
            <w:instrText xml:space="preserve"> </w:instrText>
          </w:r>
          <w:r>
            <w:rPr>
              <w:rFonts w:hint="eastAsia" w:ascii="宋体" w:hAnsi="宋体" w:cs="Arial"/>
              <w:color w:val="000000"/>
            </w:rPr>
            <w:instrText xml:space="preserve">MACROBUTTON  SnrToggleCheckbox □适用 </w:instrText>
          </w:r>
          <w:r>
            <w:rPr>
              <w:rFonts w:ascii="宋体" w:hAnsi="宋体" w:cs="Arial"/>
              <w:color w:val="000000"/>
            </w:rPr>
            <w:fldChar w:fldCharType="end"/>
          </w:r>
          <w:r>
            <w:rPr>
              <w:rFonts w:ascii="宋体" w:hAnsi="宋体" w:cs="Arial"/>
              <w:color w:val="000000"/>
            </w:rPr>
            <w:fldChar w:fldCharType="begin"/>
          </w:r>
          <w:r>
            <w:rPr>
              <w:rFonts w:ascii="宋体" w:hAnsi="宋体" w:cs="Arial"/>
              <w:color w:val="000000"/>
            </w:rPr>
            <w:instrText xml:space="preserve"> MACROBUTTON  SnrToggleCheckbox √不适用 </w:instrText>
          </w:r>
          <w:r>
            <w:rPr>
              <w:rFonts w:ascii="宋体" w:hAnsi="宋体" w:cs="Arial"/>
              <w:color w:val="000000"/>
            </w:rPr>
            <w:fldChar w:fldCharType="end"/>
          </w:r>
        </w:p>
      </w:sdtContent>
    </w:sdt>
    <w:p>
      <w:pPr>
        <w:rPr>
          <w:rFonts w:cs="Arial"/>
          <w:color w:val="000000"/>
        </w:rPr>
      </w:pPr>
    </w:p>
    <w:p>
      <w:pPr>
        <w:rPr>
          <w:rFonts w:cs="Arial"/>
          <w:color w:val="000000"/>
        </w:rPr>
        <w:sectPr>
          <w:pgSz w:w="11906" w:h="16838"/>
          <w:pgMar w:top="1525" w:right="1276" w:bottom="1440" w:left="1797" w:header="856" w:footer="992" w:gutter="0"/>
          <w:cols w:space="425" w:num="1"/>
          <w:docGrid w:linePitch="312" w:charSpace="0"/>
        </w:sectPr>
      </w:pPr>
    </w:p>
    <w:sdt>
      <w:sdtPr>
        <w:tag w:val="_PLD_25f09271103d4e438bab9960f6cad465"/>
        <w:id w:val="7852"/>
      </w:sdtPr>
      <w:sdtContent>
        <w:p>
          <w:pPr>
            <w:pStyle w:val="3"/>
            <w:numPr>
              <w:ilvl w:val="0"/>
              <w:numId w:val="52"/>
            </w:numPr>
            <w:rPr>
              <w:rFonts w:hint="eastAsia" w:ascii="宋体" w:hAnsi="宋体"/>
            </w:rPr>
          </w:pPr>
          <w:r>
            <w:rPr>
              <w:rFonts w:hint="eastAsia" w:ascii="宋体" w:hAnsi="宋体"/>
            </w:rPr>
            <w:t>在其他主体中的权益</w:t>
          </w:r>
        </w:p>
      </w:sdtContent>
    </w:sdt>
    <w:p>
      <w:pPr>
        <w:pStyle w:val="4"/>
        <w:numPr>
          <w:ilvl w:val="2"/>
          <w:numId w:val="108"/>
        </w:numPr>
      </w:pPr>
      <w:r>
        <w:rPr>
          <w:rFonts w:hint="eastAsia"/>
        </w:rPr>
        <w:t>在子公司中的权益</w:t>
      </w:r>
    </w:p>
    <w:p>
      <w:pPr>
        <w:pStyle w:val="5"/>
        <w:numPr>
          <w:ilvl w:val="3"/>
          <w:numId w:val="109"/>
        </w:numPr>
        <w:ind w:left="424" w:hanging="426" w:hangingChars="202"/>
        <w:rPr>
          <w:rFonts w:hint="eastAsia"/>
        </w:rPr>
      </w:pPr>
      <w:r>
        <w:rPr>
          <w:rFonts w:hint="eastAsia"/>
        </w:rPr>
        <w:t>企业集团的构成</w:t>
      </w:r>
    </w:p>
    <w:sdt>
      <w:sdtPr>
        <w:alias w:val="是否适用：企业集团的构成[双击切换]"/>
        <w:tag w:val="_GBC_f4dcd24cd0a6465f817fe278addb6568"/>
        <w:id w:val="7853"/>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企业集团的构成"/>
          <w:tag w:val="_GBC_69130484488a4b33b14f19ef0f1abce9"/>
          <w:id w:val="7854"/>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rPr>
        </w:sdtEndPr>
        <w:sdtContent>
          <w:r>
            <w:rPr>
              <w:rFonts w:hint="eastAsia"/>
            </w:rPr>
            <w:t>元</w:t>
          </w:r>
        </w:sdtContent>
      </w:sdt>
      <w:r>
        <w:rPr>
          <w:rFonts w:hint="eastAsia"/>
        </w:rPr>
        <w:t xml:space="preserve">  币种：</w:t>
      </w:r>
      <w:sdt>
        <w:sdtPr>
          <w:rPr>
            <w:rFonts w:hint="eastAsia"/>
          </w:rPr>
          <w:alias w:val="币种：企业集团的构成"/>
          <w:tag w:val="_GBC_3be075e5c9a5407c89e1aab348039bf5"/>
          <w:id w:val="7855"/>
          <w:placeholder>
            <w:docPart w:val="GBC22222222222222222222222222222"/>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290"/>
        <w:gridCol w:w="1245"/>
        <w:gridCol w:w="1140"/>
        <w:gridCol w:w="1095"/>
        <w:gridCol w:w="810"/>
        <w:gridCol w:w="795"/>
        <w:gridCol w:w="1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302" w:type="dxa"/>
            <w:vMerge w:val="restart"/>
            <w:vAlign w:val="center"/>
          </w:tcPr>
          <w:sdt>
            <w:sdtPr>
              <w:tag w:val="_PLD_d102f36c2e2645ad9579603ca28588c8"/>
              <w:id w:val="7856"/>
            </w:sdtPr>
            <w:sdtContent>
              <w:p>
                <w:pPr>
                  <w:jc w:val="center"/>
                  <w:rPr>
                    <w:rFonts w:cs="Arial"/>
                    <w:szCs w:val="21"/>
                    <w:lang w:val="en-GB"/>
                  </w:rPr>
                </w:pPr>
                <w:r>
                  <w:rPr>
                    <w:rFonts w:hint="eastAsia" w:cs="Arial"/>
                    <w:szCs w:val="21"/>
                    <w:lang w:val="en-GB"/>
                  </w:rPr>
                  <w:t>子公司</w:t>
                </w:r>
              </w:p>
              <w:p>
                <w:pPr>
                  <w:jc w:val="center"/>
                  <w:rPr>
                    <w:rFonts w:cs="Arial"/>
                    <w:szCs w:val="21"/>
                  </w:rPr>
                </w:pPr>
                <w:r>
                  <w:rPr>
                    <w:rFonts w:hint="eastAsia" w:cs="Arial"/>
                    <w:szCs w:val="21"/>
                    <w:lang w:val="en-GB"/>
                  </w:rPr>
                  <w:t>名称</w:t>
                </w:r>
              </w:p>
            </w:sdtContent>
          </w:sdt>
        </w:tc>
        <w:tc>
          <w:tcPr>
            <w:tcW w:w="1290" w:type="dxa"/>
            <w:vMerge w:val="restart"/>
            <w:vAlign w:val="center"/>
          </w:tcPr>
          <w:sdt>
            <w:sdtPr>
              <w:tag w:val="_PLD_f2f68356b5494ce8941038ba206c0e79"/>
              <w:id w:val="7857"/>
            </w:sdtPr>
            <w:sdtContent>
              <w:p>
                <w:pPr>
                  <w:jc w:val="center"/>
                  <w:rPr>
                    <w:rFonts w:cs="Arial"/>
                    <w:szCs w:val="21"/>
                  </w:rPr>
                </w:pPr>
                <w:r>
                  <w:rPr>
                    <w:rFonts w:hint="eastAsia" w:cs="Arial"/>
                    <w:szCs w:val="21"/>
                    <w:lang w:val="en-GB"/>
                  </w:rPr>
                  <w:t>主要经营地</w:t>
                </w:r>
              </w:p>
            </w:sdtContent>
          </w:sdt>
        </w:tc>
        <w:tc>
          <w:tcPr>
            <w:tcW w:w="1245" w:type="dxa"/>
            <w:vMerge w:val="restart"/>
            <w:vAlign w:val="center"/>
          </w:tcPr>
          <w:sdt>
            <w:sdtPr>
              <w:tag w:val="_PLD_e8bcd6ecc6b44104942668e86b86bbbe"/>
              <w:id w:val="7858"/>
            </w:sdtPr>
            <w:sdtContent>
              <w:p>
                <w:pPr>
                  <w:jc w:val="center"/>
                </w:pPr>
                <w:r>
                  <w:rPr>
                    <w:rFonts w:hint="eastAsia"/>
                  </w:rPr>
                  <w:t>注册资本</w:t>
                </w:r>
              </w:p>
            </w:sdtContent>
          </w:sdt>
        </w:tc>
        <w:tc>
          <w:tcPr>
            <w:tcW w:w="1140" w:type="dxa"/>
            <w:vMerge w:val="restart"/>
            <w:vAlign w:val="center"/>
          </w:tcPr>
          <w:sdt>
            <w:sdtPr>
              <w:tag w:val="_PLD_e9cbfd017bcc45b9be4599d5ee950f92"/>
              <w:id w:val="7859"/>
            </w:sdtPr>
            <w:sdtContent>
              <w:p>
                <w:pPr>
                  <w:jc w:val="center"/>
                  <w:rPr>
                    <w:rFonts w:cs="Arial"/>
                    <w:szCs w:val="21"/>
                  </w:rPr>
                </w:pPr>
                <w:r>
                  <w:rPr>
                    <w:rFonts w:hint="eastAsia" w:cs="Arial"/>
                    <w:szCs w:val="21"/>
                    <w:lang w:val="en-GB"/>
                  </w:rPr>
                  <w:t>注册地</w:t>
                </w:r>
              </w:p>
            </w:sdtContent>
          </w:sdt>
        </w:tc>
        <w:tc>
          <w:tcPr>
            <w:tcW w:w="1095" w:type="dxa"/>
            <w:vMerge w:val="restart"/>
            <w:vAlign w:val="center"/>
          </w:tcPr>
          <w:sdt>
            <w:sdtPr>
              <w:tag w:val="_PLD_da5558f3e8f24c30b756f825b0ebca03"/>
              <w:id w:val="7860"/>
            </w:sdtPr>
            <w:sdtContent>
              <w:p>
                <w:pPr>
                  <w:jc w:val="center"/>
                  <w:rPr>
                    <w:rFonts w:cs="Arial"/>
                    <w:szCs w:val="21"/>
                  </w:rPr>
                </w:pPr>
                <w:r>
                  <w:rPr>
                    <w:rFonts w:hint="eastAsia" w:cs="Arial"/>
                    <w:szCs w:val="21"/>
                    <w:lang w:val="en-GB"/>
                  </w:rPr>
                  <w:t>业务性质</w:t>
                </w:r>
              </w:p>
            </w:sdtContent>
          </w:sdt>
        </w:tc>
        <w:tc>
          <w:tcPr>
            <w:tcW w:w="1605" w:type="dxa"/>
            <w:gridSpan w:val="2"/>
            <w:vAlign w:val="center"/>
          </w:tcPr>
          <w:sdt>
            <w:sdtPr>
              <w:tag w:val="_PLD_817e427c8eff4fd1875d12860133e99e"/>
              <w:id w:val="7861"/>
            </w:sdtPr>
            <w:sdtContent>
              <w:p>
                <w:pPr>
                  <w:jc w:val="center"/>
                  <w:rPr>
                    <w:rFonts w:cs="Arial"/>
                    <w:szCs w:val="21"/>
                  </w:rPr>
                </w:pPr>
                <w:r>
                  <w:rPr>
                    <w:rFonts w:hint="eastAsia" w:cs="Arial"/>
                    <w:szCs w:val="21"/>
                    <w:lang w:val="en-GB"/>
                  </w:rPr>
                  <w:t>持股比例</w:t>
                </w:r>
                <w:r>
                  <w:rPr>
                    <w:rFonts w:cs="Arial"/>
                    <w:szCs w:val="21"/>
                  </w:rPr>
                  <w:t>(%)</w:t>
                </w:r>
              </w:p>
            </w:sdtContent>
          </w:sdt>
        </w:tc>
        <w:tc>
          <w:tcPr>
            <w:tcW w:w="1368" w:type="dxa"/>
            <w:vMerge w:val="restart"/>
            <w:vAlign w:val="center"/>
          </w:tcPr>
          <w:sdt>
            <w:sdtPr>
              <w:tag w:val="_PLD_0bb5e453efe4450ba0d853b98eb2c2b0"/>
              <w:id w:val="7862"/>
            </w:sdtPr>
            <w:sdtContent>
              <w:p>
                <w:pPr>
                  <w:jc w:val="center"/>
                  <w:rPr>
                    <w:rFonts w:cs="Arial"/>
                    <w:szCs w:val="21"/>
                    <w:lang w:val="en-GB"/>
                  </w:rPr>
                </w:pPr>
                <w:r>
                  <w:rPr>
                    <w:rFonts w:hint="eastAsia" w:cs="Arial"/>
                    <w:szCs w:val="21"/>
                    <w:lang w:val="en-GB"/>
                  </w:rPr>
                  <w:t>取得</w:t>
                </w:r>
              </w:p>
              <w:p>
                <w:pPr>
                  <w:jc w:val="center"/>
                  <w:rPr>
                    <w:rFonts w:cs="Arial"/>
                    <w:szCs w:val="21"/>
                    <w:lang w:val="en-GB"/>
                  </w:rPr>
                </w:pPr>
                <w:r>
                  <w:rPr>
                    <w:rFonts w:hint="eastAsia" w:cs="Arial"/>
                    <w:szCs w:val="21"/>
                    <w:lang w:val="en-GB"/>
                  </w:rPr>
                  <w:t>方式</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02" w:type="dxa"/>
            <w:vMerge w:val="continue"/>
            <w:vAlign w:val="center"/>
          </w:tcPr>
          <w:p>
            <w:pPr>
              <w:rPr>
                <w:rFonts w:cs="Arial"/>
                <w:szCs w:val="21"/>
              </w:rPr>
            </w:pPr>
          </w:p>
        </w:tc>
        <w:tc>
          <w:tcPr>
            <w:tcW w:w="1290" w:type="dxa"/>
            <w:vMerge w:val="continue"/>
            <w:vAlign w:val="center"/>
          </w:tcPr>
          <w:p>
            <w:pPr>
              <w:rPr>
                <w:rFonts w:cs="Arial"/>
                <w:szCs w:val="21"/>
              </w:rPr>
            </w:pPr>
          </w:p>
        </w:tc>
        <w:tc>
          <w:tcPr>
            <w:tcW w:w="1245" w:type="dxa"/>
            <w:vMerge w:val="continue"/>
            <w:vAlign w:val="center"/>
          </w:tcPr>
          <w:p>
            <w:pPr>
              <w:rPr>
                <w:rFonts w:cs="Arial"/>
                <w:szCs w:val="21"/>
              </w:rPr>
            </w:pPr>
          </w:p>
        </w:tc>
        <w:tc>
          <w:tcPr>
            <w:tcW w:w="1140" w:type="dxa"/>
            <w:vMerge w:val="continue"/>
            <w:vAlign w:val="center"/>
          </w:tcPr>
          <w:p>
            <w:pPr>
              <w:rPr>
                <w:rFonts w:cs="Arial"/>
                <w:szCs w:val="21"/>
              </w:rPr>
            </w:pPr>
          </w:p>
        </w:tc>
        <w:tc>
          <w:tcPr>
            <w:tcW w:w="1095" w:type="dxa"/>
            <w:vMerge w:val="continue"/>
            <w:vAlign w:val="center"/>
          </w:tcPr>
          <w:p>
            <w:pPr>
              <w:rPr>
                <w:rFonts w:cs="Arial"/>
                <w:szCs w:val="21"/>
              </w:rPr>
            </w:pPr>
          </w:p>
        </w:tc>
        <w:tc>
          <w:tcPr>
            <w:tcW w:w="810" w:type="dxa"/>
            <w:vAlign w:val="center"/>
          </w:tcPr>
          <w:sdt>
            <w:sdtPr>
              <w:tag w:val="_PLD_3f641d83162f4ae3a8840b93258d7ced"/>
              <w:id w:val="7863"/>
            </w:sdtPr>
            <w:sdtContent>
              <w:p>
                <w:pPr>
                  <w:jc w:val="center"/>
                  <w:rPr>
                    <w:rFonts w:cs="Arial"/>
                    <w:szCs w:val="21"/>
                  </w:rPr>
                </w:pPr>
                <w:r>
                  <w:rPr>
                    <w:rFonts w:hint="eastAsia" w:cs="Arial"/>
                    <w:szCs w:val="21"/>
                    <w:lang w:val="en-GB"/>
                  </w:rPr>
                  <w:t>直接</w:t>
                </w:r>
              </w:p>
            </w:sdtContent>
          </w:sdt>
        </w:tc>
        <w:tc>
          <w:tcPr>
            <w:tcW w:w="795" w:type="dxa"/>
            <w:vAlign w:val="center"/>
          </w:tcPr>
          <w:sdt>
            <w:sdtPr>
              <w:tag w:val="_PLD_ebc96648c2794ae08bfb57e63f0a34c5"/>
              <w:id w:val="7864"/>
            </w:sdtPr>
            <w:sdtContent>
              <w:p>
                <w:pPr>
                  <w:jc w:val="center"/>
                  <w:rPr>
                    <w:rFonts w:cs="Arial"/>
                    <w:szCs w:val="21"/>
                  </w:rPr>
                </w:pPr>
                <w:r>
                  <w:rPr>
                    <w:rFonts w:hint="eastAsia" w:cs="Arial"/>
                    <w:szCs w:val="21"/>
                    <w:lang w:val="en-GB"/>
                  </w:rPr>
                  <w:t>间接</w:t>
                </w:r>
              </w:p>
            </w:sdtContent>
          </w:sdt>
        </w:tc>
        <w:tc>
          <w:tcPr>
            <w:tcW w:w="1368" w:type="dxa"/>
            <w:vMerge w:val="continue"/>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2" w:type="dxa"/>
            <w:vAlign w:val="center"/>
          </w:tcPr>
          <w:p>
            <w:pPr>
              <w:rPr>
                <w:szCs w:val="21"/>
              </w:rPr>
            </w:pPr>
            <w:r>
              <w:rPr>
                <w:rFonts w:hint="eastAsia"/>
                <w:color w:val="auto"/>
              </w:rPr>
              <w:t>柳州惠好卫生用品有限公司</w:t>
            </w:r>
          </w:p>
        </w:tc>
        <w:tc>
          <w:tcPr>
            <w:tcW w:w="1290" w:type="dxa"/>
            <w:vAlign w:val="center"/>
          </w:tcPr>
          <w:p>
            <w:pPr>
              <w:rPr>
                <w:szCs w:val="21"/>
              </w:rPr>
            </w:pPr>
            <w:r>
              <w:rPr>
                <w:rFonts w:hint="eastAsia"/>
                <w:color w:val="auto"/>
                <w:szCs w:val="21"/>
              </w:rPr>
              <w:t>广西柳州市</w:t>
            </w:r>
          </w:p>
        </w:tc>
        <w:tc>
          <w:tcPr>
            <w:tcW w:w="1245" w:type="dxa"/>
            <w:vAlign w:val="center"/>
          </w:tcPr>
          <w:p>
            <w:pPr>
              <w:jc w:val="right"/>
              <w:rPr>
                <w:szCs w:val="21"/>
              </w:rPr>
            </w:pPr>
            <w:r>
              <w:rPr>
                <w:rFonts w:hint="eastAsia"/>
                <w:color w:val="auto"/>
              </w:rPr>
              <w:t>210万美元</w:t>
            </w:r>
          </w:p>
        </w:tc>
        <w:tc>
          <w:tcPr>
            <w:tcW w:w="1140" w:type="dxa"/>
            <w:vAlign w:val="center"/>
          </w:tcPr>
          <w:p>
            <w:pPr>
              <w:jc w:val="center"/>
              <w:rPr>
                <w:szCs w:val="21"/>
              </w:rPr>
            </w:pPr>
            <w:r>
              <w:rPr>
                <w:rFonts w:hint="eastAsia"/>
                <w:color w:val="auto"/>
              </w:rPr>
              <w:t>广西柳州市</w:t>
            </w:r>
          </w:p>
        </w:tc>
        <w:tc>
          <w:tcPr>
            <w:tcW w:w="1095" w:type="dxa"/>
            <w:vAlign w:val="center"/>
          </w:tcPr>
          <w:p>
            <w:pPr>
              <w:jc w:val="center"/>
              <w:rPr>
                <w:szCs w:val="21"/>
              </w:rPr>
            </w:pPr>
            <w:r>
              <w:rPr>
                <w:rFonts w:hint="eastAsia"/>
                <w:color w:val="auto"/>
              </w:rPr>
              <w:t>制造业</w:t>
            </w:r>
          </w:p>
        </w:tc>
        <w:tc>
          <w:tcPr>
            <w:tcW w:w="810" w:type="dxa"/>
            <w:vAlign w:val="center"/>
          </w:tcPr>
          <w:p>
            <w:pPr>
              <w:jc w:val="right"/>
              <w:rPr>
                <w:szCs w:val="21"/>
              </w:rPr>
            </w:pPr>
            <w:r>
              <w:rPr>
                <w:rFonts w:hint="eastAsia"/>
                <w:color w:val="auto"/>
                <w:szCs w:val="21"/>
              </w:rPr>
              <w:t>75</w:t>
            </w:r>
          </w:p>
        </w:tc>
        <w:tc>
          <w:tcPr>
            <w:tcW w:w="795" w:type="dxa"/>
            <w:vAlign w:val="center"/>
          </w:tcPr>
          <w:p>
            <w:pPr>
              <w:jc w:val="right"/>
              <w:rPr>
                <w:szCs w:val="21"/>
              </w:rPr>
            </w:pPr>
            <w:r>
              <w:rPr>
                <w:rFonts w:hint="eastAsia"/>
                <w:color w:val="auto"/>
                <w:szCs w:val="21"/>
              </w:rPr>
              <w:t> </w:t>
            </w:r>
          </w:p>
        </w:tc>
        <w:tc>
          <w:tcPr>
            <w:tcW w:w="1368" w:type="dxa"/>
            <w:vAlign w:val="center"/>
          </w:tcPr>
          <w:p>
            <w:pPr>
              <w:jc w:val="center"/>
              <w:rPr>
                <w:szCs w:val="21"/>
              </w:rPr>
            </w:pPr>
            <w:r>
              <w:rPr>
                <w:rFonts w:hint="eastAsia"/>
                <w:color w:val="auto"/>
              </w:rPr>
              <w:t>投资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2" w:type="dxa"/>
            <w:vAlign w:val="center"/>
          </w:tcPr>
          <w:p>
            <w:pPr>
              <w:rPr>
                <w:szCs w:val="21"/>
              </w:rPr>
            </w:pPr>
            <w:r>
              <w:rPr>
                <w:rFonts w:hint="eastAsia"/>
                <w:color w:val="auto"/>
              </w:rPr>
              <w:t>柳州两面针进出口贸易有限公司</w:t>
            </w:r>
          </w:p>
        </w:tc>
        <w:tc>
          <w:tcPr>
            <w:tcW w:w="1290" w:type="dxa"/>
            <w:vAlign w:val="center"/>
          </w:tcPr>
          <w:p>
            <w:pPr>
              <w:rPr>
                <w:szCs w:val="21"/>
              </w:rPr>
            </w:pPr>
            <w:r>
              <w:rPr>
                <w:rFonts w:hint="eastAsia"/>
                <w:color w:val="auto"/>
                <w:szCs w:val="21"/>
              </w:rPr>
              <w:t>广西柳州市</w:t>
            </w:r>
          </w:p>
        </w:tc>
        <w:tc>
          <w:tcPr>
            <w:tcW w:w="1245" w:type="dxa"/>
            <w:vAlign w:val="center"/>
          </w:tcPr>
          <w:p>
            <w:pPr>
              <w:jc w:val="right"/>
              <w:rPr>
                <w:szCs w:val="21"/>
              </w:rPr>
            </w:pPr>
            <w:r>
              <w:rPr>
                <w:rFonts w:hint="eastAsia"/>
                <w:color w:val="auto"/>
              </w:rPr>
              <w:t>5,000,000</w:t>
            </w:r>
          </w:p>
        </w:tc>
        <w:tc>
          <w:tcPr>
            <w:tcW w:w="1140" w:type="dxa"/>
            <w:vAlign w:val="center"/>
          </w:tcPr>
          <w:p>
            <w:pPr>
              <w:jc w:val="center"/>
              <w:rPr>
                <w:szCs w:val="21"/>
              </w:rPr>
            </w:pPr>
            <w:r>
              <w:rPr>
                <w:rFonts w:hint="eastAsia"/>
                <w:color w:val="auto"/>
              </w:rPr>
              <w:t>广西柳州市</w:t>
            </w:r>
          </w:p>
        </w:tc>
        <w:tc>
          <w:tcPr>
            <w:tcW w:w="1095" w:type="dxa"/>
            <w:vAlign w:val="center"/>
          </w:tcPr>
          <w:p>
            <w:pPr>
              <w:jc w:val="center"/>
              <w:rPr>
                <w:szCs w:val="21"/>
              </w:rPr>
            </w:pPr>
            <w:r>
              <w:rPr>
                <w:rFonts w:hint="eastAsia"/>
                <w:color w:val="auto"/>
              </w:rPr>
              <w:t>进出口贸易</w:t>
            </w:r>
          </w:p>
        </w:tc>
        <w:tc>
          <w:tcPr>
            <w:tcW w:w="810" w:type="dxa"/>
            <w:vAlign w:val="center"/>
          </w:tcPr>
          <w:p>
            <w:pPr>
              <w:jc w:val="right"/>
              <w:rPr>
                <w:szCs w:val="21"/>
              </w:rPr>
            </w:pPr>
            <w:r>
              <w:rPr>
                <w:rFonts w:hint="eastAsia"/>
                <w:color w:val="auto"/>
                <w:szCs w:val="21"/>
              </w:rPr>
              <w:t>51</w:t>
            </w:r>
          </w:p>
        </w:tc>
        <w:tc>
          <w:tcPr>
            <w:tcW w:w="795" w:type="dxa"/>
            <w:vAlign w:val="center"/>
          </w:tcPr>
          <w:p>
            <w:pPr>
              <w:jc w:val="right"/>
              <w:rPr>
                <w:szCs w:val="21"/>
              </w:rPr>
            </w:pPr>
            <w:r>
              <w:rPr>
                <w:rFonts w:hint="eastAsia"/>
                <w:color w:val="auto"/>
                <w:szCs w:val="21"/>
              </w:rPr>
              <w:t> </w:t>
            </w:r>
          </w:p>
        </w:tc>
        <w:tc>
          <w:tcPr>
            <w:tcW w:w="1368" w:type="dxa"/>
            <w:vAlign w:val="center"/>
          </w:tcPr>
          <w:p>
            <w:pPr>
              <w:jc w:val="center"/>
              <w:rPr>
                <w:szCs w:val="21"/>
              </w:rPr>
            </w:pPr>
            <w:r>
              <w:rPr>
                <w:rFonts w:hint="eastAsia"/>
                <w:color w:val="auto"/>
              </w:rPr>
              <w:t>投资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2" w:type="dxa"/>
            <w:vAlign w:val="center"/>
          </w:tcPr>
          <w:p>
            <w:pPr>
              <w:rPr>
                <w:szCs w:val="21"/>
              </w:rPr>
            </w:pPr>
            <w:r>
              <w:rPr>
                <w:rFonts w:hint="eastAsia"/>
                <w:color w:val="auto"/>
              </w:rPr>
              <w:t>广西两面针亿康药业股份有限公司</w:t>
            </w:r>
          </w:p>
        </w:tc>
        <w:tc>
          <w:tcPr>
            <w:tcW w:w="1290" w:type="dxa"/>
            <w:vAlign w:val="center"/>
          </w:tcPr>
          <w:p>
            <w:pPr>
              <w:rPr>
                <w:szCs w:val="21"/>
              </w:rPr>
            </w:pPr>
            <w:r>
              <w:rPr>
                <w:rFonts w:hint="eastAsia"/>
                <w:color w:val="auto"/>
                <w:szCs w:val="21"/>
              </w:rPr>
              <w:t>广西柳州市</w:t>
            </w:r>
          </w:p>
        </w:tc>
        <w:tc>
          <w:tcPr>
            <w:tcW w:w="1245" w:type="dxa"/>
            <w:vAlign w:val="center"/>
          </w:tcPr>
          <w:p>
            <w:pPr>
              <w:jc w:val="right"/>
              <w:rPr>
                <w:szCs w:val="21"/>
              </w:rPr>
            </w:pPr>
            <w:r>
              <w:rPr>
                <w:rFonts w:hint="eastAsia"/>
                <w:color w:val="auto"/>
              </w:rPr>
              <w:t>9,100.0000</w:t>
            </w:r>
          </w:p>
        </w:tc>
        <w:tc>
          <w:tcPr>
            <w:tcW w:w="1140" w:type="dxa"/>
            <w:vAlign w:val="center"/>
          </w:tcPr>
          <w:p>
            <w:pPr>
              <w:jc w:val="center"/>
              <w:rPr>
                <w:szCs w:val="21"/>
              </w:rPr>
            </w:pPr>
            <w:r>
              <w:rPr>
                <w:rFonts w:hint="eastAsia"/>
                <w:color w:val="auto"/>
              </w:rPr>
              <w:t>广西柳州市</w:t>
            </w:r>
          </w:p>
        </w:tc>
        <w:tc>
          <w:tcPr>
            <w:tcW w:w="1095" w:type="dxa"/>
            <w:vAlign w:val="center"/>
          </w:tcPr>
          <w:p>
            <w:pPr>
              <w:jc w:val="center"/>
              <w:rPr>
                <w:szCs w:val="21"/>
              </w:rPr>
            </w:pPr>
            <w:r>
              <w:rPr>
                <w:rFonts w:hint="eastAsia"/>
                <w:color w:val="auto"/>
              </w:rPr>
              <w:t>制造业</w:t>
            </w:r>
          </w:p>
        </w:tc>
        <w:tc>
          <w:tcPr>
            <w:tcW w:w="810" w:type="dxa"/>
            <w:vAlign w:val="center"/>
          </w:tcPr>
          <w:p>
            <w:pPr>
              <w:jc w:val="right"/>
              <w:rPr>
                <w:szCs w:val="21"/>
              </w:rPr>
            </w:pPr>
            <w:r>
              <w:rPr>
                <w:rFonts w:hint="eastAsia"/>
                <w:color w:val="auto"/>
                <w:szCs w:val="21"/>
              </w:rPr>
              <w:t>90.10</w:t>
            </w:r>
          </w:p>
        </w:tc>
        <w:tc>
          <w:tcPr>
            <w:tcW w:w="795" w:type="dxa"/>
            <w:vAlign w:val="center"/>
          </w:tcPr>
          <w:p>
            <w:pPr>
              <w:jc w:val="right"/>
              <w:rPr>
                <w:szCs w:val="21"/>
              </w:rPr>
            </w:pPr>
            <w:r>
              <w:rPr>
                <w:rFonts w:hint="eastAsia"/>
                <w:color w:val="auto"/>
                <w:szCs w:val="21"/>
              </w:rPr>
              <w:t> </w:t>
            </w:r>
          </w:p>
        </w:tc>
        <w:tc>
          <w:tcPr>
            <w:tcW w:w="1368" w:type="dxa"/>
            <w:vAlign w:val="center"/>
          </w:tcPr>
          <w:p>
            <w:pPr>
              <w:jc w:val="center"/>
              <w:rPr>
                <w:szCs w:val="21"/>
              </w:rPr>
            </w:pPr>
            <w:r>
              <w:rPr>
                <w:rFonts w:hint="eastAsia"/>
                <w:color w:val="auto"/>
              </w:rPr>
              <w:t>收购合并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2" w:type="dxa"/>
            <w:vAlign w:val="center"/>
          </w:tcPr>
          <w:p>
            <w:pPr>
              <w:rPr>
                <w:szCs w:val="21"/>
              </w:rPr>
            </w:pPr>
            <w:r>
              <w:rPr>
                <w:rFonts w:hint="eastAsia"/>
                <w:color w:val="auto"/>
              </w:rPr>
              <w:t>安徽两面针•芳草日化有限公司</w:t>
            </w:r>
          </w:p>
        </w:tc>
        <w:tc>
          <w:tcPr>
            <w:tcW w:w="1290" w:type="dxa"/>
            <w:vAlign w:val="center"/>
          </w:tcPr>
          <w:p>
            <w:pPr>
              <w:rPr>
                <w:szCs w:val="21"/>
              </w:rPr>
            </w:pPr>
            <w:r>
              <w:rPr>
                <w:rFonts w:hint="eastAsia"/>
                <w:color w:val="auto"/>
                <w:szCs w:val="21"/>
              </w:rPr>
              <w:t>安徽合肥市</w:t>
            </w:r>
          </w:p>
        </w:tc>
        <w:tc>
          <w:tcPr>
            <w:tcW w:w="1245" w:type="dxa"/>
            <w:vAlign w:val="center"/>
          </w:tcPr>
          <w:p>
            <w:pPr>
              <w:jc w:val="right"/>
              <w:rPr>
                <w:szCs w:val="21"/>
              </w:rPr>
            </w:pPr>
            <w:r>
              <w:rPr>
                <w:rFonts w:hint="eastAsia"/>
                <w:color w:val="auto"/>
              </w:rPr>
              <w:t>35,000,000</w:t>
            </w:r>
          </w:p>
        </w:tc>
        <w:tc>
          <w:tcPr>
            <w:tcW w:w="1140" w:type="dxa"/>
            <w:vAlign w:val="center"/>
          </w:tcPr>
          <w:p>
            <w:pPr>
              <w:jc w:val="center"/>
              <w:rPr>
                <w:szCs w:val="21"/>
              </w:rPr>
            </w:pPr>
            <w:r>
              <w:rPr>
                <w:rFonts w:hint="eastAsia"/>
                <w:color w:val="auto"/>
              </w:rPr>
              <w:t>安徽合肥市</w:t>
            </w:r>
          </w:p>
        </w:tc>
        <w:tc>
          <w:tcPr>
            <w:tcW w:w="1095" w:type="dxa"/>
            <w:vAlign w:val="center"/>
          </w:tcPr>
          <w:p>
            <w:pPr>
              <w:jc w:val="center"/>
              <w:rPr>
                <w:szCs w:val="21"/>
              </w:rPr>
            </w:pPr>
            <w:r>
              <w:rPr>
                <w:rFonts w:hint="eastAsia"/>
                <w:color w:val="auto"/>
              </w:rPr>
              <w:t>制造业</w:t>
            </w:r>
          </w:p>
        </w:tc>
        <w:tc>
          <w:tcPr>
            <w:tcW w:w="810" w:type="dxa"/>
            <w:vAlign w:val="center"/>
          </w:tcPr>
          <w:p>
            <w:pPr>
              <w:jc w:val="right"/>
              <w:rPr>
                <w:szCs w:val="21"/>
              </w:rPr>
            </w:pPr>
            <w:r>
              <w:rPr>
                <w:rFonts w:hint="eastAsia"/>
                <w:color w:val="auto"/>
                <w:szCs w:val="21"/>
              </w:rPr>
              <w:t>70</w:t>
            </w:r>
          </w:p>
        </w:tc>
        <w:tc>
          <w:tcPr>
            <w:tcW w:w="795" w:type="dxa"/>
            <w:vAlign w:val="center"/>
          </w:tcPr>
          <w:p>
            <w:pPr>
              <w:jc w:val="right"/>
              <w:rPr>
                <w:szCs w:val="21"/>
              </w:rPr>
            </w:pPr>
            <w:r>
              <w:rPr>
                <w:rFonts w:hint="eastAsia"/>
                <w:color w:val="auto"/>
                <w:szCs w:val="21"/>
              </w:rPr>
              <w:t>14.07</w:t>
            </w:r>
          </w:p>
        </w:tc>
        <w:tc>
          <w:tcPr>
            <w:tcW w:w="1368" w:type="dxa"/>
            <w:vAlign w:val="center"/>
          </w:tcPr>
          <w:p>
            <w:pPr>
              <w:jc w:val="center"/>
              <w:rPr>
                <w:szCs w:val="21"/>
              </w:rPr>
            </w:pPr>
            <w:r>
              <w:rPr>
                <w:rFonts w:hint="eastAsia"/>
                <w:color w:val="auto"/>
              </w:rPr>
              <w:t>收购合并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2" w:type="dxa"/>
            <w:vAlign w:val="center"/>
          </w:tcPr>
          <w:p>
            <w:pPr>
              <w:rPr>
                <w:szCs w:val="21"/>
              </w:rPr>
            </w:pPr>
            <w:r>
              <w:rPr>
                <w:rFonts w:hint="eastAsia"/>
                <w:color w:val="auto"/>
              </w:rPr>
              <w:t>两面针（江苏）实业有限公司</w:t>
            </w:r>
          </w:p>
        </w:tc>
        <w:tc>
          <w:tcPr>
            <w:tcW w:w="1290" w:type="dxa"/>
            <w:vAlign w:val="center"/>
          </w:tcPr>
          <w:p>
            <w:pPr>
              <w:rPr>
                <w:szCs w:val="21"/>
              </w:rPr>
            </w:pPr>
            <w:r>
              <w:rPr>
                <w:rFonts w:hint="eastAsia"/>
                <w:color w:val="auto"/>
                <w:szCs w:val="21"/>
              </w:rPr>
              <w:t>江苏扬州市</w:t>
            </w:r>
          </w:p>
        </w:tc>
        <w:tc>
          <w:tcPr>
            <w:tcW w:w="1245" w:type="dxa"/>
            <w:vAlign w:val="center"/>
          </w:tcPr>
          <w:p>
            <w:pPr>
              <w:jc w:val="right"/>
              <w:rPr>
                <w:szCs w:val="21"/>
              </w:rPr>
            </w:pPr>
            <w:r>
              <w:rPr>
                <w:rFonts w:hint="eastAsia"/>
                <w:color w:val="auto"/>
              </w:rPr>
              <w:t>62,890,200</w:t>
            </w:r>
          </w:p>
        </w:tc>
        <w:tc>
          <w:tcPr>
            <w:tcW w:w="1140" w:type="dxa"/>
            <w:vAlign w:val="center"/>
          </w:tcPr>
          <w:p>
            <w:pPr>
              <w:jc w:val="center"/>
              <w:rPr>
                <w:szCs w:val="21"/>
              </w:rPr>
            </w:pPr>
            <w:r>
              <w:rPr>
                <w:rFonts w:hint="eastAsia"/>
                <w:color w:val="auto"/>
              </w:rPr>
              <w:t>江苏扬州市</w:t>
            </w:r>
          </w:p>
        </w:tc>
        <w:tc>
          <w:tcPr>
            <w:tcW w:w="1095" w:type="dxa"/>
            <w:vAlign w:val="center"/>
          </w:tcPr>
          <w:p>
            <w:pPr>
              <w:jc w:val="center"/>
              <w:rPr>
                <w:szCs w:val="21"/>
              </w:rPr>
            </w:pPr>
            <w:r>
              <w:rPr>
                <w:rFonts w:hint="eastAsia"/>
                <w:color w:val="auto"/>
              </w:rPr>
              <w:t>制造业</w:t>
            </w:r>
          </w:p>
        </w:tc>
        <w:tc>
          <w:tcPr>
            <w:tcW w:w="810" w:type="dxa"/>
            <w:vAlign w:val="center"/>
          </w:tcPr>
          <w:p>
            <w:pPr>
              <w:jc w:val="right"/>
              <w:rPr>
                <w:szCs w:val="21"/>
              </w:rPr>
            </w:pPr>
            <w:r>
              <w:rPr>
                <w:rFonts w:hint="eastAsia"/>
                <w:color w:val="auto"/>
                <w:szCs w:val="21"/>
              </w:rPr>
              <w:t>93.80</w:t>
            </w:r>
          </w:p>
        </w:tc>
        <w:tc>
          <w:tcPr>
            <w:tcW w:w="795" w:type="dxa"/>
            <w:vAlign w:val="center"/>
          </w:tcPr>
          <w:p>
            <w:pPr>
              <w:jc w:val="right"/>
              <w:rPr>
                <w:szCs w:val="21"/>
              </w:rPr>
            </w:pPr>
            <w:r>
              <w:rPr>
                <w:rFonts w:hint="eastAsia"/>
                <w:color w:val="auto"/>
                <w:szCs w:val="21"/>
              </w:rPr>
              <w:t> </w:t>
            </w:r>
          </w:p>
        </w:tc>
        <w:tc>
          <w:tcPr>
            <w:tcW w:w="1368" w:type="dxa"/>
            <w:vAlign w:val="center"/>
          </w:tcPr>
          <w:p>
            <w:pPr>
              <w:jc w:val="center"/>
              <w:rPr>
                <w:szCs w:val="21"/>
              </w:rPr>
            </w:pPr>
            <w:r>
              <w:rPr>
                <w:rFonts w:hint="eastAsia"/>
                <w:color w:val="auto"/>
              </w:rPr>
              <w:t>收购合并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2" w:type="dxa"/>
            <w:vAlign w:val="center"/>
          </w:tcPr>
          <w:p>
            <w:pPr>
              <w:rPr>
                <w:szCs w:val="21"/>
              </w:rPr>
            </w:pPr>
            <w:r>
              <w:rPr>
                <w:rFonts w:hint="eastAsia"/>
                <w:color w:val="auto"/>
              </w:rPr>
              <w:t>柳州两面针供应链有限公司</w:t>
            </w:r>
          </w:p>
        </w:tc>
        <w:tc>
          <w:tcPr>
            <w:tcW w:w="1290" w:type="dxa"/>
            <w:vAlign w:val="center"/>
          </w:tcPr>
          <w:p>
            <w:pPr>
              <w:rPr>
                <w:szCs w:val="21"/>
              </w:rPr>
            </w:pPr>
            <w:r>
              <w:rPr>
                <w:rFonts w:hint="eastAsia"/>
                <w:color w:val="auto"/>
                <w:szCs w:val="21"/>
              </w:rPr>
              <w:t>广西柳州市</w:t>
            </w:r>
          </w:p>
        </w:tc>
        <w:tc>
          <w:tcPr>
            <w:tcW w:w="1245" w:type="dxa"/>
            <w:vAlign w:val="center"/>
          </w:tcPr>
          <w:p>
            <w:pPr>
              <w:jc w:val="right"/>
              <w:rPr>
                <w:szCs w:val="21"/>
              </w:rPr>
            </w:pPr>
            <w:r>
              <w:rPr>
                <w:rFonts w:hint="eastAsia"/>
                <w:color w:val="auto"/>
              </w:rPr>
              <w:t>2,000,000</w:t>
            </w:r>
          </w:p>
        </w:tc>
        <w:tc>
          <w:tcPr>
            <w:tcW w:w="1140" w:type="dxa"/>
            <w:vAlign w:val="center"/>
          </w:tcPr>
          <w:p>
            <w:pPr>
              <w:jc w:val="center"/>
              <w:rPr>
                <w:szCs w:val="21"/>
              </w:rPr>
            </w:pPr>
            <w:r>
              <w:rPr>
                <w:rFonts w:hint="eastAsia"/>
                <w:color w:val="auto"/>
              </w:rPr>
              <w:t>广西柳州市</w:t>
            </w:r>
          </w:p>
        </w:tc>
        <w:tc>
          <w:tcPr>
            <w:tcW w:w="1095" w:type="dxa"/>
            <w:vAlign w:val="center"/>
          </w:tcPr>
          <w:p>
            <w:pPr>
              <w:jc w:val="center"/>
              <w:rPr>
                <w:szCs w:val="21"/>
              </w:rPr>
            </w:pPr>
            <w:r>
              <w:rPr>
                <w:rFonts w:hint="eastAsia"/>
                <w:color w:val="auto"/>
              </w:rPr>
              <w:t>贸易</w:t>
            </w:r>
          </w:p>
        </w:tc>
        <w:tc>
          <w:tcPr>
            <w:tcW w:w="810" w:type="dxa"/>
            <w:vAlign w:val="center"/>
          </w:tcPr>
          <w:p>
            <w:pPr>
              <w:jc w:val="right"/>
              <w:rPr>
                <w:szCs w:val="21"/>
              </w:rPr>
            </w:pPr>
            <w:r>
              <w:rPr>
                <w:rFonts w:hint="eastAsia"/>
                <w:color w:val="auto"/>
                <w:szCs w:val="21"/>
              </w:rPr>
              <w:t>100.00</w:t>
            </w:r>
          </w:p>
        </w:tc>
        <w:tc>
          <w:tcPr>
            <w:tcW w:w="795" w:type="dxa"/>
            <w:vAlign w:val="center"/>
          </w:tcPr>
          <w:p>
            <w:pPr>
              <w:jc w:val="right"/>
              <w:rPr>
                <w:szCs w:val="21"/>
              </w:rPr>
            </w:pPr>
            <w:r>
              <w:rPr>
                <w:rFonts w:hint="eastAsia"/>
                <w:color w:val="auto"/>
                <w:szCs w:val="21"/>
              </w:rPr>
              <w:t> </w:t>
            </w:r>
          </w:p>
        </w:tc>
        <w:tc>
          <w:tcPr>
            <w:tcW w:w="1368" w:type="dxa"/>
            <w:vAlign w:val="center"/>
          </w:tcPr>
          <w:p>
            <w:pPr>
              <w:jc w:val="center"/>
              <w:rPr>
                <w:szCs w:val="21"/>
              </w:rPr>
            </w:pPr>
            <w:r>
              <w:rPr>
                <w:rFonts w:hint="eastAsia"/>
                <w:color w:val="auto"/>
              </w:rPr>
              <w:t>设立</w:t>
            </w:r>
          </w:p>
        </w:tc>
      </w:tr>
    </w:tbl>
    <w:p>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cs="Times New Roman" w:eastAsiaTheme="majorEastAsia"/>
          <w:outline w:val="0"/>
          <w:shadow w:val="0"/>
          <w:emboss w:val="0"/>
          <w:imprint w:val="0"/>
          <w:vanish w:val="0"/>
          <w:w w:val="100"/>
          <w:sz w:val="21"/>
          <w:u w:val="none"/>
        </w:rPr>
      </w:pPr>
      <w:r>
        <w:rPr>
          <w:rFonts w:hint="eastAsia" w:ascii="Times New Roman" w:hAnsi="Times New Roman" w:cs="Times New Roman" w:eastAsiaTheme="majorEastAsia"/>
          <w:outline w:val="0"/>
          <w:shadow w:val="0"/>
          <w:emboss w:val="0"/>
          <w:imprint w:val="0"/>
          <w:vanish w:val="0"/>
          <w:w w:val="100"/>
          <w:sz w:val="21"/>
          <w:szCs w:val="21"/>
          <w:u w:val="none"/>
        </w:rPr>
        <w:t>注：本公司直接持有安徽两面针·芳草日化有限公司70%的股权，通过控股子公司两面针（江苏）实业有限公司间接持股14.07%。</w:t>
      </w:r>
    </w:p>
    <w:p>
      <w:pPr>
        <w:rPr>
          <w:rFonts w:cs="Arial"/>
          <w:szCs w:val="21"/>
        </w:rPr>
      </w:pPr>
    </w:p>
    <w:p>
      <w:pPr>
        <w:pStyle w:val="5"/>
        <w:numPr>
          <w:ilvl w:val="3"/>
          <w:numId w:val="109"/>
        </w:numPr>
        <w:ind w:left="424" w:hanging="426" w:hangingChars="202"/>
        <w:rPr>
          <w:rFonts w:hint="eastAsia"/>
        </w:rPr>
      </w:pPr>
      <w:r>
        <w:rPr>
          <w:rFonts w:hint="eastAsia"/>
        </w:rPr>
        <w:t>重要的非全资子公司</w:t>
      </w:r>
    </w:p>
    <w:sdt>
      <w:sdtPr>
        <w:alias w:val="是否适用：重要的非全资子公司[双击切换]"/>
        <w:tag w:val="_GBC_51a84bfe201248b8bd5edb53b6cd6283"/>
        <w:id w:val="787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财务附注：重要的非全资子公司"/>
          <w:tag w:val="_GBC_e5936e9952394755bacf71d437afcd44"/>
          <w:id w:val="787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财务附注：重要的非全资子公司"/>
          <w:tag w:val="_GBC_5ffac6aa0e464031b94de604fccc76c7"/>
          <w:id w:val="787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8"/>
        <w:gridCol w:w="1415"/>
        <w:gridCol w:w="2098"/>
        <w:gridCol w:w="1779"/>
        <w:gridCol w:w="1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2008" w:type="dxa"/>
            <w:vAlign w:val="center"/>
          </w:tcPr>
          <w:sdt>
            <w:sdtPr>
              <w:tag w:val="_PLD_5428bb469efb45b09d2152fb27b33f8a"/>
              <w:id w:val="7873"/>
            </w:sdtPr>
            <w:sdtContent>
              <w:p>
                <w:pPr>
                  <w:jc w:val="center"/>
                  <w:rPr>
                    <w:rFonts w:cs="Arial"/>
                    <w:szCs w:val="21"/>
                  </w:rPr>
                </w:pPr>
                <w:r>
                  <w:rPr>
                    <w:rFonts w:hint="eastAsia" w:cs="Arial"/>
                    <w:szCs w:val="21"/>
                    <w:lang w:val="en-GB"/>
                  </w:rPr>
                  <w:t>子公司名称</w:t>
                </w:r>
              </w:p>
            </w:sdtContent>
          </w:sdt>
        </w:tc>
        <w:tc>
          <w:tcPr>
            <w:tcW w:w="1415" w:type="dxa"/>
            <w:vAlign w:val="center"/>
          </w:tcPr>
          <w:sdt>
            <w:sdtPr>
              <w:tag w:val="_PLD_6f42810edcef4f808238b34484325c1a"/>
              <w:id w:val="7874"/>
            </w:sdtPr>
            <w:sdtContent>
              <w:p>
                <w:pPr>
                  <w:jc w:val="center"/>
                  <w:rPr>
                    <w:rFonts w:cs="Arial"/>
                    <w:bCs/>
                    <w:szCs w:val="21"/>
                    <w:lang w:val="en-GB"/>
                  </w:rPr>
                </w:pPr>
                <w:r>
                  <w:rPr>
                    <w:rFonts w:hint="eastAsia" w:cs="Arial"/>
                    <w:bCs/>
                    <w:szCs w:val="21"/>
                    <w:lang w:val="en-GB"/>
                  </w:rPr>
                  <w:t>少数股东持股</w:t>
                </w:r>
              </w:p>
              <w:p>
                <w:pPr>
                  <w:jc w:val="center"/>
                  <w:rPr>
                    <w:rFonts w:cs="Arial"/>
                    <w:szCs w:val="21"/>
                  </w:rPr>
                </w:pPr>
                <w:r>
                  <w:rPr>
                    <w:rFonts w:hint="eastAsia" w:cs="Arial"/>
                    <w:bCs/>
                    <w:szCs w:val="21"/>
                    <w:lang w:val="en-GB"/>
                  </w:rPr>
                  <w:t>比例</w:t>
                </w:r>
              </w:p>
            </w:sdtContent>
          </w:sdt>
        </w:tc>
        <w:tc>
          <w:tcPr>
            <w:tcW w:w="2098" w:type="dxa"/>
            <w:vAlign w:val="center"/>
          </w:tcPr>
          <w:sdt>
            <w:sdtPr>
              <w:tag w:val="_PLD_5fe25832d2ec4782a2b0dd4183a7a18d"/>
              <w:id w:val="7875"/>
            </w:sdtPr>
            <w:sdtContent>
              <w:p>
                <w:pPr>
                  <w:jc w:val="center"/>
                  <w:rPr>
                    <w:rFonts w:cs="Arial"/>
                    <w:szCs w:val="21"/>
                  </w:rPr>
                </w:pPr>
                <w:r>
                  <w:rPr>
                    <w:rFonts w:hint="eastAsia" w:cs="Arial"/>
                    <w:bCs/>
                    <w:szCs w:val="21"/>
                    <w:lang w:val="en-GB"/>
                  </w:rPr>
                  <w:t>本期归属于少数股东的损益</w:t>
                </w:r>
              </w:p>
            </w:sdtContent>
          </w:sdt>
        </w:tc>
        <w:tc>
          <w:tcPr>
            <w:tcW w:w="1779" w:type="dxa"/>
            <w:vAlign w:val="center"/>
          </w:tcPr>
          <w:sdt>
            <w:sdtPr>
              <w:tag w:val="_PLD_2a49e43dba264aa2a5a6a65baca97c74"/>
              <w:id w:val="7876"/>
            </w:sdtPr>
            <w:sdtContent>
              <w:p>
                <w:pPr>
                  <w:jc w:val="center"/>
                  <w:rPr>
                    <w:rFonts w:cs="Arial"/>
                    <w:szCs w:val="21"/>
                  </w:rPr>
                </w:pPr>
                <w:r>
                  <w:rPr>
                    <w:rFonts w:hint="eastAsia" w:cs="Arial"/>
                    <w:bCs/>
                    <w:szCs w:val="21"/>
                    <w:lang w:val="en-GB"/>
                  </w:rPr>
                  <w:t>本期向少数股东宣告分派的股利</w:t>
                </w:r>
              </w:p>
            </w:sdtContent>
          </w:sdt>
        </w:tc>
        <w:tc>
          <w:tcPr>
            <w:tcW w:w="1742" w:type="dxa"/>
            <w:vAlign w:val="center"/>
          </w:tcPr>
          <w:sdt>
            <w:sdtPr>
              <w:tag w:val="_PLD_fb758b5ac95741fa930b476448e32371"/>
              <w:id w:val="7877"/>
            </w:sdtPr>
            <w:sdtContent>
              <w:p>
                <w:pPr>
                  <w:ind w:right="-16"/>
                  <w:jc w:val="center"/>
                  <w:rPr>
                    <w:rFonts w:cs="Arial"/>
                    <w:bCs/>
                    <w:szCs w:val="21"/>
                  </w:rPr>
                </w:pPr>
                <w:r>
                  <w:rPr>
                    <w:rFonts w:hint="eastAsia" w:cs="Arial"/>
                    <w:bCs/>
                    <w:szCs w:val="21"/>
                    <w:lang w:val="en-GB"/>
                  </w:rPr>
                  <w:t>期末少数股东权益余额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8" w:type="dxa"/>
            <w:vAlign w:val="center"/>
          </w:tcPr>
          <w:p>
            <w:pPr>
              <w:rPr>
                <w:szCs w:val="21"/>
              </w:rPr>
            </w:pPr>
            <w:r>
              <w:rPr>
                <w:rFonts w:hint="eastAsia"/>
                <w:color w:val="auto"/>
                <w:szCs w:val="21"/>
              </w:rPr>
              <w:t>广西两面针亿康药业股份有限公司</w:t>
            </w:r>
          </w:p>
        </w:tc>
        <w:tc>
          <w:tcPr>
            <w:tcW w:w="1415" w:type="dxa"/>
            <w:vAlign w:val="center"/>
          </w:tcPr>
          <w:p>
            <w:pPr>
              <w:jc w:val="right"/>
              <w:rPr>
                <w:szCs w:val="21"/>
              </w:rPr>
            </w:pPr>
            <w:r>
              <w:rPr>
                <w:rFonts w:hint="eastAsia"/>
                <w:color w:val="auto"/>
              </w:rPr>
              <w:t>9.90</w:t>
            </w:r>
          </w:p>
        </w:tc>
        <w:tc>
          <w:tcPr>
            <w:tcW w:w="2098" w:type="dxa"/>
            <w:vAlign w:val="center"/>
          </w:tcPr>
          <w:p>
            <w:pPr>
              <w:jc w:val="right"/>
              <w:rPr>
                <w:szCs w:val="21"/>
              </w:rPr>
            </w:pPr>
            <w:r>
              <w:rPr>
                <w:rFonts w:hint="eastAsia"/>
                <w:color w:val="auto"/>
                <w:szCs w:val="21"/>
              </w:rPr>
              <w:t>539,366.27</w:t>
            </w:r>
          </w:p>
        </w:tc>
        <w:tc>
          <w:tcPr>
            <w:tcW w:w="1779" w:type="dxa"/>
            <w:vAlign w:val="center"/>
          </w:tcPr>
          <w:p>
            <w:pPr>
              <w:jc w:val="right"/>
              <w:rPr>
                <w:szCs w:val="21"/>
              </w:rPr>
            </w:pPr>
            <w:r>
              <w:rPr>
                <w:rFonts w:hint="eastAsia"/>
                <w:color w:val="auto"/>
              </w:rPr>
              <w:t>198,198.00</w:t>
            </w:r>
          </w:p>
        </w:tc>
        <w:tc>
          <w:tcPr>
            <w:tcW w:w="1742" w:type="dxa"/>
            <w:vAlign w:val="center"/>
          </w:tcPr>
          <w:p>
            <w:pPr>
              <w:jc w:val="right"/>
              <w:rPr>
                <w:szCs w:val="21"/>
              </w:rPr>
            </w:pPr>
            <w:r>
              <w:rPr>
                <w:rFonts w:hint="eastAsia"/>
                <w:color w:val="auto"/>
                <w:szCs w:val="21"/>
              </w:rPr>
              <w:t>9,981,804.53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8" w:type="dxa"/>
            <w:vAlign w:val="center"/>
          </w:tcPr>
          <w:p>
            <w:pPr>
              <w:rPr>
                <w:szCs w:val="21"/>
              </w:rPr>
            </w:pPr>
            <w:r>
              <w:rPr>
                <w:rFonts w:hint="eastAsia"/>
                <w:color w:val="auto"/>
                <w:szCs w:val="21"/>
              </w:rPr>
              <w:t>两面针（江苏）实业有限公司</w:t>
            </w:r>
          </w:p>
        </w:tc>
        <w:tc>
          <w:tcPr>
            <w:tcW w:w="1415" w:type="dxa"/>
            <w:vAlign w:val="center"/>
          </w:tcPr>
          <w:p>
            <w:pPr>
              <w:jc w:val="right"/>
              <w:rPr>
                <w:szCs w:val="21"/>
              </w:rPr>
            </w:pPr>
            <w:r>
              <w:rPr>
                <w:rFonts w:hint="eastAsia"/>
                <w:color w:val="auto"/>
              </w:rPr>
              <w:t>6.20</w:t>
            </w:r>
          </w:p>
        </w:tc>
        <w:tc>
          <w:tcPr>
            <w:tcW w:w="2098" w:type="dxa"/>
            <w:vAlign w:val="center"/>
          </w:tcPr>
          <w:p>
            <w:pPr>
              <w:jc w:val="right"/>
              <w:rPr>
                <w:szCs w:val="21"/>
              </w:rPr>
            </w:pPr>
            <w:r>
              <w:rPr>
                <w:rFonts w:hint="eastAsia"/>
                <w:color w:val="auto"/>
                <w:szCs w:val="21"/>
              </w:rPr>
              <w:t>956,080.88</w:t>
            </w:r>
          </w:p>
        </w:tc>
        <w:tc>
          <w:tcPr>
            <w:tcW w:w="1779" w:type="dxa"/>
            <w:vAlign w:val="center"/>
          </w:tcPr>
          <w:p>
            <w:pPr>
              <w:jc w:val="right"/>
              <w:rPr>
                <w:szCs w:val="21"/>
              </w:rPr>
            </w:pPr>
            <w:r>
              <w:rPr>
                <w:rFonts w:hint="eastAsia"/>
                <w:color w:val="auto"/>
              </w:rPr>
              <w:t> </w:t>
            </w:r>
          </w:p>
        </w:tc>
        <w:tc>
          <w:tcPr>
            <w:tcW w:w="1742" w:type="dxa"/>
            <w:vAlign w:val="center"/>
          </w:tcPr>
          <w:p>
            <w:pPr>
              <w:jc w:val="right"/>
              <w:rPr>
                <w:szCs w:val="21"/>
              </w:rPr>
            </w:pPr>
            <w:r>
              <w:rPr>
                <w:rFonts w:hint="eastAsia"/>
                <w:color w:val="auto"/>
                <w:szCs w:val="21"/>
              </w:rPr>
              <w:t>15,031,998.14</w:t>
            </w:r>
          </w:p>
        </w:tc>
      </w:tr>
    </w:tbl>
    <w:p>
      <w:pPr>
        <w:rPr>
          <w:rFonts w:cs="Arial"/>
          <w:szCs w:val="21"/>
        </w:rPr>
      </w:pPr>
      <w:r>
        <w:rPr>
          <w:rFonts w:hint="eastAsia" w:cs="Arial"/>
          <w:szCs w:val="21"/>
        </w:rPr>
        <w:t>子公司少数股东的持股比例不同于表决权比例的说明：</w:t>
      </w:r>
    </w:p>
    <w:sdt>
      <w:sdtPr>
        <w:rPr>
          <w:rFonts w:cs="Arial"/>
          <w:szCs w:val="21"/>
        </w:rPr>
        <w:alias w:val="是否适用：子公司少数股东的持股比例不同于表决权比例的说明[双击切换]"/>
        <w:tag w:val="_GBC_eb13eae90d024e1384cf2a06768aea73"/>
        <w:id w:val="7878"/>
        <w:placeholder>
          <w:docPart w:val="GBC22222222222222222222222222222"/>
        </w:placeholder>
      </w:sdtPr>
      <w:sdtEndPr>
        <w:rPr>
          <w:rFonts w:cs="Arial"/>
          <w:szCs w:val="21"/>
        </w:rPr>
      </w:sdtEndPr>
      <w:sdtContent>
        <w:p>
          <w:pPr>
            <w:rPr>
              <w:rFonts w:cs="Arial"/>
              <w:szCs w:val="21"/>
            </w:rPr>
          </w:pPr>
          <w:r>
            <w:rPr>
              <w:rFonts w:ascii="宋体" w:hAnsi="宋体" w:cs="Arial"/>
              <w:szCs w:val="21"/>
            </w:rPr>
            <w:fldChar w:fldCharType="begin"/>
          </w:r>
          <w:r>
            <w:rPr>
              <w:rFonts w:hint="eastAsia" w:ascii="宋体" w:hAnsi="宋体" w:cs="Arial"/>
              <w:szCs w:val="21"/>
            </w:rPr>
            <w:instrText xml:space="preserve">MACROBUTTON  SnrToggleCheckbox □适用 </w:instrText>
          </w:r>
          <w:r>
            <w:rPr>
              <w:rFonts w:ascii="宋体" w:hAnsi="宋体" w:cs="Arial"/>
              <w:szCs w:val="21"/>
            </w:rPr>
            <w:fldChar w:fldCharType="end"/>
          </w:r>
          <w:r>
            <w:rPr>
              <w:rFonts w:ascii="宋体" w:hAnsi="宋体" w:cs="Arial"/>
              <w:szCs w:val="21"/>
            </w:rPr>
            <w:fldChar w:fldCharType="begin"/>
          </w:r>
          <w:r>
            <w:rPr>
              <w:rFonts w:ascii="宋体" w:hAnsi="宋体" w:cs="Arial"/>
              <w:szCs w:val="21"/>
            </w:rPr>
            <w:instrText xml:space="preserve"> MACROBUTTON  SnrToggleCheckbox √不适用 </w:instrText>
          </w:r>
          <w:r>
            <w:rPr>
              <w:rFonts w:ascii="宋体" w:hAnsi="宋体" w:cs="Arial"/>
              <w:szCs w:val="21"/>
            </w:rPr>
            <w:fldChar w:fldCharType="end"/>
          </w:r>
        </w:p>
      </w:sdtContent>
    </w:sdt>
    <w:p>
      <w:pPr>
        <w:rPr>
          <w:rFonts w:cs="Arial"/>
          <w:szCs w:val="21"/>
        </w:rPr>
      </w:pPr>
    </w:p>
    <w:p>
      <w:pPr>
        <w:rPr>
          <w:rFonts w:cs="Arial"/>
          <w:szCs w:val="21"/>
        </w:rPr>
      </w:pPr>
      <w:r>
        <w:rPr>
          <w:rFonts w:hint="eastAsia" w:cs="Arial"/>
          <w:szCs w:val="21"/>
        </w:rPr>
        <w:t>其他说明：</w:t>
      </w:r>
    </w:p>
    <w:sdt>
      <w:sdtPr>
        <w:rPr>
          <w:rFonts w:cs="Arial"/>
          <w:szCs w:val="21"/>
        </w:rPr>
        <w:alias w:val="是否适用：重要的非全资子公司其他说明[双击切换]"/>
        <w:tag w:val="_GBC_eb65403cb5164cc9a0cf4afea08b150d"/>
        <w:id w:val="7879"/>
        <w:placeholder>
          <w:docPart w:val="GBC22222222222222222222222222222"/>
        </w:placeholder>
      </w:sdtPr>
      <w:sdtEndPr>
        <w:rPr>
          <w:rFonts w:cs="Arial"/>
          <w:szCs w:val="21"/>
        </w:rPr>
      </w:sdtEndPr>
      <w:sdtContent>
        <w:p>
          <w:pPr>
            <w:rPr>
              <w:rFonts w:cs="Arial"/>
              <w:szCs w:val="21"/>
            </w:rPr>
          </w:pPr>
          <w:r>
            <w:rPr>
              <w:rFonts w:ascii="宋体" w:hAnsi="宋体" w:cs="Arial"/>
              <w:szCs w:val="21"/>
            </w:rPr>
            <w:fldChar w:fldCharType="begin"/>
          </w:r>
          <w:r>
            <w:rPr>
              <w:rFonts w:hint="eastAsia" w:ascii="宋体" w:hAnsi="宋体" w:cs="Arial"/>
              <w:szCs w:val="21"/>
            </w:rPr>
            <w:instrText xml:space="preserve">MACROBUTTON  SnrToggleCheckbox □适用 </w:instrText>
          </w:r>
          <w:r>
            <w:rPr>
              <w:rFonts w:ascii="宋体" w:hAnsi="宋体" w:cs="Arial"/>
              <w:szCs w:val="21"/>
            </w:rPr>
            <w:fldChar w:fldCharType="end"/>
          </w:r>
          <w:r>
            <w:rPr>
              <w:rFonts w:ascii="宋体" w:hAnsi="宋体" w:cs="Arial"/>
              <w:szCs w:val="21"/>
            </w:rPr>
            <w:fldChar w:fldCharType="begin"/>
          </w:r>
          <w:r>
            <w:rPr>
              <w:rFonts w:ascii="宋体" w:hAnsi="宋体" w:cs="Arial"/>
              <w:szCs w:val="21"/>
            </w:rPr>
            <w:instrText xml:space="preserve"> MACROBUTTON  SnrToggleCheckbox √不适用 </w:instrText>
          </w:r>
          <w:r>
            <w:rPr>
              <w:rFonts w:ascii="宋体" w:hAnsi="宋体" w:cs="Arial"/>
              <w:szCs w:val="21"/>
            </w:rPr>
            <w:fldChar w:fldCharType="end"/>
          </w:r>
        </w:p>
      </w:sdtContent>
    </w:sdt>
    <w:p>
      <w:pPr>
        <w:rPr>
          <w:rFonts w:cs="Arial"/>
          <w:szCs w:val="21"/>
        </w:rPr>
        <w:sectPr>
          <w:pgSz w:w="11906" w:h="16838"/>
          <w:pgMar w:top="1525" w:right="1276" w:bottom="1440" w:left="1797" w:header="856" w:footer="992" w:gutter="0"/>
          <w:cols w:space="425" w:num="1"/>
          <w:docGrid w:linePitch="312" w:charSpace="0"/>
        </w:sectPr>
      </w:pPr>
    </w:p>
    <w:p>
      <w:pPr>
        <w:pStyle w:val="17"/>
      </w:pPr>
    </w:p>
    <w:p>
      <w:pPr>
        <w:pStyle w:val="5"/>
        <w:numPr>
          <w:ilvl w:val="3"/>
          <w:numId w:val="109"/>
        </w:numPr>
        <w:ind w:left="424" w:hanging="426" w:hangingChars="202"/>
        <w:rPr>
          <w:rFonts w:hint="eastAsia"/>
        </w:rPr>
      </w:pPr>
      <w:r>
        <w:rPr>
          <w:rFonts w:hint="eastAsia"/>
        </w:rPr>
        <w:t>重要非全资子公司的主要财务信息</w:t>
      </w:r>
    </w:p>
    <w:sdt>
      <w:sdtPr>
        <w:alias w:val="是否适用：重要非全资子公司的主要财务信息[双击切换]"/>
        <w:tag w:val="_GBC_04ab753eff3c46fda94161ee757bd1fa"/>
        <w:id w:val="788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财务附注：重要非全资子公司的主要财务信息"/>
          <w:tag w:val="_GBC_ba918360b15748859fb63cacad1f617d"/>
          <w:id w:val="788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财务附注：重要非全资子公司的主要财务信息"/>
          <w:tag w:val="_GBC_af5cc4f1e7a74e3d8f9c9fea25fdf05f"/>
          <w:id w:val="788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15110" w:type="dxa"/>
        <w:tblInd w:w="-8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245"/>
        <w:gridCol w:w="1110"/>
        <w:gridCol w:w="1185"/>
        <w:gridCol w:w="1155"/>
        <w:gridCol w:w="1215"/>
        <w:gridCol w:w="1140"/>
        <w:gridCol w:w="1170"/>
        <w:gridCol w:w="1080"/>
        <w:gridCol w:w="1185"/>
        <w:gridCol w:w="1308"/>
        <w:gridCol w:w="1250"/>
        <w:gridCol w:w="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680" w:type="dxa"/>
            <w:vMerge w:val="restart"/>
            <w:vAlign w:val="center"/>
          </w:tcPr>
          <w:sdt>
            <w:sdtPr>
              <w:rPr>
                <w:sz w:val="18"/>
              </w:rPr>
              <w:tag w:val="_PLD_d5dae06c1d0c4fdea02e2f6e645a1e09"/>
              <w:id w:val="7883"/>
            </w:sdtPr>
            <w:sdtEndPr>
              <w:rPr>
                <w:sz w:val="18"/>
              </w:rPr>
            </w:sdtEndPr>
            <w:sdtContent>
              <w:p>
                <w:pPr>
                  <w:ind w:right="-16"/>
                  <w:jc w:val="center"/>
                  <w:rPr>
                    <w:rFonts w:cs="Arial"/>
                    <w:bCs/>
                    <w:sz w:val="18"/>
                    <w:szCs w:val="21"/>
                  </w:rPr>
                </w:pPr>
                <w:r>
                  <w:rPr>
                    <w:rFonts w:hint="eastAsia" w:cs="Arial"/>
                    <w:bCs/>
                    <w:sz w:val="18"/>
                    <w:szCs w:val="21"/>
                    <w:lang w:val="en-GB"/>
                  </w:rPr>
                  <w:t>子公司名称</w:t>
                </w:r>
              </w:p>
            </w:sdtContent>
          </w:sdt>
        </w:tc>
        <w:tc>
          <w:tcPr>
            <w:tcW w:w="7050" w:type="dxa"/>
            <w:gridSpan w:val="6"/>
            <w:vAlign w:val="center"/>
          </w:tcPr>
          <w:sdt>
            <w:sdtPr>
              <w:rPr>
                <w:sz w:val="18"/>
              </w:rPr>
              <w:tag w:val="_PLD_6cc7af9079654f428ee1cf0edd2c70b1"/>
              <w:id w:val="7884"/>
            </w:sdtPr>
            <w:sdtEndPr>
              <w:rPr>
                <w:sz w:val="18"/>
              </w:rPr>
            </w:sdtEndPr>
            <w:sdtContent>
              <w:p>
                <w:pPr>
                  <w:ind w:right="-16"/>
                  <w:jc w:val="center"/>
                  <w:rPr>
                    <w:rFonts w:cs="Arial"/>
                    <w:bCs/>
                    <w:sz w:val="18"/>
                    <w:szCs w:val="21"/>
                  </w:rPr>
                </w:pPr>
                <w:r>
                  <w:rPr>
                    <w:rFonts w:hint="eastAsia" w:cs="Arial"/>
                    <w:bCs/>
                    <w:sz w:val="18"/>
                    <w:szCs w:val="21"/>
                    <w:lang w:val="en-GB"/>
                  </w:rPr>
                  <w:t>期末余额</w:t>
                </w:r>
              </w:p>
            </w:sdtContent>
          </w:sdt>
        </w:tc>
        <w:tc>
          <w:tcPr>
            <w:tcW w:w="7380" w:type="dxa"/>
            <w:gridSpan w:val="6"/>
            <w:vAlign w:val="center"/>
          </w:tcPr>
          <w:sdt>
            <w:sdtPr>
              <w:rPr>
                <w:sz w:val="18"/>
              </w:rPr>
              <w:tag w:val="_PLD_64749f66f68948bd92fb0a885f835f78"/>
              <w:id w:val="7885"/>
            </w:sdtPr>
            <w:sdtEndPr>
              <w:rPr>
                <w:sz w:val="18"/>
              </w:rPr>
            </w:sdtEndPr>
            <w:sdtContent>
              <w:p>
                <w:pPr>
                  <w:ind w:right="-16"/>
                  <w:jc w:val="center"/>
                  <w:rPr>
                    <w:rFonts w:cs="Arial"/>
                    <w:bCs/>
                    <w:sz w:val="18"/>
                    <w:szCs w:val="21"/>
                  </w:rPr>
                </w:pPr>
                <w:r>
                  <w:rPr>
                    <w:rFonts w:hint="eastAsia" w:cs="Arial"/>
                    <w:bCs/>
                    <w:sz w:val="18"/>
                    <w:szCs w:val="21"/>
                    <w:lang w:val="en-GB"/>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680" w:type="dxa"/>
            <w:vMerge w:val="continue"/>
            <w:vAlign w:val="center"/>
          </w:tcPr>
          <w:p>
            <w:pPr>
              <w:rPr>
                <w:rFonts w:cs="Arial"/>
                <w:bCs/>
                <w:sz w:val="18"/>
                <w:szCs w:val="21"/>
              </w:rPr>
            </w:pPr>
          </w:p>
        </w:tc>
        <w:tc>
          <w:tcPr>
            <w:tcW w:w="1245" w:type="dxa"/>
            <w:vAlign w:val="center"/>
          </w:tcPr>
          <w:sdt>
            <w:sdtPr>
              <w:rPr>
                <w:sz w:val="18"/>
              </w:rPr>
              <w:tag w:val="_PLD_bfcbeed8b46d4b8da13c03613130a3c9"/>
              <w:id w:val="7886"/>
            </w:sdtPr>
            <w:sdtEndPr>
              <w:rPr>
                <w:sz w:val="18"/>
              </w:rPr>
            </w:sdtEndPr>
            <w:sdtContent>
              <w:p>
                <w:pPr>
                  <w:jc w:val="center"/>
                  <w:rPr>
                    <w:rFonts w:cs="Arial"/>
                    <w:sz w:val="18"/>
                    <w:szCs w:val="21"/>
                  </w:rPr>
                </w:pPr>
                <w:r>
                  <w:rPr>
                    <w:rFonts w:hint="eastAsia" w:cs="Arial"/>
                    <w:sz w:val="18"/>
                    <w:szCs w:val="21"/>
                    <w:lang w:val="en-GB"/>
                  </w:rPr>
                  <w:t>流动资产</w:t>
                </w:r>
              </w:p>
            </w:sdtContent>
          </w:sdt>
        </w:tc>
        <w:tc>
          <w:tcPr>
            <w:tcW w:w="1110" w:type="dxa"/>
            <w:vAlign w:val="center"/>
          </w:tcPr>
          <w:sdt>
            <w:sdtPr>
              <w:rPr>
                <w:sz w:val="18"/>
              </w:rPr>
              <w:tag w:val="_PLD_22bcaa48c51f400d9b2d6a387002778f"/>
              <w:id w:val="7887"/>
            </w:sdtPr>
            <w:sdtEndPr>
              <w:rPr>
                <w:sz w:val="18"/>
              </w:rPr>
            </w:sdtEndPr>
            <w:sdtContent>
              <w:p>
                <w:pPr>
                  <w:ind w:left="-40" w:right="-97"/>
                  <w:jc w:val="center"/>
                  <w:rPr>
                    <w:rFonts w:cs="Arial"/>
                    <w:sz w:val="18"/>
                    <w:szCs w:val="21"/>
                  </w:rPr>
                </w:pPr>
                <w:r>
                  <w:rPr>
                    <w:rFonts w:hint="eastAsia" w:cs="Arial"/>
                    <w:sz w:val="18"/>
                    <w:szCs w:val="21"/>
                    <w:lang w:val="en-GB"/>
                  </w:rPr>
                  <w:t>非流动资产</w:t>
                </w:r>
              </w:p>
            </w:sdtContent>
          </w:sdt>
        </w:tc>
        <w:tc>
          <w:tcPr>
            <w:tcW w:w="1185" w:type="dxa"/>
            <w:vAlign w:val="center"/>
          </w:tcPr>
          <w:sdt>
            <w:sdtPr>
              <w:rPr>
                <w:sz w:val="18"/>
              </w:rPr>
              <w:tag w:val="_PLD_a7790df686914e0f8cc8668009824e9e"/>
              <w:id w:val="7888"/>
            </w:sdtPr>
            <w:sdtEndPr>
              <w:rPr>
                <w:sz w:val="18"/>
              </w:rPr>
            </w:sdtEndPr>
            <w:sdtContent>
              <w:p>
                <w:pPr>
                  <w:jc w:val="center"/>
                  <w:rPr>
                    <w:rFonts w:cs="Arial"/>
                    <w:sz w:val="18"/>
                    <w:szCs w:val="21"/>
                  </w:rPr>
                </w:pPr>
                <w:r>
                  <w:rPr>
                    <w:rFonts w:hint="eastAsia" w:cs="Arial"/>
                    <w:sz w:val="18"/>
                    <w:szCs w:val="21"/>
                    <w:lang w:val="en-GB"/>
                  </w:rPr>
                  <w:t>资产合计</w:t>
                </w:r>
              </w:p>
            </w:sdtContent>
          </w:sdt>
        </w:tc>
        <w:tc>
          <w:tcPr>
            <w:tcW w:w="1155" w:type="dxa"/>
            <w:vAlign w:val="center"/>
          </w:tcPr>
          <w:sdt>
            <w:sdtPr>
              <w:rPr>
                <w:sz w:val="18"/>
              </w:rPr>
              <w:tag w:val="_PLD_a6a87cbf1eb046db9bbca57bcceaf08a"/>
              <w:id w:val="7889"/>
            </w:sdtPr>
            <w:sdtEndPr>
              <w:rPr>
                <w:sz w:val="18"/>
              </w:rPr>
            </w:sdtEndPr>
            <w:sdtContent>
              <w:p>
                <w:pPr>
                  <w:jc w:val="center"/>
                  <w:rPr>
                    <w:rFonts w:cs="Arial"/>
                    <w:sz w:val="18"/>
                    <w:szCs w:val="21"/>
                  </w:rPr>
                </w:pPr>
                <w:r>
                  <w:rPr>
                    <w:rFonts w:hint="eastAsia" w:cs="Arial"/>
                    <w:sz w:val="18"/>
                    <w:szCs w:val="21"/>
                    <w:lang w:val="en-GB"/>
                  </w:rPr>
                  <w:t>流动负债</w:t>
                </w:r>
              </w:p>
            </w:sdtContent>
          </w:sdt>
        </w:tc>
        <w:tc>
          <w:tcPr>
            <w:tcW w:w="1215" w:type="dxa"/>
            <w:vAlign w:val="center"/>
          </w:tcPr>
          <w:sdt>
            <w:sdtPr>
              <w:rPr>
                <w:sz w:val="18"/>
              </w:rPr>
              <w:tag w:val="_PLD_bed2f2ec1880450a93ab1b045e836c87"/>
              <w:id w:val="7890"/>
            </w:sdtPr>
            <w:sdtEndPr>
              <w:rPr>
                <w:sz w:val="18"/>
              </w:rPr>
            </w:sdtEndPr>
            <w:sdtContent>
              <w:p>
                <w:pPr>
                  <w:ind w:left="-40" w:right="-97"/>
                  <w:jc w:val="center"/>
                  <w:rPr>
                    <w:rFonts w:cs="Arial"/>
                    <w:sz w:val="18"/>
                    <w:szCs w:val="21"/>
                  </w:rPr>
                </w:pPr>
                <w:r>
                  <w:rPr>
                    <w:rFonts w:hint="eastAsia" w:cs="Arial"/>
                    <w:sz w:val="18"/>
                    <w:szCs w:val="21"/>
                    <w:lang w:val="en-GB"/>
                  </w:rPr>
                  <w:t>非流动负债</w:t>
                </w:r>
              </w:p>
            </w:sdtContent>
          </w:sdt>
        </w:tc>
        <w:tc>
          <w:tcPr>
            <w:tcW w:w="1140" w:type="dxa"/>
            <w:vAlign w:val="center"/>
          </w:tcPr>
          <w:sdt>
            <w:sdtPr>
              <w:rPr>
                <w:sz w:val="18"/>
              </w:rPr>
              <w:tag w:val="_PLD_3609f15b31554b67a5a1ff617bd5582d"/>
              <w:id w:val="7891"/>
            </w:sdtPr>
            <w:sdtEndPr>
              <w:rPr>
                <w:sz w:val="18"/>
              </w:rPr>
            </w:sdtEndPr>
            <w:sdtContent>
              <w:p>
                <w:pPr>
                  <w:jc w:val="center"/>
                  <w:rPr>
                    <w:rFonts w:cs="Arial"/>
                    <w:sz w:val="18"/>
                    <w:szCs w:val="21"/>
                  </w:rPr>
                </w:pPr>
                <w:r>
                  <w:rPr>
                    <w:rFonts w:hint="eastAsia" w:cs="Arial"/>
                    <w:sz w:val="18"/>
                    <w:szCs w:val="21"/>
                    <w:lang w:val="en-GB"/>
                  </w:rPr>
                  <w:t>负债合计</w:t>
                </w:r>
              </w:p>
            </w:sdtContent>
          </w:sdt>
        </w:tc>
        <w:tc>
          <w:tcPr>
            <w:tcW w:w="1170" w:type="dxa"/>
            <w:vAlign w:val="center"/>
          </w:tcPr>
          <w:sdt>
            <w:sdtPr>
              <w:rPr>
                <w:sz w:val="18"/>
              </w:rPr>
              <w:tag w:val="_PLD_35c03e5c5e124d339d35180c4515f97a"/>
              <w:id w:val="7892"/>
            </w:sdtPr>
            <w:sdtEndPr>
              <w:rPr>
                <w:sz w:val="18"/>
              </w:rPr>
            </w:sdtEndPr>
            <w:sdtContent>
              <w:p>
                <w:pPr>
                  <w:jc w:val="center"/>
                  <w:rPr>
                    <w:rFonts w:cs="Arial"/>
                    <w:sz w:val="18"/>
                    <w:szCs w:val="21"/>
                  </w:rPr>
                </w:pPr>
                <w:r>
                  <w:rPr>
                    <w:rFonts w:hint="eastAsia" w:cs="Arial"/>
                    <w:sz w:val="18"/>
                    <w:szCs w:val="21"/>
                    <w:lang w:val="en-GB"/>
                  </w:rPr>
                  <w:t>流动资产</w:t>
                </w:r>
              </w:p>
            </w:sdtContent>
          </w:sdt>
        </w:tc>
        <w:tc>
          <w:tcPr>
            <w:tcW w:w="1080" w:type="dxa"/>
            <w:vAlign w:val="center"/>
          </w:tcPr>
          <w:sdt>
            <w:sdtPr>
              <w:rPr>
                <w:sz w:val="18"/>
              </w:rPr>
              <w:tag w:val="_PLD_c9852fe654ce474bb582d7b8dab46c0a"/>
              <w:id w:val="7893"/>
            </w:sdtPr>
            <w:sdtEndPr>
              <w:rPr>
                <w:sz w:val="18"/>
              </w:rPr>
            </w:sdtEndPr>
            <w:sdtContent>
              <w:p>
                <w:pPr>
                  <w:ind w:left="-40" w:right="-97"/>
                  <w:jc w:val="center"/>
                  <w:rPr>
                    <w:rFonts w:cs="Arial"/>
                    <w:sz w:val="18"/>
                    <w:szCs w:val="21"/>
                  </w:rPr>
                </w:pPr>
                <w:r>
                  <w:rPr>
                    <w:rFonts w:hint="eastAsia" w:cs="Arial"/>
                    <w:sz w:val="18"/>
                    <w:szCs w:val="21"/>
                    <w:lang w:val="en-GB"/>
                  </w:rPr>
                  <w:t>非流动资产</w:t>
                </w:r>
              </w:p>
            </w:sdtContent>
          </w:sdt>
        </w:tc>
        <w:tc>
          <w:tcPr>
            <w:tcW w:w="1185" w:type="dxa"/>
            <w:vAlign w:val="center"/>
          </w:tcPr>
          <w:sdt>
            <w:sdtPr>
              <w:rPr>
                <w:sz w:val="18"/>
              </w:rPr>
              <w:tag w:val="_PLD_e7455f798f7740fdafaf89940e8195c3"/>
              <w:id w:val="7894"/>
            </w:sdtPr>
            <w:sdtEndPr>
              <w:rPr>
                <w:sz w:val="18"/>
              </w:rPr>
            </w:sdtEndPr>
            <w:sdtContent>
              <w:p>
                <w:pPr>
                  <w:jc w:val="center"/>
                  <w:rPr>
                    <w:rFonts w:cs="Arial"/>
                    <w:sz w:val="18"/>
                    <w:szCs w:val="21"/>
                  </w:rPr>
                </w:pPr>
                <w:r>
                  <w:rPr>
                    <w:rFonts w:hint="eastAsia" w:cs="Arial"/>
                    <w:sz w:val="18"/>
                    <w:szCs w:val="21"/>
                    <w:lang w:val="en-GB"/>
                  </w:rPr>
                  <w:t>资产合计</w:t>
                </w:r>
              </w:p>
            </w:sdtContent>
          </w:sdt>
        </w:tc>
        <w:tc>
          <w:tcPr>
            <w:tcW w:w="1308" w:type="dxa"/>
            <w:vAlign w:val="center"/>
          </w:tcPr>
          <w:sdt>
            <w:sdtPr>
              <w:rPr>
                <w:sz w:val="18"/>
              </w:rPr>
              <w:tag w:val="_PLD_b590bdfc5abd4f30a4b1c3cf13a2772b"/>
              <w:id w:val="7895"/>
            </w:sdtPr>
            <w:sdtEndPr>
              <w:rPr>
                <w:sz w:val="18"/>
              </w:rPr>
            </w:sdtEndPr>
            <w:sdtContent>
              <w:p>
                <w:pPr>
                  <w:jc w:val="center"/>
                  <w:rPr>
                    <w:rFonts w:cs="Arial"/>
                    <w:sz w:val="18"/>
                    <w:szCs w:val="21"/>
                  </w:rPr>
                </w:pPr>
                <w:r>
                  <w:rPr>
                    <w:rFonts w:hint="eastAsia" w:cs="Arial"/>
                    <w:sz w:val="18"/>
                    <w:szCs w:val="21"/>
                    <w:lang w:val="en-GB"/>
                  </w:rPr>
                  <w:t>流动负债</w:t>
                </w:r>
              </w:p>
            </w:sdtContent>
          </w:sdt>
        </w:tc>
        <w:tc>
          <w:tcPr>
            <w:tcW w:w="1250" w:type="dxa"/>
            <w:vAlign w:val="center"/>
          </w:tcPr>
          <w:sdt>
            <w:sdtPr>
              <w:rPr>
                <w:sz w:val="18"/>
              </w:rPr>
              <w:tag w:val="_PLD_acc4c516f1954954b9ffdd4ee0900cfe"/>
              <w:id w:val="7896"/>
            </w:sdtPr>
            <w:sdtEndPr>
              <w:rPr>
                <w:sz w:val="18"/>
              </w:rPr>
            </w:sdtEndPr>
            <w:sdtContent>
              <w:p>
                <w:pPr>
                  <w:ind w:left="-40" w:right="-97"/>
                  <w:jc w:val="center"/>
                  <w:rPr>
                    <w:rFonts w:cs="Arial"/>
                    <w:sz w:val="18"/>
                    <w:szCs w:val="21"/>
                  </w:rPr>
                </w:pPr>
                <w:r>
                  <w:rPr>
                    <w:rFonts w:hint="eastAsia" w:cs="Arial"/>
                    <w:sz w:val="18"/>
                    <w:szCs w:val="21"/>
                    <w:lang w:val="en-GB"/>
                  </w:rPr>
                  <w:t>非流动负债</w:t>
                </w:r>
              </w:p>
            </w:sdtContent>
          </w:sdt>
        </w:tc>
        <w:tc>
          <w:tcPr>
            <w:tcW w:w="1387" w:type="dxa"/>
            <w:vAlign w:val="center"/>
          </w:tcPr>
          <w:sdt>
            <w:sdtPr>
              <w:rPr>
                <w:sz w:val="18"/>
              </w:rPr>
              <w:tag w:val="_PLD_397eebedf0c14a0e8060aa378e6e579d"/>
              <w:id w:val="7897"/>
            </w:sdtPr>
            <w:sdtEndPr>
              <w:rPr>
                <w:sz w:val="18"/>
              </w:rPr>
            </w:sdtEndPr>
            <w:sdtContent>
              <w:p>
                <w:pPr>
                  <w:jc w:val="center"/>
                  <w:rPr>
                    <w:rFonts w:cs="Arial"/>
                    <w:sz w:val="18"/>
                    <w:szCs w:val="21"/>
                  </w:rPr>
                </w:pPr>
                <w:r>
                  <w:rPr>
                    <w:rFonts w:hint="eastAsia" w:cs="Arial"/>
                    <w:sz w:val="18"/>
                    <w:szCs w:val="21"/>
                    <w:lang w:val="en-GB"/>
                  </w:rPr>
                  <w:t>负债合计</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Align w:val="center"/>
          </w:tcPr>
          <w:p>
            <w:pPr>
              <w:rPr>
                <w:sz w:val="18"/>
                <w:szCs w:val="15"/>
              </w:rPr>
            </w:pPr>
            <w:r>
              <w:rPr>
                <w:rFonts w:hint="eastAsia"/>
                <w:color w:val="auto"/>
                <w:sz w:val="18"/>
                <w:szCs w:val="15"/>
              </w:rPr>
              <w:t>广西两面针亿康药业股份有限公司</w:t>
            </w:r>
          </w:p>
        </w:tc>
        <w:tc>
          <w:tcPr>
            <w:tcW w:w="1245" w:type="dxa"/>
            <w:vAlign w:val="center"/>
          </w:tcPr>
          <w:p>
            <w:pPr>
              <w:jc w:val="right"/>
              <w:rPr>
                <w:sz w:val="18"/>
                <w:szCs w:val="15"/>
              </w:rPr>
            </w:pPr>
            <w:r>
              <w:rPr>
                <w:rFonts w:hint="eastAsia"/>
                <w:color w:val="auto"/>
                <w:sz w:val="18"/>
                <w:szCs w:val="15"/>
              </w:rPr>
              <w:t>125,750,520.79</w:t>
            </w:r>
          </w:p>
        </w:tc>
        <w:tc>
          <w:tcPr>
            <w:tcW w:w="1110" w:type="dxa"/>
            <w:vAlign w:val="center"/>
          </w:tcPr>
          <w:p>
            <w:pPr>
              <w:jc w:val="right"/>
              <w:rPr>
                <w:sz w:val="18"/>
                <w:szCs w:val="15"/>
              </w:rPr>
            </w:pPr>
            <w:r>
              <w:rPr>
                <w:rFonts w:hint="eastAsia"/>
                <w:color w:val="auto"/>
                <w:sz w:val="18"/>
                <w:szCs w:val="15"/>
              </w:rPr>
              <w:t>34,088,557.22</w:t>
            </w:r>
          </w:p>
        </w:tc>
        <w:tc>
          <w:tcPr>
            <w:tcW w:w="1185" w:type="dxa"/>
            <w:vAlign w:val="center"/>
          </w:tcPr>
          <w:p>
            <w:pPr>
              <w:jc w:val="right"/>
              <w:rPr>
                <w:sz w:val="18"/>
                <w:szCs w:val="15"/>
              </w:rPr>
            </w:pPr>
            <w:r>
              <w:rPr>
                <w:rFonts w:hint="eastAsia"/>
                <w:color w:val="auto"/>
                <w:sz w:val="18"/>
                <w:szCs w:val="15"/>
              </w:rPr>
              <w:t>159,839,078.01</w:t>
            </w:r>
          </w:p>
        </w:tc>
        <w:tc>
          <w:tcPr>
            <w:tcW w:w="1155" w:type="dxa"/>
            <w:vAlign w:val="center"/>
          </w:tcPr>
          <w:p>
            <w:pPr>
              <w:jc w:val="right"/>
              <w:rPr>
                <w:sz w:val="18"/>
                <w:szCs w:val="15"/>
              </w:rPr>
            </w:pPr>
            <w:r>
              <w:rPr>
                <w:rFonts w:hint="eastAsia"/>
                <w:color w:val="auto"/>
                <w:sz w:val="18"/>
                <w:szCs w:val="15"/>
              </w:rPr>
              <w:t>58,515,037.92</w:t>
            </w:r>
          </w:p>
        </w:tc>
        <w:tc>
          <w:tcPr>
            <w:tcW w:w="1215" w:type="dxa"/>
            <w:vAlign w:val="center"/>
          </w:tcPr>
          <w:p>
            <w:pPr>
              <w:jc w:val="right"/>
              <w:rPr>
                <w:sz w:val="18"/>
                <w:szCs w:val="15"/>
              </w:rPr>
            </w:pPr>
            <w:r>
              <w:rPr>
                <w:rFonts w:hint="eastAsia"/>
                <w:color w:val="auto"/>
                <w:sz w:val="18"/>
                <w:szCs w:val="15"/>
              </w:rPr>
              <w:t>497,731.75</w:t>
            </w:r>
          </w:p>
        </w:tc>
        <w:tc>
          <w:tcPr>
            <w:tcW w:w="1140" w:type="dxa"/>
            <w:vAlign w:val="center"/>
          </w:tcPr>
          <w:p>
            <w:pPr>
              <w:jc w:val="right"/>
              <w:rPr>
                <w:sz w:val="18"/>
                <w:szCs w:val="15"/>
              </w:rPr>
            </w:pPr>
            <w:r>
              <w:rPr>
                <w:rFonts w:hint="eastAsia"/>
                <w:color w:val="auto"/>
                <w:sz w:val="18"/>
                <w:szCs w:val="15"/>
              </w:rPr>
              <w:t>59,012,769.67</w:t>
            </w:r>
          </w:p>
        </w:tc>
        <w:tc>
          <w:tcPr>
            <w:tcW w:w="1170" w:type="dxa"/>
            <w:vAlign w:val="center"/>
          </w:tcPr>
          <w:p>
            <w:pPr>
              <w:jc w:val="right"/>
              <w:rPr>
                <w:sz w:val="18"/>
                <w:szCs w:val="15"/>
              </w:rPr>
            </w:pPr>
            <w:r>
              <w:rPr>
                <w:rFonts w:hint="eastAsia"/>
                <w:color w:val="auto"/>
                <w:sz w:val="18"/>
                <w:szCs w:val="15"/>
              </w:rPr>
              <w:t>114,215,111.00</w:t>
            </w:r>
          </w:p>
        </w:tc>
        <w:tc>
          <w:tcPr>
            <w:tcW w:w="1080" w:type="dxa"/>
            <w:vAlign w:val="center"/>
          </w:tcPr>
          <w:p>
            <w:pPr>
              <w:jc w:val="right"/>
              <w:rPr>
                <w:sz w:val="18"/>
                <w:szCs w:val="15"/>
              </w:rPr>
            </w:pPr>
            <w:r>
              <w:rPr>
                <w:rFonts w:hint="eastAsia"/>
                <w:color w:val="auto"/>
                <w:sz w:val="18"/>
                <w:szCs w:val="15"/>
              </w:rPr>
              <w:t>33,643,613.93</w:t>
            </w:r>
          </w:p>
        </w:tc>
        <w:tc>
          <w:tcPr>
            <w:tcW w:w="1185" w:type="dxa"/>
            <w:vAlign w:val="center"/>
          </w:tcPr>
          <w:p>
            <w:pPr>
              <w:jc w:val="right"/>
              <w:rPr>
                <w:sz w:val="18"/>
                <w:szCs w:val="15"/>
              </w:rPr>
            </w:pPr>
            <w:r>
              <w:rPr>
                <w:rFonts w:hint="eastAsia"/>
                <w:color w:val="auto"/>
                <w:sz w:val="18"/>
                <w:szCs w:val="15"/>
              </w:rPr>
              <w:t>147,858,724.93</w:t>
            </w:r>
          </w:p>
        </w:tc>
        <w:tc>
          <w:tcPr>
            <w:tcW w:w="1308" w:type="dxa"/>
            <w:vAlign w:val="center"/>
          </w:tcPr>
          <w:p>
            <w:pPr>
              <w:jc w:val="right"/>
              <w:rPr>
                <w:sz w:val="18"/>
                <w:szCs w:val="15"/>
              </w:rPr>
            </w:pPr>
            <w:r>
              <w:rPr>
                <w:rFonts w:hint="eastAsia"/>
                <w:color w:val="auto"/>
                <w:sz w:val="18"/>
                <w:szCs w:val="15"/>
              </w:rPr>
              <w:t>49,877,029.35</w:t>
            </w:r>
          </w:p>
        </w:tc>
        <w:tc>
          <w:tcPr>
            <w:tcW w:w="1250" w:type="dxa"/>
            <w:vAlign w:val="center"/>
          </w:tcPr>
          <w:p>
            <w:pPr>
              <w:jc w:val="right"/>
              <w:rPr>
                <w:sz w:val="18"/>
                <w:szCs w:val="15"/>
              </w:rPr>
            </w:pPr>
            <w:r>
              <w:rPr>
                <w:rFonts w:hint="eastAsia"/>
                <w:color w:val="auto"/>
                <w:sz w:val="18"/>
                <w:szCs w:val="15"/>
              </w:rPr>
              <w:t>601,531.35</w:t>
            </w:r>
          </w:p>
        </w:tc>
        <w:tc>
          <w:tcPr>
            <w:tcW w:w="1387" w:type="dxa"/>
            <w:vAlign w:val="center"/>
          </w:tcPr>
          <w:p>
            <w:pPr>
              <w:jc w:val="right"/>
              <w:rPr>
                <w:sz w:val="18"/>
                <w:szCs w:val="15"/>
              </w:rPr>
            </w:pPr>
            <w:r>
              <w:rPr>
                <w:rFonts w:hint="eastAsia"/>
                <w:color w:val="auto"/>
                <w:sz w:val="18"/>
                <w:szCs w:val="15"/>
              </w:rPr>
              <w:t>50,478,560.70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Align w:val="center"/>
          </w:tcPr>
          <w:p>
            <w:pPr>
              <w:rPr>
                <w:sz w:val="18"/>
                <w:szCs w:val="15"/>
              </w:rPr>
            </w:pPr>
            <w:r>
              <w:rPr>
                <w:rFonts w:hint="eastAsia"/>
                <w:color w:val="auto"/>
                <w:sz w:val="18"/>
                <w:szCs w:val="15"/>
              </w:rPr>
              <w:t>两面针（江苏）实业有限公司</w:t>
            </w:r>
          </w:p>
        </w:tc>
        <w:tc>
          <w:tcPr>
            <w:tcW w:w="1245" w:type="dxa"/>
            <w:vAlign w:val="center"/>
          </w:tcPr>
          <w:p>
            <w:pPr>
              <w:jc w:val="right"/>
              <w:rPr>
                <w:sz w:val="18"/>
                <w:szCs w:val="15"/>
              </w:rPr>
            </w:pPr>
            <w:r>
              <w:rPr>
                <w:rFonts w:hint="eastAsia"/>
                <w:color w:val="auto"/>
                <w:sz w:val="18"/>
                <w:szCs w:val="15"/>
              </w:rPr>
              <w:t>380,570,443.50</w:t>
            </w:r>
          </w:p>
        </w:tc>
        <w:tc>
          <w:tcPr>
            <w:tcW w:w="1110" w:type="dxa"/>
            <w:vAlign w:val="center"/>
          </w:tcPr>
          <w:p>
            <w:pPr>
              <w:jc w:val="right"/>
              <w:rPr>
                <w:sz w:val="18"/>
                <w:szCs w:val="15"/>
              </w:rPr>
            </w:pPr>
            <w:r>
              <w:rPr>
                <w:rFonts w:hint="eastAsia"/>
                <w:color w:val="auto"/>
                <w:sz w:val="18"/>
                <w:szCs w:val="15"/>
              </w:rPr>
              <w:t>151,592,816.62</w:t>
            </w:r>
          </w:p>
        </w:tc>
        <w:tc>
          <w:tcPr>
            <w:tcW w:w="1185" w:type="dxa"/>
            <w:vAlign w:val="center"/>
          </w:tcPr>
          <w:p>
            <w:pPr>
              <w:jc w:val="right"/>
              <w:rPr>
                <w:sz w:val="18"/>
                <w:szCs w:val="15"/>
              </w:rPr>
            </w:pPr>
            <w:r>
              <w:rPr>
                <w:rFonts w:hint="eastAsia"/>
                <w:sz w:val="18"/>
                <w:szCs w:val="15"/>
                <w:lang w:val="en-US" w:eastAsia="zh-CN"/>
              </w:rPr>
              <w:t xml:space="preserve"> </w:t>
            </w:r>
            <w:r>
              <w:rPr>
                <w:rFonts w:hint="eastAsia"/>
                <w:color w:val="auto"/>
                <w:sz w:val="18"/>
                <w:szCs w:val="15"/>
              </w:rPr>
              <w:t>532,163,260.12</w:t>
            </w:r>
          </w:p>
        </w:tc>
        <w:tc>
          <w:tcPr>
            <w:tcW w:w="1155" w:type="dxa"/>
            <w:vAlign w:val="center"/>
          </w:tcPr>
          <w:p>
            <w:pPr>
              <w:jc w:val="right"/>
              <w:rPr>
                <w:sz w:val="18"/>
                <w:szCs w:val="15"/>
              </w:rPr>
            </w:pPr>
            <w:r>
              <w:rPr>
                <w:rFonts w:hint="eastAsia"/>
                <w:color w:val="auto"/>
                <w:sz w:val="18"/>
                <w:szCs w:val="15"/>
              </w:rPr>
              <w:t>285,616,723.57</w:t>
            </w:r>
          </w:p>
        </w:tc>
        <w:tc>
          <w:tcPr>
            <w:tcW w:w="1215" w:type="dxa"/>
            <w:vAlign w:val="center"/>
          </w:tcPr>
          <w:p>
            <w:pPr>
              <w:jc w:val="right"/>
              <w:rPr>
                <w:sz w:val="18"/>
                <w:szCs w:val="15"/>
              </w:rPr>
            </w:pPr>
            <w:r>
              <w:rPr>
                <w:rFonts w:hint="eastAsia"/>
                <w:color w:val="auto"/>
                <w:sz w:val="18"/>
                <w:szCs w:val="15"/>
              </w:rPr>
              <w:t>2,576,706.87</w:t>
            </w:r>
          </w:p>
        </w:tc>
        <w:tc>
          <w:tcPr>
            <w:tcW w:w="1140" w:type="dxa"/>
            <w:vAlign w:val="center"/>
          </w:tcPr>
          <w:p>
            <w:pPr>
              <w:jc w:val="right"/>
              <w:rPr>
                <w:sz w:val="18"/>
                <w:szCs w:val="15"/>
              </w:rPr>
            </w:pPr>
            <w:r>
              <w:rPr>
                <w:rFonts w:hint="eastAsia"/>
                <w:color w:val="auto"/>
                <w:sz w:val="18"/>
                <w:szCs w:val="15"/>
              </w:rPr>
              <w:t>288,193,430.44</w:t>
            </w:r>
          </w:p>
        </w:tc>
        <w:tc>
          <w:tcPr>
            <w:tcW w:w="1170" w:type="dxa"/>
            <w:vAlign w:val="center"/>
          </w:tcPr>
          <w:p>
            <w:pPr>
              <w:jc w:val="right"/>
              <w:rPr>
                <w:sz w:val="18"/>
                <w:szCs w:val="15"/>
              </w:rPr>
            </w:pPr>
            <w:r>
              <w:rPr>
                <w:rFonts w:hint="eastAsia"/>
                <w:color w:val="auto"/>
                <w:sz w:val="18"/>
                <w:szCs w:val="15"/>
              </w:rPr>
              <w:t>354,564,121.61</w:t>
            </w:r>
          </w:p>
        </w:tc>
        <w:tc>
          <w:tcPr>
            <w:tcW w:w="1080" w:type="dxa"/>
            <w:vAlign w:val="center"/>
          </w:tcPr>
          <w:p>
            <w:pPr>
              <w:jc w:val="right"/>
              <w:rPr>
                <w:sz w:val="18"/>
                <w:szCs w:val="15"/>
              </w:rPr>
            </w:pPr>
            <w:r>
              <w:rPr>
                <w:rFonts w:hint="eastAsia"/>
                <w:color w:val="auto"/>
                <w:sz w:val="18"/>
                <w:szCs w:val="15"/>
              </w:rPr>
              <w:t>140,868,491.88</w:t>
            </w:r>
          </w:p>
        </w:tc>
        <w:tc>
          <w:tcPr>
            <w:tcW w:w="1185" w:type="dxa"/>
            <w:vAlign w:val="center"/>
          </w:tcPr>
          <w:p>
            <w:pPr>
              <w:jc w:val="right"/>
              <w:rPr>
                <w:sz w:val="18"/>
                <w:szCs w:val="15"/>
              </w:rPr>
            </w:pPr>
            <w:r>
              <w:rPr>
                <w:rFonts w:hint="eastAsia"/>
                <w:color w:val="auto"/>
                <w:sz w:val="18"/>
                <w:szCs w:val="15"/>
              </w:rPr>
              <w:t>495,432,613.49</w:t>
            </w:r>
          </w:p>
        </w:tc>
        <w:tc>
          <w:tcPr>
            <w:tcW w:w="1308" w:type="dxa"/>
            <w:vAlign w:val="center"/>
          </w:tcPr>
          <w:p>
            <w:pPr>
              <w:jc w:val="right"/>
              <w:rPr>
                <w:sz w:val="18"/>
                <w:szCs w:val="15"/>
              </w:rPr>
            </w:pPr>
            <w:r>
              <w:rPr>
                <w:rFonts w:hint="eastAsia"/>
                <w:color w:val="auto"/>
                <w:sz w:val="18"/>
                <w:szCs w:val="15"/>
              </w:rPr>
              <w:t>262,150,672.26</w:t>
            </w:r>
          </w:p>
        </w:tc>
        <w:tc>
          <w:tcPr>
            <w:tcW w:w="1250" w:type="dxa"/>
            <w:vAlign w:val="center"/>
          </w:tcPr>
          <w:p>
            <w:pPr>
              <w:jc w:val="right"/>
              <w:rPr>
                <w:sz w:val="18"/>
                <w:szCs w:val="15"/>
              </w:rPr>
            </w:pPr>
            <w:r>
              <w:rPr>
                <w:rFonts w:hint="eastAsia"/>
                <w:color w:val="auto"/>
                <w:sz w:val="18"/>
                <w:szCs w:val="15"/>
              </w:rPr>
              <w:t>6,251,017.63</w:t>
            </w:r>
          </w:p>
        </w:tc>
        <w:tc>
          <w:tcPr>
            <w:tcW w:w="1387" w:type="dxa"/>
            <w:vAlign w:val="center"/>
          </w:tcPr>
          <w:p>
            <w:pPr>
              <w:jc w:val="right"/>
              <w:rPr>
                <w:sz w:val="18"/>
                <w:szCs w:val="15"/>
              </w:rPr>
            </w:pPr>
            <w:r>
              <w:rPr>
                <w:rFonts w:hint="eastAsia"/>
                <w:color w:val="auto"/>
                <w:sz w:val="18"/>
                <w:szCs w:val="15"/>
              </w:rPr>
              <w:t>268,401,689.89</w:t>
            </w:r>
          </w:p>
        </w:tc>
      </w:tr>
    </w:tbl>
    <w:p>
      <w:pPr>
        <w:rPr>
          <w:rFonts w:cs="Arial"/>
          <w:szCs w:val="21"/>
        </w:rPr>
      </w:pPr>
    </w:p>
    <w:tbl>
      <w:tblPr>
        <w:tblStyle w:val="38"/>
        <w:tblW w:w="0" w:type="auto"/>
        <w:tblInd w:w="-1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5"/>
        <w:gridCol w:w="1785"/>
        <w:gridCol w:w="1350"/>
        <w:gridCol w:w="1350"/>
        <w:gridCol w:w="1521"/>
        <w:gridCol w:w="1396"/>
        <w:gridCol w:w="1255"/>
        <w:gridCol w:w="1560"/>
        <w:gridCol w:w="1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1965" w:type="dxa"/>
            <w:vMerge w:val="restart"/>
            <w:vAlign w:val="center"/>
          </w:tcPr>
          <w:sdt>
            <w:sdtPr>
              <w:rPr>
                <w:sz w:val="18"/>
              </w:rPr>
              <w:tag w:val="_PLD_f862f5520ccd48d7b0fd3b875414eb44"/>
              <w:id w:val="7898"/>
            </w:sdtPr>
            <w:sdtEndPr>
              <w:rPr>
                <w:sz w:val="18"/>
              </w:rPr>
            </w:sdtEndPr>
            <w:sdtContent>
              <w:p>
                <w:pPr>
                  <w:spacing w:line="276" w:lineRule="auto"/>
                  <w:ind w:right="-16"/>
                  <w:jc w:val="center"/>
                  <w:rPr>
                    <w:rFonts w:cs="Arial"/>
                    <w:bCs/>
                    <w:sz w:val="18"/>
                    <w:szCs w:val="21"/>
                  </w:rPr>
                </w:pPr>
                <w:r>
                  <w:rPr>
                    <w:rFonts w:hint="eastAsia" w:cs="Arial"/>
                    <w:bCs/>
                    <w:sz w:val="18"/>
                    <w:szCs w:val="21"/>
                    <w:lang w:val="en-GB"/>
                  </w:rPr>
                  <w:t>子公司名称</w:t>
                </w:r>
              </w:p>
            </w:sdtContent>
          </w:sdt>
        </w:tc>
        <w:tc>
          <w:tcPr>
            <w:tcW w:w="6006" w:type="dxa"/>
            <w:gridSpan w:val="4"/>
            <w:vAlign w:val="center"/>
          </w:tcPr>
          <w:sdt>
            <w:sdtPr>
              <w:rPr>
                <w:sz w:val="18"/>
              </w:rPr>
              <w:tag w:val="_PLD_5506f9b7657a4249a69db52c93f94b62"/>
              <w:id w:val="7899"/>
            </w:sdtPr>
            <w:sdtEndPr>
              <w:rPr>
                <w:sz w:val="18"/>
              </w:rPr>
            </w:sdtEndPr>
            <w:sdtContent>
              <w:p>
                <w:pPr>
                  <w:spacing w:line="276" w:lineRule="auto"/>
                  <w:ind w:right="-16"/>
                  <w:jc w:val="center"/>
                  <w:rPr>
                    <w:rFonts w:cs="Arial"/>
                    <w:bCs/>
                    <w:sz w:val="18"/>
                    <w:szCs w:val="21"/>
                  </w:rPr>
                </w:pPr>
                <w:r>
                  <w:rPr>
                    <w:rFonts w:hint="eastAsia" w:cs="Arial"/>
                    <w:bCs/>
                    <w:sz w:val="18"/>
                    <w:szCs w:val="21"/>
                    <w:lang w:val="en-GB"/>
                  </w:rPr>
                  <w:t>本期发生额</w:t>
                </w:r>
              </w:p>
            </w:sdtContent>
          </w:sdt>
        </w:tc>
        <w:tc>
          <w:tcPr>
            <w:tcW w:w="6098" w:type="dxa"/>
            <w:gridSpan w:val="4"/>
            <w:vAlign w:val="center"/>
          </w:tcPr>
          <w:sdt>
            <w:sdtPr>
              <w:rPr>
                <w:sz w:val="18"/>
              </w:rPr>
              <w:tag w:val="_PLD_063dddde33114bd0989718130d614207"/>
              <w:id w:val="7900"/>
            </w:sdtPr>
            <w:sdtEndPr>
              <w:rPr>
                <w:sz w:val="18"/>
              </w:rPr>
            </w:sdtEndPr>
            <w:sdtContent>
              <w:p>
                <w:pPr>
                  <w:spacing w:line="276" w:lineRule="auto"/>
                  <w:ind w:right="-16"/>
                  <w:jc w:val="center"/>
                  <w:rPr>
                    <w:rFonts w:cs="Arial"/>
                    <w:bCs/>
                    <w:sz w:val="18"/>
                    <w:szCs w:val="21"/>
                  </w:rPr>
                </w:pPr>
                <w:r>
                  <w:rPr>
                    <w:rFonts w:hint="eastAsia" w:cs="Arial"/>
                    <w:bCs/>
                    <w:sz w:val="18"/>
                    <w:szCs w:val="21"/>
                    <w:lang w:val="en-GB"/>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1965" w:type="dxa"/>
            <w:vMerge w:val="continue"/>
            <w:vAlign w:val="center"/>
          </w:tcPr>
          <w:p>
            <w:pPr>
              <w:jc w:val="center"/>
              <w:rPr>
                <w:rFonts w:cs="Arial"/>
                <w:bCs/>
                <w:sz w:val="18"/>
                <w:szCs w:val="21"/>
              </w:rPr>
            </w:pPr>
          </w:p>
        </w:tc>
        <w:tc>
          <w:tcPr>
            <w:tcW w:w="1785" w:type="dxa"/>
            <w:vAlign w:val="center"/>
          </w:tcPr>
          <w:sdt>
            <w:sdtPr>
              <w:rPr>
                <w:sz w:val="18"/>
              </w:rPr>
              <w:tag w:val="_PLD_0ff6644b89fa49828839f84e0b320d2e"/>
              <w:id w:val="7901"/>
            </w:sdtPr>
            <w:sdtEndPr>
              <w:rPr>
                <w:sz w:val="18"/>
              </w:rPr>
            </w:sdtEndPr>
            <w:sdtContent>
              <w:p>
                <w:pPr>
                  <w:spacing w:line="276" w:lineRule="auto"/>
                  <w:jc w:val="center"/>
                  <w:rPr>
                    <w:rFonts w:cs="Arial"/>
                    <w:sz w:val="18"/>
                    <w:szCs w:val="21"/>
                  </w:rPr>
                </w:pPr>
                <w:r>
                  <w:rPr>
                    <w:rFonts w:hint="eastAsia" w:cs="Arial"/>
                    <w:sz w:val="18"/>
                    <w:szCs w:val="21"/>
                    <w:lang w:val="en-GB"/>
                  </w:rPr>
                  <w:t>营业收入</w:t>
                </w:r>
              </w:p>
            </w:sdtContent>
          </w:sdt>
        </w:tc>
        <w:tc>
          <w:tcPr>
            <w:tcW w:w="1350" w:type="dxa"/>
            <w:vAlign w:val="center"/>
          </w:tcPr>
          <w:sdt>
            <w:sdtPr>
              <w:rPr>
                <w:sz w:val="18"/>
              </w:rPr>
              <w:tag w:val="_PLD_3ed6f54533ae4b35b5749cded650328b"/>
              <w:id w:val="7902"/>
            </w:sdtPr>
            <w:sdtEndPr>
              <w:rPr>
                <w:sz w:val="18"/>
              </w:rPr>
            </w:sdtEndPr>
            <w:sdtContent>
              <w:p>
                <w:pPr>
                  <w:spacing w:line="276" w:lineRule="auto"/>
                  <w:jc w:val="center"/>
                  <w:rPr>
                    <w:rFonts w:cs="Arial"/>
                    <w:sz w:val="18"/>
                    <w:szCs w:val="21"/>
                  </w:rPr>
                </w:pPr>
                <w:r>
                  <w:rPr>
                    <w:rFonts w:hint="eastAsia" w:cs="Arial"/>
                    <w:sz w:val="18"/>
                    <w:szCs w:val="21"/>
                    <w:lang w:val="en-GB"/>
                  </w:rPr>
                  <w:t>净利润</w:t>
                </w:r>
              </w:p>
            </w:sdtContent>
          </w:sdt>
        </w:tc>
        <w:tc>
          <w:tcPr>
            <w:tcW w:w="1350" w:type="dxa"/>
            <w:vAlign w:val="center"/>
          </w:tcPr>
          <w:sdt>
            <w:sdtPr>
              <w:rPr>
                <w:sz w:val="18"/>
              </w:rPr>
              <w:tag w:val="_PLD_f277e496f88240b8a09027ca500f53c9"/>
              <w:id w:val="7903"/>
            </w:sdtPr>
            <w:sdtEndPr>
              <w:rPr>
                <w:sz w:val="18"/>
              </w:rPr>
            </w:sdtEndPr>
            <w:sdtContent>
              <w:p>
                <w:pPr>
                  <w:spacing w:line="276" w:lineRule="auto"/>
                  <w:jc w:val="center"/>
                  <w:rPr>
                    <w:rFonts w:cs="Arial"/>
                    <w:sz w:val="18"/>
                    <w:szCs w:val="21"/>
                  </w:rPr>
                </w:pPr>
                <w:r>
                  <w:rPr>
                    <w:rFonts w:hint="eastAsia" w:cs="Arial"/>
                    <w:sz w:val="18"/>
                    <w:szCs w:val="21"/>
                    <w:lang w:val="en-GB"/>
                  </w:rPr>
                  <w:t>综合收益总额</w:t>
                </w:r>
              </w:p>
            </w:sdtContent>
          </w:sdt>
        </w:tc>
        <w:tc>
          <w:tcPr>
            <w:tcW w:w="1521" w:type="dxa"/>
            <w:vAlign w:val="center"/>
          </w:tcPr>
          <w:sdt>
            <w:sdtPr>
              <w:rPr>
                <w:sz w:val="18"/>
              </w:rPr>
              <w:tag w:val="_PLD_b06ad8ebb20b4c158ab41b3105f22658"/>
              <w:id w:val="7904"/>
            </w:sdtPr>
            <w:sdtEndPr>
              <w:rPr>
                <w:sz w:val="18"/>
              </w:rPr>
            </w:sdtEndPr>
            <w:sdtContent>
              <w:p>
                <w:pPr>
                  <w:spacing w:line="276" w:lineRule="auto"/>
                  <w:jc w:val="center"/>
                  <w:rPr>
                    <w:rFonts w:cs="Arial"/>
                    <w:sz w:val="18"/>
                    <w:szCs w:val="21"/>
                  </w:rPr>
                </w:pPr>
                <w:r>
                  <w:rPr>
                    <w:rFonts w:hint="eastAsia" w:cs="Arial"/>
                    <w:sz w:val="18"/>
                    <w:szCs w:val="21"/>
                    <w:lang w:val="en-GB"/>
                  </w:rPr>
                  <w:t>经营活动现金流量</w:t>
                </w:r>
              </w:p>
            </w:sdtContent>
          </w:sdt>
        </w:tc>
        <w:tc>
          <w:tcPr>
            <w:tcW w:w="1396" w:type="dxa"/>
            <w:vAlign w:val="center"/>
          </w:tcPr>
          <w:sdt>
            <w:sdtPr>
              <w:rPr>
                <w:sz w:val="18"/>
              </w:rPr>
              <w:tag w:val="_PLD_4fc4163d4ea74839b6634e2ab30a43dd"/>
              <w:id w:val="7905"/>
            </w:sdtPr>
            <w:sdtEndPr>
              <w:rPr>
                <w:sz w:val="18"/>
              </w:rPr>
            </w:sdtEndPr>
            <w:sdtContent>
              <w:p>
                <w:pPr>
                  <w:spacing w:line="276" w:lineRule="auto"/>
                  <w:jc w:val="center"/>
                  <w:rPr>
                    <w:rFonts w:cs="Arial"/>
                    <w:sz w:val="18"/>
                    <w:szCs w:val="21"/>
                  </w:rPr>
                </w:pPr>
                <w:r>
                  <w:rPr>
                    <w:rFonts w:hint="eastAsia" w:cs="Arial"/>
                    <w:sz w:val="18"/>
                    <w:szCs w:val="21"/>
                    <w:lang w:val="en-GB"/>
                  </w:rPr>
                  <w:t>营业收入</w:t>
                </w:r>
              </w:p>
            </w:sdtContent>
          </w:sdt>
        </w:tc>
        <w:tc>
          <w:tcPr>
            <w:tcW w:w="1255" w:type="dxa"/>
            <w:vAlign w:val="center"/>
          </w:tcPr>
          <w:sdt>
            <w:sdtPr>
              <w:rPr>
                <w:sz w:val="18"/>
              </w:rPr>
              <w:tag w:val="_PLD_afe353d057d34119880797ab0530197f"/>
              <w:id w:val="7906"/>
            </w:sdtPr>
            <w:sdtEndPr>
              <w:rPr>
                <w:sz w:val="18"/>
              </w:rPr>
            </w:sdtEndPr>
            <w:sdtContent>
              <w:p>
                <w:pPr>
                  <w:spacing w:line="276" w:lineRule="auto"/>
                  <w:jc w:val="center"/>
                  <w:rPr>
                    <w:rFonts w:cs="Arial"/>
                    <w:sz w:val="18"/>
                    <w:szCs w:val="21"/>
                  </w:rPr>
                </w:pPr>
                <w:r>
                  <w:rPr>
                    <w:rFonts w:hint="eastAsia" w:cs="Arial"/>
                    <w:sz w:val="18"/>
                    <w:szCs w:val="21"/>
                    <w:lang w:val="en-GB"/>
                  </w:rPr>
                  <w:t>净利润</w:t>
                </w:r>
              </w:p>
            </w:sdtContent>
          </w:sdt>
        </w:tc>
        <w:tc>
          <w:tcPr>
            <w:tcW w:w="1560" w:type="dxa"/>
            <w:vAlign w:val="center"/>
          </w:tcPr>
          <w:sdt>
            <w:sdtPr>
              <w:rPr>
                <w:sz w:val="18"/>
              </w:rPr>
              <w:tag w:val="_PLD_06c5ed8a09a8478bb7daf6526e9a9894"/>
              <w:id w:val="7907"/>
            </w:sdtPr>
            <w:sdtEndPr>
              <w:rPr>
                <w:sz w:val="18"/>
              </w:rPr>
            </w:sdtEndPr>
            <w:sdtContent>
              <w:p>
                <w:pPr>
                  <w:spacing w:line="276" w:lineRule="auto"/>
                  <w:jc w:val="center"/>
                  <w:rPr>
                    <w:rFonts w:cs="Arial"/>
                    <w:sz w:val="18"/>
                    <w:szCs w:val="21"/>
                  </w:rPr>
                </w:pPr>
                <w:r>
                  <w:rPr>
                    <w:rFonts w:hint="eastAsia" w:cs="Arial"/>
                    <w:sz w:val="18"/>
                    <w:szCs w:val="21"/>
                    <w:lang w:val="en-GB"/>
                  </w:rPr>
                  <w:t>综合收益总额</w:t>
                </w:r>
              </w:p>
            </w:sdtContent>
          </w:sdt>
        </w:tc>
        <w:tc>
          <w:tcPr>
            <w:tcW w:w="1887" w:type="dxa"/>
            <w:vAlign w:val="center"/>
          </w:tcPr>
          <w:sdt>
            <w:sdtPr>
              <w:rPr>
                <w:sz w:val="18"/>
              </w:rPr>
              <w:tag w:val="_PLD_4bb5318561af41709725de1d7e458dde"/>
              <w:id w:val="7908"/>
            </w:sdtPr>
            <w:sdtEndPr>
              <w:rPr>
                <w:sz w:val="18"/>
              </w:rPr>
            </w:sdtEndPr>
            <w:sdtContent>
              <w:p>
                <w:pPr>
                  <w:spacing w:line="276" w:lineRule="auto"/>
                  <w:jc w:val="center"/>
                  <w:rPr>
                    <w:rFonts w:cs="Arial"/>
                    <w:sz w:val="18"/>
                    <w:szCs w:val="21"/>
                  </w:rPr>
                </w:pPr>
                <w:r>
                  <w:rPr>
                    <w:rFonts w:hint="eastAsia" w:cs="Arial"/>
                    <w:sz w:val="18"/>
                    <w:szCs w:val="21"/>
                    <w:lang w:val="en-GB"/>
                  </w:rPr>
                  <w:t>经营活动现金流量</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vAlign w:val="center"/>
          </w:tcPr>
          <w:p>
            <w:pPr>
              <w:spacing w:line="276" w:lineRule="auto"/>
              <w:rPr>
                <w:sz w:val="18"/>
                <w:szCs w:val="15"/>
              </w:rPr>
            </w:pPr>
            <w:r>
              <w:rPr>
                <w:rFonts w:hint="eastAsia"/>
                <w:color w:val="auto"/>
                <w:sz w:val="18"/>
                <w:szCs w:val="15"/>
              </w:rPr>
              <w:t>广西两面针亿康药业股份有限公司</w:t>
            </w:r>
          </w:p>
        </w:tc>
        <w:tc>
          <w:tcPr>
            <w:tcW w:w="1785" w:type="dxa"/>
            <w:vAlign w:val="center"/>
          </w:tcPr>
          <w:p>
            <w:pPr>
              <w:spacing w:line="276" w:lineRule="auto"/>
              <w:jc w:val="right"/>
              <w:rPr>
                <w:sz w:val="18"/>
                <w:szCs w:val="15"/>
              </w:rPr>
            </w:pPr>
            <w:r>
              <w:rPr>
                <w:rFonts w:hint="eastAsia"/>
                <w:color w:val="auto"/>
                <w:sz w:val="18"/>
                <w:szCs w:val="15"/>
              </w:rPr>
              <w:t>103,178,787.18</w:t>
            </w:r>
          </w:p>
        </w:tc>
        <w:tc>
          <w:tcPr>
            <w:tcW w:w="1350" w:type="dxa"/>
            <w:vAlign w:val="center"/>
          </w:tcPr>
          <w:p>
            <w:pPr>
              <w:spacing w:line="276" w:lineRule="auto"/>
              <w:jc w:val="right"/>
              <w:rPr>
                <w:sz w:val="18"/>
                <w:szCs w:val="15"/>
              </w:rPr>
            </w:pPr>
            <w:r>
              <w:rPr>
                <w:rFonts w:hint="eastAsia"/>
                <w:color w:val="auto"/>
                <w:sz w:val="18"/>
                <w:szCs w:val="15"/>
              </w:rPr>
              <w:t>5,448,144.11</w:t>
            </w:r>
          </w:p>
        </w:tc>
        <w:tc>
          <w:tcPr>
            <w:tcW w:w="1350" w:type="dxa"/>
            <w:vAlign w:val="center"/>
          </w:tcPr>
          <w:p>
            <w:pPr>
              <w:spacing w:line="276" w:lineRule="auto"/>
              <w:jc w:val="right"/>
              <w:rPr>
                <w:sz w:val="18"/>
                <w:szCs w:val="15"/>
              </w:rPr>
            </w:pPr>
            <w:r>
              <w:rPr>
                <w:rFonts w:hint="eastAsia"/>
                <w:color w:val="auto"/>
                <w:sz w:val="18"/>
                <w:szCs w:val="15"/>
              </w:rPr>
              <w:t>5,448,144.11</w:t>
            </w:r>
          </w:p>
        </w:tc>
        <w:tc>
          <w:tcPr>
            <w:tcW w:w="1521" w:type="dxa"/>
            <w:vAlign w:val="center"/>
          </w:tcPr>
          <w:p>
            <w:pPr>
              <w:spacing w:line="276" w:lineRule="auto"/>
              <w:jc w:val="right"/>
              <w:rPr>
                <w:sz w:val="18"/>
                <w:szCs w:val="15"/>
              </w:rPr>
            </w:pPr>
            <w:r>
              <w:rPr>
                <w:rFonts w:hint="eastAsia"/>
                <w:color w:val="auto"/>
                <w:sz w:val="18"/>
                <w:szCs w:val="15"/>
              </w:rPr>
              <w:t>26,265,064.87</w:t>
            </w:r>
          </w:p>
        </w:tc>
        <w:tc>
          <w:tcPr>
            <w:tcW w:w="1396" w:type="dxa"/>
            <w:vAlign w:val="center"/>
          </w:tcPr>
          <w:p>
            <w:pPr>
              <w:spacing w:line="276" w:lineRule="auto"/>
              <w:jc w:val="right"/>
              <w:rPr>
                <w:sz w:val="18"/>
                <w:szCs w:val="15"/>
              </w:rPr>
            </w:pPr>
            <w:r>
              <w:rPr>
                <w:rFonts w:hint="eastAsia"/>
                <w:color w:val="auto"/>
                <w:sz w:val="18"/>
                <w:szCs w:val="15"/>
              </w:rPr>
              <w:t>104,319,837.20</w:t>
            </w:r>
          </w:p>
        </w:tc>
        <w:tc>
          <w:tcPr>
            <w:tcW w:w="1255" w:type="dxa"/>
            <w:vAlign w:val="center"/>
          </w:tcPr>
          <w:p>
            <w:pPr>
              <w:spacing w:line="276" w:lineRule="auto"/>
              <w:jc w:val="right"/>
              <w:rPr>
                <w:sz w:val="18"/>
                <w:szCs w:val="15"/>
              </w:rPr>
            </w:pPr>
            <w:r>
              <w:rPr>
                <w:rFonts w:hint="eastAsia"/>
                <w:color w:val="auto"/>
                <w:sz w:val="18"/>
                <w:szCs w:val="15"/>
              </w:rPr>
              <w:t>5,659,345.17</w:t>
            </w:r>
          </w:p>
        </w:tc>
        <w:tc>
          <w:tcPr>
            <w:tcW w:w="1560" w:type="dxa"/>
            <w:vAlign w:val="center"/>
          </w:tcPr>
          <w:p>
            <w:pPr>
              <w:spacing w:line="276" w:lineRule="auto"/>
              <w:jc w:val="right"/>
              <w:rPr>
                <w:sz w:val="18"/>
                <w:szCs w:val="15"/>
              </w:rPr>
            </w:pPr>
            <w:r>
              <w:rPr>
                <w:rFonts w:hint="eastAsia"/>
                <w:color w:val="auto"/>
                <w:sz w:val="18"/>
                <w:szCs w:val="15"/>
              </w:rPr>
              <w:t>5,659,345.17</w:t>
            </w:r>
          </w:p>
        </w:tc>
        <w:tc>
          <w:tcPr>
            <w:tcW w:w="1887" w:type="dxa"/>
            <w:vAlign w:val="center"/>
          </w:tcPr>
          <w:p>
            <w:pPr>
              <w:spacing w:line="276" w:lineRule="auto"/>
              <w:jc w:val="right"/>
              <w:rPr>
                <w:sz w:val="18"/>
                <w:szCs w:val="15"/>
              </w:rPr>
            </w:pPr>
            <w:r>
              <w:rPr>
                <w:rFonts w:hint="eastAsia"/>
                <w:color w:val="auto"/>
                <w:sz w:val="18"/>
                <w:szCs w:val="15"/>
              </w:rPr>
              <w:t>890,241.73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vAlign w:val="center"/>
          </w:tcPr>
          <w:p>
            <w:pPr>
              <w:spacing w:line="276" w:lineRule="auto"/>
              <w:rPr>
                <w:sz w:val="18"/>
                <w:szCs w:val="15"/>
              </w:rPr>
            </w:pPr>
            <w:r>
              <w:rPr>
                <w:rFonts w:hint="eastAsia"/>
                <w:color w:val="auto"/>
                <w:sz w:val="18"/>
                <w:szCs w:val="15"/>
              </w:rPr>
              <w:t>两面针（江苏）实业有限公司</w:t>
            </w:r>
          </w:p>
        </w:tc>
        <w:tc>
          <w:tcPr>
            <w:tcW w:w="1785" w:type="dxa"/>
            <w:vAlign w:val="center"/>
          </w:tcPr>
          <w:p>
            <w:pPr>
              <w:spacing w:line="276" w:lineRule="auto"/>
              <w:jc w:val="right"/>
              <w:rPr>
                <w:sz w:val="18"/>
                <w:szCs w:val="15"/>
              </w:rPr>
            </w:pPr>
            <w:r>
              <w:rPr>
                <w:rFonts w:hint="eastAsia"/>
                <w:color w:val="auto"/>
                <w:sz w:val="18"/>
                <w:szCs w:val="15"/>
              </w:rPr>
              <w:t>789,835,936.90</w:t>
            </w:r>
          </w:p>
        </w:tc>
        <w:tc>
          <w:tcPr>
            <w:tcW w:w="1350" w:type="dxa"/>
            <w:vAlign w:val="center"/>
          </w:tcPr>
          <w:p>
            <w:pPr>
              <w:spacing w:line="276" w:lineRule="auto"/>
              <w:jc w:val="right"/>
              <w:rPr>
                <w:sz w:val="18"/>
                <w:szCs w:val="15"/>
              </w:rPr>
            </w:pPr>
            <w:r>
              <w:rPr>
                <w:rFonts w:hint="eastAsia"/>
                <w:color w:val="auto"/>
                <w:sz w:val="18"/>
                <w:szCs w:val="15"/>
              </w:rPr>
              <w:t>16,938,906.08</w:t>
            </w:r>
          </w:p>
        </w:tc>
        <w:tc>
          <w:tcPr>
            <w:tcW w:w="1350" w:type="dxa"/>
            <w:vAlign w:val="center"/>
          </w:tcPr>
          <w:p>
            <w:pPr>
              <w:spacing w:line="276" w:lineRule="auto"/>
              <w:jc w:val="right"/>
              <w:rPr>
                <w:sz w:val="18"/>
                <w:szCs w:val="15"/>
              </w:rPr>
            </w:pPr>
            <w:r>
              <w:rPr>
                <w:rFonts w:hint="eastAsia"/>
                <w:color w:val="auto"/>
                <w:sz w:val="18"/>
                <w:szCs w:val="15"/>
              </w:rPr>
              <w:t>16,938,906.08</w:t>
            </w:r>
          </w:p>
        </w:tc>
        <w:tc>
          <w:tcPr>
            <w:tcW w:w="1521" w:type="dxa"/>
            <w:vAlign w:val="center"/>
          </w:tcPr>
          <w:p>
            <w:pPr>
              <w:spacing w:line="276" w:lineRule="auto"/>
              <w:jc w:val="right"/>
              <w:rPr>
                <w:sz w:val="18"/>
                <w:szCs w:val="15"/>
              </w:rPr>
            </w:pPr>
            <w:r>
              <w:rPr>
                <w:rFonts w:hint="eastAsia"/>
                <w:color w:val="auto"/>
                <w:sz w:val="18"/>
                <w:szCs w:val="15"/>
              </w:rPr>
              <w:t>54,175,346.66</w:t>
            </w:r>
          </w:p>
        </w:tc>
        <w:tc>
          <w:tcPr>
            <w:tcW w:w="1396" w:type="dxa"/>
            <w:vAlign w:val="center"/>
          </w:tcPr>
          <w:p>
            <w:pPr>
              <w:spacing w:line="276" w:lineRule="auto"/>
              <w:jc w:val="right"/>
              <w:rPr>
                <w:sz w:val="18"/>
                <w:szCs w:val="15"/>
              </w:rPr>
            </w:pPr>
            <w:r>
              <w:rPr>
                <w:rFonts w:hint="eastAsia"/>
                <w:color w:val="auto"/>
                <w:sz w:val="18"/>
                <w:szCs w:val="15"/>
              </w:rPr>
              <w:t>760,840,873.81</w:t>
            </w:r>
          </w:p>
        </w:tc>
        <w:tc>
          <w:tcPr>
            <w:tcW w:w="1255" w:type="dxa"/>
            <w:vAlign w:val="center"/>
          </w:tcPr>
          <w:p>
            <w:pPr>
              <w:spacing w:line="276" w:lineRule="auto"/>
              <w:jc w:val="right"/>
              <w:rPr>
                <w:sz w:val="18"/>
                <w:szCs w:val="15"/>
              </w:rPr>
            </w:pPr>
            <w:r>
              <w:rPr>
                <w:rFonts w:hint="eastAsia"/>
                <w:color w:val="auto"/>
                <w:sz w:val="18"/>
                <w:szCs w:val="15"/>
              </w:rPr>
              <w:t>11,952,014.40</w:t>
            </w:r>
          </w:p>
        </w:tc>
        <w:tc>
          <w:tcPr>
            <w:tcW w:w="1560" w:type="dxa"/>
            <w:vAlign w:val="center"/>
          </w:tcPr>
          <w:p>
            <w:pPr>
              <w:spacing w:line="276" w:lineRule="auto"/>
              <w:jc w:val="right"/>
              <w:rPr>
                <w:sz w:val="18"/>
                <w:szCs w:val="15"/>
              </w:rPr>
            </w:pPr>
            <w:r>
              <w:rPr>
                <w:rFonts w:hint="eastAsia"/>
                <w:color w:val="auto"/>
                <w:sz w:val="18"/>
                <w:szCs w:val="15"/>
              </w:rPr>
              <w:t>11,952,014.40</w:t>
            </w:r>
          </w:p>
        </w:tc>
        <w:tc>
          <w:tcPr>
            <w:tcW w:w="1887" w:type="dxa"/>
            <w:vAlign w:val="center"/>
          </w:tcPr>
          <w:p>
            <w:pPr>
              <w:spacing w:line="276" w:lineRule="auto"/>
              <w:jc w:val="right"/>
              <w:rPr>
                <w:sz w:val="18"/>
                <w:szCs w:val="15"/>
              </w:rPr>
            </w:pPr>
            <w:r>
              <w:rPr>
                <w:rFonts w:hint="eastAsia"/>
                <w:color w:val="auto"/>
                <w:sz w:val="18"/>
                <w:szCs w:val="15"/>
              </w:rPr>
              <w:t>6,421,464.17</w:t>
            </w:r>
          </w:p>
        </w:tc>
      </w:tr>
    </w:tbl>
    <w:p>
      <w:pPr>
        <w:rPr>
          <w:rFonts w:cs="Arial"/>
          <w:szCs w:val="21"/>
        </w:rPr>
      </w:pPr>
      <w:r>
        <w:rPr>
          <w:rFonts w:hint="eastAsia" w:cs="Arial"/>
          <w:szCs w:val="21"/>
        </w:rPr>
        <w:t>其他说明：</w:t>
      </w:r>
    </w:p>
    <w:sdt>
      <w:sdtPr>
        <w:rPr>
          <w:rFonts w:cs="Arial"/>
          <w:szCs w:val="21"/>
        </w:rPr>
        <w:alias w:val="重要非全资子公司的主要财务信息的其他说明"/>
        <w:tag w:val="_GBC_c6413d961dad488aae6fcf0fda2bf33a"/>
        <w:id w:val="7909"/>
        <w:placeholder>
          <w:docPart w:val="GBC22222222222222222222222222222"/>
        </w:placeholder>
      </w:sdtPr>
      <w:sdtEndPr>
        <w:rPr>
          <w:rFonts w:cs="Arial"/>
          <w:szCs w:val="21"/>
        </w:rPr>
      </w:sdtEndPr>
      <w:sdtContent>
        <w:p>
          <w:pPr>
            <w:rPr>
              <w:rFonts w:cs="Arial"/>
              <w:szCs w:val="21"/>
            </w:rPr>
          </w:pPr>
          <w:r>
            <w:rPr>
              <w:rFonts w:cs="Arial"/>
              <w:szCs w:val="21"/>
            </w:rPr>
            <w:t>无</w:t>
          </w:r>
        </w:p>
      </w:sdtContent>
    </w:sdt>
    <w:p>
      <w:pPr>
        <w:rPr>
          <w:rFonts w:cs="Arial"/>
          <w:szCs w:val="21"/>
        </w:rPr>
        <w:sectPr>
          <w:pgSz w:w="16838" w:h="11906" w:orient="landscape"/>
          <w:pgMar w:top="1797" w:right="1525" w:bottom="1276" w:left="1440" w:header="856" w:footer="992" w:gutter="0"/>
          <w:cols w:space="425" w:num="1"/>
          <w:docGrid w:linePitch="312" w:charSpace="0"/>
        </w:sectPr>
      </w:pPr>
    </w:p>
    <w:p>
      <w:pPr>
        <w:pStyle w:val="17"/>
      </w:pPr>
    </w:p>
    <w:p>
      <w:pPr>
        <w:pStyle w:val="5"/>
        <w:numPr>
          <w:ilvl w:val="3"/>
          <w:numId w:val="109"/>
        </w:numPr>
        <w:ind w:left="424" w:hanging="426" w:hangingChars="202"/>
        <w:rPr>
          <w:rFonts w:hint="eastAsia"/>
        </w:rPr>
      </w:pPr>
      <w:r>
        <w:rPr>
          <w:rFonts w:hint="eastAsia"/>
        </w:rPr>
        <w:t>使用企业集团资产和清偿企业集团债务的重大限制</w:t>
      </w:r>
    </w:p>
    <w:sdt>
      <w:sdtPr>
        <w:alias w:val="是否适用：使用企业集团资产和清偿企业集团债务的重大限制[双击切换]"/>
        <w:tag w:val="_GBC_0dc24609295b4971a9a7ef9a15e4f46f"/>
        <w:id w:val="791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rFonts w:cs="Arial"/>
          <w:szCs w:val="21"/>
        </w:rPr>
      </w:pPr>
    </w:p>
    <w:p>
      <w:pPr>
        <w:pStyle w:val="5"/>
        <w:numPr>
          <w:ilvl w:val="3"/>
          <w:numId w:val="109"/>
        </w:numPr>
        <w:ind w:left="424" w:hanging="426" w:hangingChars="202"/>
        <w:rPr>
          <w:rFonts w:hint="eastAsia"/>
        </w:rPr>
      </w:pPr>
      <w:r>
        <w:rPr>
          <w:rFonts w:hint="eastAsia"/>
        </w:rPr>
        <w:t>向纳入合并财务报表范围的结构化主体提供的财务支持或其他支持</w:t>
      </w:r>
    </w:p>
    <w:sdt>
      <w:sdtPr>
        <w:rPr>
          <w:rFonts w:hint="eastAsia" w:cs="Arial"/>
          <w:szCs w:val="21"/>
        </w:rPr>
        <w:alias w:val="是否适用：向纳入合并财务报表范围的结构化主体提供的财务支持或其他支持[双击切换]"/>
        <w:tag w:val="_GBC_395393741a9c49d1bd1b845f818ade1e"/>
        <w:id w:val="7911"/>
        <w:placeholder>
          <w:docPart w:val="GBC22222222222222222222222222222"/>
        </w:placeholder>
      </w:sdtPr>
      <w:sdtEndPr>
        <w:rPr>
          <w:rFonts w:hint="eastAsia" w:cs="Arial"/>
          <w:szCs w:val="21"/>
        </w:rPr>
      </w:sdtEndPr>
      <w:sdtContent>
        <w:p>
          <w:pPr>
            <w:rPr>
              <w:rFonts w:cs="Arial"/>
              <w:szCs w:val="21"/>
            </w:rPr>
          </w:pPr>
          <w:r>
            <w:rPr>
              <w:rFonts w:ascii="宋体" w:hAnsi="宋体" w:cs="Arial"/>
              <w:szCs w:val="21"/>
            </w:rPr>
            <w:fldChar w:fldCharType="begin"/>
          </w:r>
          <w:r>
            <w:rPr>
              <w:rFonts w:ascii="宋体" w:hAnsi="宋体" w:cs="Arial"/>
              <w:szCs w:val="21"/>
            </w:rPr>
            <w:instrText xml:space="preserve"> </w:instrText>
          </w:r>
          <w:r>
            <w:rPr>
              <w:rFonts w:hint="eastAsia" w:ascii="宋体" w:hAnsi="宋体" w:cs="Arial"/>
              <w:szCs w:val="21"/>
            </w:rPr>
            <w:instrText xml:space="preserve">MACROBUTTON  SnrToggleCheckbox □适用 </w:instrText>
          </w:r>
          <w:r>
            <w:rPr>
              <w:rFonts w:ascii="宋体" w:hAnsi="宋体" w:cs="Arial"/>
              <w:szCs w:val="21"/>
            </w:rPr>
            <w:fldChar w:fldCharType="end"/>
          </w:r>
          <w:r>
            <w:rPr>
              <w:rFonts w:ascii="宋体" w:hAnsi="宋体" w:cs="Arial"/>
              <w:szCs w:val="21"/>
            </w:rPr>
            <w:fldChar w:fldCharType="begin"/>
          </w:r>
          <w:r>
            <w:rPr>
              <w:rFonts w:ascii="宋体" w:hAnsi="宋体" w:cs="Arial"/>
              <w:szCs w:val="21"/>
            </w:rPr>
            <w:instrText xml:space="preserve"> MACROBUTTON  SnrToggleCheckbox √不适用 </w:instrText>
          </w:r>
          <w:r>
            <w:rPr>
              <w:rFonts w:ascii="宋体" w:hAnsi="宋体" w:cs="Arial"/>
              <w:szCs w:val="21"/>
            </w:rPr>
            <w:fldChar w:fldCharType="end"/>
          </w:r>
        </w:p>
      </w:sdtContent>
    </w:sdt>
    <w:p>
      <w:pPr>
        <w:rPr>
          <w:rFonts w:cs="Arial"/>
          <w:b/>
          <w:szCs w:val="21"/>
        </w:rPr>
      </w:pPr>
    </w:p>
    <w:p>
      <w:pPr>
        <w:rPr>
          <w:szCs w:val="21"/>
        </w:rPr>
      </w:pPr>
      <w:r>
        <w:rPr>
          <w:rFonts w:hint="eastAsia"/>
          <w:szCs w:val="21"/>
        </w:rPr>
        <w:t>其他说明：</w:t>
      </w:r>
    </w:p>
    <w:sdt>
      <w:sdtPr>
        <w:rPr>
          <w:szCs w:val="21"/>
        </w:rPr>
        <w:alias w:val="是否适用：在子公司中的权益其他说明[双击切换]"/>
        <w:tag w:val="_GBC_b26ad9d381c8467f9c05b435b2cb6493"/>
        <w:id w:val="7912"/>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4"/>
        <w:numPr>
          <w:ilvl w:val="2"/>
          <w:numId w:val="108"/>
        </w:numPr>
        <w:rPr>
          <w:rFonts w:hint="eastAsia" w:ascii="宋体" w:hAnsi="宋体" w:cs="Arial"/>
          <w:szCs w:val="21"/>
        </w:rPr>
      </w:pPr>
      <w:r>
        <w:rPr>
          <w:rFonts w:hint="eastAsia" w:ascii="宋体" w:hAnsi="宋体" w:cs="Arial"/>
          <w:szCs w:val="21"/>
          <w:shd w:val="solid" w:color="FFFFFF" w:fill="auto"/>
        </w:rPr>
        <w:t>在子公司的所有者权益份额发生变化且仍控制子公司的交易</w:t>
      </w:r>
    </w:p>
    <w:sdt>
      <w:sdtPr>
        <w:alias w:val="是否适用：在子公司的所有者权益份额发生变化且仍控制子公司的交易[双击切换]"/>
        <w:tag w:val="_GBC_4c0599836d204e25b4d5d4f8434a2c4c"/>
        <w:id w:val="7913"/>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tag w:val="_PLD_f89554117ad04100932046b3b8223fad"/>
        <w:id w:val="7914"/>
      </w:sdtPr>
      <w:sdtContent>
        <w:p>
          <w:pPr>
            <w:pStyle w:val="4"/>
            <w:numPr>
              <w:ilvl w:val="2"/>
              <w:numId w:val="108"/>
            </w:numPr>
            <w:rPr>
              <w:rFonts w:hint="eastAsia" w:ascii="宋体" w:hAnsi="宋体" w:cs="Arial"/>
              <w:szCs w:val="21"/>
            </w:rPr>
          </w:pPr>
          <w:r>
            <w:rPr>
              <w:rFonts w:hint="eastAsia" w:ascii="宋体" w:hAnsi="宋体" w:cs="Arial"/>
              <w:szCs w:val="21"/>
            </w:rPr>
            <w:t>在合营企业或联营企业中的权益</w:t>
          </w:r>
        </w:p>
      </w:sdtContent>
    </w:sdt>
    <w:sdt>
      <w:sdtPr>
        <w:alias w:val="是否适用：在合营企业或联营企业中的权益[双击切换]"/>
        <w:tag w:val="_GBC_2bff91875b7a49f3929c4613048756c1"/>
        <w:id w:val="7915"/>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pStyle w:val="5"/>
        <w:numPr>
          <w:ilvl w:val="3"/>
          <w:numId w:val="110"/>
        </w:numPr>
        <w:ind w:left="424" w:hanging="426" w:hangingChars="202"/>
        <w:rPr>
          <w:rFonts w:hint="eastAsia"/>
        </w:rPr>
      </w:pPr>
      <w:r>
        <w:rPr>
          <w:rFonts w:hint="eastAsia"/>
        </w:rPr>
        <w:t>重要的合营企业或联营企业</w:t>
      </w:r>
    </w:p>
    <w:sdt>
      <w:sdtPr>
        <w:rPr>
          <w:rFonts w:hint="eastAsia"/>
        </w:rPr>
        <w:alias w:val="是否适用：重要的合营企业或联营企业[双击切换]"/>
        <w:tag w:val="_GBC_99df64ed4bb84c2da5fb54cda5ae039b"/>
        <w:id w:val="7916"/>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2"/>
        <w:gridCol w:w="1095"/>
        <w:gridCol w:w="1080"/>
        <w:gridCol w:w="1245"/>
        <w:gridCol w:w="690"/>
        <w:gridCol w:w="738"/>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382" w:type="dxa"/>
            <w:vMerge w:val="restart"/>
            <w:vAlign w:val="center"/>
          </w:tcPr>
          <w:sdt>
            <w:sdtPr>
              <w:tag w:val="_PLD_6004d65b7e3443dc82381484e3885a6b"/>
              <w:id w:val="7917"/>
            </w:sdtPr>
            <w:sdtContent>
              <w:p>
                <w:pPr>
                  <w:jc w:val="center"/>
                  <w:rPr>
                    <w:rFonts w:cs="Arial"/>
                    <w:szCs w:val="21"/>
                  </w:rPr>
                </w:pPr>
                <w:r>
                  <w:rPr>
                    <w:rFonts w:hint="eastAsia" w:cs="Arial"/>
                    <w:szCs w:val="21"/>
                    <w:lang w:val="en-GB"/>
                  </w:rPr>
                  <w:t>合营企业或联营企业名称</w:t>
                </w:r>
              </w:p>
            </w:sdtContent>
          </w:sdt>
        </w:tc>
        <w:tc>
          <w:tcPr>
            <w:tcW w:w="1095" w:type="dxa"/>
            <w:vMerge w:val="restart"/>
            <w:vAlign w:val="center"/>
          </w:tcPr>
          <w:sdt>
            <w:sdtPr>
              <w:tag w:val="_PLD_2e148655e91e4b998bd7a7d0b10c96fd"/>
              <w:id w:val="7918"/>
            </w:sdtPr>
            <w:sdtContent>
              <w:p>
                <w:pPr>
                  <w:jc w:val="center"/>
                  <w:rPr>
                    <w:rFonts w:cs="Arial"/>
                    <w:szCs w:val="21"/>
                  </w:rPr>
                </w:pPr>
                <w:r>
                  <w:rPr>
                    <w:rFonts w:hint="eastAsia" w:cs="Arial"/>
                    <w:szCs w:val="21"/>
                    <w:lang w:val="en-GB"/>
                  </w:rPr>
                  <w:t>主要经营地</w:t>
                </w:r>
              </w:p>
            </w:sdtContent>
          </w:sdt>
        </w:tc>
        <w:tc>
          <w:tcPr>
            <w:tcW w:w="1080" w:type="dxa"/>
            <w:vMerge w:val="restart"/>
            <w:vAlign w:val="center"/>
          </w:tcPr>
          <w:sdt>
            <w:sdtPr>
              <w:tag w:val="_PLD_32e2714eb7074350886ae0d40b5c34b1"/>
              <w:id w:val="7919"/>
            </w:sdtPr>
            <w:sdtContent>
              <w:p>
                <w:pPr>
                  <w:jc w:val="center"/>
                  <w:rPr>
                    <w:rFonts w:cs="Arial"/>
                    <w:szCs w:val="21"/>
                  </w:rPr>
                </w:pPr>
                <w:r>
                  <w:rPr>
                    <w:rFonts w:hint="eastAsia" w:cs="Arial"/>
                    <w:szCs w:val="21"/>
                    <w:lang w:val="en-GB"/>
                  </w:rPr>
                  <w:t>注册地</w:t>
                </w:r>
              </w:p>
            </w:sdtContent>
          </w:sdt>
        </w:tc>
        <w:tc>
          <w:tcPr>
            <w:tcW w:w="1245" w:type="dxa"/>
            <w:vMerge w:val="restart"/>
            <w:vAlign w:val="center"/>
          </w:tcPr>
          <w:sdt>
            <w:sdtPr>
              <w:tag w:val="_PLD_d429c77b8bef473a98608606ebcd4d75"/>
              <w:id w:val="7920"/>
            </w:sdtPr>
            <w:sdtContent>
              <w:p>
                <w:pPr>
                  <w:jc w:val="center"/>
                  <w:rPr>
                    <w:rFonts w:cs="Arial"/>
                    <w:szCs w:val="21"/>
                  </w:rPr>
                </w:pPr>
                <w:r>
                  <w:rPr>
                    <w:rFonts w:hint="eastAsia" w:cs="Arial"/>
                    <w:szCs w:val="21"/>
                    <w:lang w:val="en-GB"/>
                  </w:rPr>
                  <w:t>业务性质</w:t>
                </w:r>
              </w:p>
            </w:sdtContent>
          </w:sdt>
        </w:tc>
        <w:tc>
          <w:tcPr>
            <w:tcW w:w="1428" w:type="dxa"/>
            <w:gridSpan w:val="2"/>
            <w:vAlign w:val="center"/>
          </w:tcPr>
          <w:sdt>
            <w:sdtPr>
              <w:tag w:val="_PLD_bc055f9d5073401a85de2316f2a2b7ce"/>
              <w:id w:val="7921"/>
            </w:sdtPr>
            <w:sdtContent>
              <w:p>
                <w:pPr>
                  <w:jc w:val="center"/>
                  <w:rPr>
                    <w:rFonts w:cs="Arial"/>
                    <w:szCs w:val="21"/>
                  </w:rPr>
                </w:pPr>
                <w:r>
                  <w:rPr>
                    <w:rFonts w:hint="eastAsia" w:cs="Arial"/>
                    <w:szCs w:val="21"/>
                    <w:lang w:val="en-GB"/>
                  </w:rPr>
                  <w:t>持股比例</w:t>
                </w:r>
                <w:r>
                  <w:rPr>
                    <w:rFonts w:cs="Arial"/>
                    <w:szCs w:val="21"/>
                  </w:rPr>
                  <w:t>(%)</w:t>
                </w:r>
              </w:p>
            </w:sdtContent>
          </w:sdt>
        </w:tc>
        <w:tc>
          <w:tcPr>
            <w:tcW w:w="1815" w:type="dxa"/>
            <w:vMerge w:val="restart"/>
            <w:vAlign w:val="center"/>
          </w:tcPr>
          <w:sdt>
            <w:sdtPr>
              <w:tag w:val="_PLD_96c57a3220e8432f8deedb4873fcf29c"/>
              <w:id w:val="7922"/>
            </w:sdtPr>
            <w:sdtContent>
              <w:p>
                <w:pPr>
                  <w:jc w:val="center"/>
                  <w:rPr>
                    <w:rFonts w:cs="Arial"/>
                    <w:szCs w:val="21"/>
                  </w:rPr>
                </w:pPr>
                <w:r>
                  <w:rPr>
                    <w:rFonts w:hint="eastAsia" w:cs="Arial"/>
                    <w:szCs w:val="21"/>
                    <w:lang w:val="en-GB"/>
                  </w:rPr>
                  <w:t>对合营企业或联营企业投资的会计处理方法</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382" w:type="dxa"/>
            <w:vMerge w:val="continue"/>
            <w:vAlign w:val="center"/>
          </w:tcPr>
          <w:p>
            <w:pPr>
              <w:rPr>
                <w:rFonts w:cs="Arial"/>
                <w:szCs w:val="21"/>
              </w:rPr>
            </w:pPr>
          </w:p>
        </w:tc>
        <w:tc>
          <w:tcPr>
            <w:tcW w:w="1095" w:type="dxa"/>
            <w:vMerge w:val="continue"/>
            <w:vAlign w:val="center"/>
          </w:tcPr>
          <w:p>
            <w:pPr>
              <w:rPr>
                <w:rFonts w:cs="Arial"/>
                <w:szCs w:val="21"/>
              </w:rPr>
            </w:pPr>
          </w:p>
        </w:tc>
        <w:tc>
          <w:tcPr>
            <w:tcW w:w="1080" w:type="dxa"/>
            <w:vMerge w:val="continue"/>
            <w:vAlign w:val="center"/>
          </w:tcPr>
          <w:p>
            <w:pPr>
              <w:rPr>
                <w:rFonts w:cs="Arial"/>
                <w:szCs w:val="21"/>
              </w:rPr>
            </w:pPr>
          </w:p>
        </w:tc>
        <w:tc>
          <w:tcPr>
            <w:tcW w:w="1245" w:type="dxa"/>
            <w:vMerge w:val="continue"/>
            <w:vAlign w:val="center"/>
          </w:tcPr>
          <w:p>
            <w:pPr>
              <w:rPr>
                <w:rFonts w:cs="Arial"/>
                <w:szCs w:val="21"/>
              </w:rPr>
            </w:pPr>
          </w:p>
        </w:tc>
        <w:tc>
          <w:tcPr>
            <w:tcW w:w="690" w:type="dxa"/>
            <w:vAlign w:val="center"/>
          </w:tcPr>
          <w:sdt>
            <w:sdtPr>
              <w:tag w:val="_PLD_076e5c9e7ab64e6db098592664f75c64"/>
              <w:id w:val="7923"/>
            </w:sdtPr>
            <w:sdtContent>
              <w:p>
                <w:pPr>
                  <w:jc w:val="center"/>
                  <w:rPr>
                    <w:rFonts w:cs="Arial"/>
                    <w:szCs w:val="21"/>
                  </w:rPr>
                </w:pPr>
                <w:r>
                  <w:rPr>
                    <w:rFonts w:hint="eastAsia" w:cs="Arial"/>
                    <w:szCs w:val="21"/>
                    <w:lang w:val="en-GB"/>
                  </w:rPr>
                  <w:t>直接</w:t>
                </w:r>
              </w:p>
            </w:sdtContent>
          </w:sdt>
        </w:tc>
        <w:tc>
          <w:tcPr>
            <w:tcW w:w="738" w:type="dxa"/>
            <w:vAlign w:val="center"/>
          </w:tcPr>
          <w:sdt>
            <w:sdtPr>
              <w:tag w:val="_PLD_49b77f1690ee4cc88f829d510135f0bf"/>
              <w:id w:val="7924"/>
            </w:sdtPr>
            <w:sdtContent>
              <w:p>
                <w:pPr>
                  <w:jc w:val="center"/>
                  <w:rPr>
                    <w:rFonts w:cs="Arial"/>
                    <w:szCs w:val="21"/>
                  </w:rPr>
                </w:pPr>
                <w:r>
                  <w:rPr>
                    <w:rFonts w:hint="eastAsia" w:cs="Arial"/>
                    <w:szCs w:val="21"/>
                    <w:lang w:val="en-GB"/>
                  </w:rPr>
                  <w:t>间接</w:t>
                </w:r>
              </w:p>
            </w:sdtContent>
          </w:sdt>
        </w:tc>
        <w:tc>
          <w:tcPr>
            <w:tcW w:w="1815" w:type="dxa"/>
            <w:vMerge w:val="continue"/>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2" w:type="dxa"/>
            <w:vAlign w:val="center"/>
          </w:tcPr>
          <w:p>
            <w:pPr>
              <w:rPr>
                <w:szCs w:val="21"/>
              </w:rPr>
            </w:pPr>
            <w:r>
              <w:rPr>
                <w:rFonts w:hint="eastAsia"/>
                <w:color w:val="auto"/>
                <w:szCs w:val="21"/>
              </w:rPr>
              <w:t>成都同基医药有限公司</w:t>
            </w:r>
          </w:p>
        </w:tc>
        <w:tc>
          <w:tcPr>
            <w:tcW w:w="1095" w:type="dxa"/>
            <w:vAlign w:val="center"/>
          </w:tcPr>
          <w:p>
            <w:pPr>
              <w:jc w:val="center"/>
              <w:rPr>
                <w:szCs w:val="21"/>
              </w:rPr>
            </w:pPr>
            <w:r>
              <w:rPr>
                <w:rFonts w:hint="eastAsia"/>
                <w:color w:val="auto"/>
                <w:szCs w:val="21"/>
              </w:rPr>
              <w:t>四川成都</w:t>
            </w:r>
          </w:p>
        </w:tc>
        <w:tc>
          <w:tcPr>
            <w:tcW w:w="1080" w:type="dxa"/>
            <w:vAlign w:val="center"/>
          </w:tcPr>
          <w:p>
            <w:pPr>
              <w:jc w:val="center"/>
              <w:rPr>
                <w:szCs w:val="21"/>
              </w:rPr>
            </w:pPr>
            <w:r>
              <w:rPr>
                <w:rFonts w:hint="eastAsia"/>
                <w:color w:val="auto"/>
                <w:szCs w:val="21"/>
              </w:rPr>
              <w:t>四川成都</w:t>
            </w:r>
          </w:p>
        </w:tc>
        <w:tc>
          <w:tcPr>
            <w:tcW w:w="1245" w:type="dxa"/>
            <w:vAlign w:val="center"/>
          </w:tcPr>
          <w:p>
            <w:pPr>
              <w:jc w:val="center"/>
              <w:rPr>
                <w:szCs w:val="21"/>
              </w:rPr>
            </w:pPr>
            <w:r>
              <w:rPr>
                <w:rFonts w:hint="eastAsia"/>
                <w:color w:val="auto"/>
                <w:szCs w:val="21"/>
              </w:rPr>
              <w:t>商业</w:t>
            </w:r>
          </w:p>
        </w:tc>
        <w:tc>
          <w:tcPr>
            <w:tcW w:w="690" w:type="dxa"/>
            <w:vAlign w:val="center"/>
          </w:tcPr>
          <w:p>
            <w:pPr>
              <w:jc w:val="right"/>
              <w:rPr>
                <w:szCs w:val="21"/>
              </w:rPr>
            </w:pPr>
            <w:r>
              <w:rPr>
                <w:rFonts w:hint="eastAsia"/>
                <w:color w:val="auto"/>
                <w:szCs w:val="21"/>
              </w:rPr>
              <w:t> </w:t>
            </w:r>
          </w:p>
        </w:tc>
        <w:tc>
          <w:tcPr>
            <w:tcW w:w="738" w:type="dxa"/>
            <w:vAlign w:val="center"/>
          </w:tcPr>
          <w:p>
            <w:pPr>
              <w:jc w:val="right"/>
              <w:rPr>
                <w:szCs w:val="21"/>
              </w:rPr>
            </w:pPr>
            <w:r>
              <w:rPr>
                <w:rFonts w:hint="eastAsia"/>
                <w:color w:val="auto"/>
                <w:szCs w:val="21"/>
              </w:rPr>
              <w:t>35</w:t>
            </w:r>
          </w:p>
        </w:tc>
        <w:tc>
          <w:tcPr>
            <w:tcW w:w="1815" w:type="dxa"/>
            <w:vAlign w:val="center"/>
          </w:tcPr>
          <w:p>
            <w:pPr>
              <w:jc w:val="center"/>
              <w:rPr>
                <w:szCs w:val="21"/>
              </w:rPr>
            </w:pPr>
            <w:r>
              <w:rPr>
                <w:rFonts w:hint="eastAsia"/>
                <w:color w:val="auto"/>
                <w:szCs w:val="21"/>
              </w:rPr>
              <w:t>权益法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2" w:type="dxa"/>
            <w:vAlign w:val="center"/>
          </w:tcPr>
          <w:p>
            <w:pPr>
              <w:rPr>
                <w:szCs w:val="21"/>
              </w:rPr>
            </w:pPr>
            <w:r>
              <w:rPr>
                <w:rFonts w:hint="eastAsia"/>
                <w:color w:val="auto"/>
                <w:szCs w:val="21"/>
              </w:rPr>
              <w:t>广西亿康南药药业种植有限责任公司</w:t>
            </w:r>
          </w:p>
        </w:tc>
        <w:tc>
          <w:tcPr>
            <w:tcW w:w="1095" w:type="dxa"/>
            <w:vAlign w:val="center"/>
          </w:tcPr>
          <w:p>
            <w:pPr>
              <w:jc w:val="center"/>
              <w:rPr>
                <w:szCs w:val="21"/>
              </w:rPr>
            </w:pPr>
            <w:r>
              <w:rPr>
                <w:rFonts w:hint="eastAsia"/>
                <w:color w:val="auto"/>
                <w:szCs w:val="21"/>
              </w:rPr>
              <w:t>广西融水县</w:t>
            </w:r>
          </w:p>
        </w:tc>
        <w:tc>
          <w:tcPr>
            <w:tcW w:w="1080" w:type="dxa"/>
            <w:vAlign w:val="center"/>
          </w:tcPr>
          <w:p>
            <w:pPr>
              <w:jc w:val="center"/>
              <w:rPr>
                <w:szCs w:val="21"/>
              </w:rPr>
            </w:pPr>
            <w:r>
              <w:rPr>
                <w:rFonts w:hint="eastAsia"/>
                <w:color w:val="auto"/>
                <w:szCs w:val="21"/>
              </w:rPr>
              <w:t>广西融水县</w:t>
            </w:r>
          </w:p>
        </w:tc>
        <w:tc>
          <w:tcPr>
            <w:tcW w:w="1245" w:type="dxa"/>
            <w:vAlign w:val="center"/>
          </w:tcPr>
          <w:p>
            <w:pPr>
              <w:jc w:val="center"/>
              <w:rPr>
                <w:szCs w:val="21"/>
              </w:rPr>
            </w:pPr>
            <w:r>
              <w:rPr>
                <w:rFonts w:hint="eastAsia"/>
                <w:color w:val="auto"/>
                <w:szCs w:val="21"/>
              </w:rPr>
              <w:t>制造业</w:t>
            </w:r>
          </w:p>
        </w:tc>
        <w:tc>
          <w:tcPr>
            <w:tcW w:w="690" w:type="dxa"/>
            <w:vAlign w:val="center"/>
          </w:tcPr>
          <w:p>
            <w:pPr>
              <w:jc w:val="right"/>
              <w:rPr>
                <w:szCs w:val="21"/>
              </w:rPr>
            </w:pPr>
            <w:r>
              <w:rPr>
                <w:rFonts w:hint="eastAsia"/>
                <w:color w:val="auto"/>
                <w:szCs w:val="21"/>
              </w:rPr>
              <w:t> </w:t>
            </w:r>
          </w:p>
        </w:tc>
        <w:tc>
          <w:tcPr>
            <w:tcW w:w="738" w:type="dxa"/>
            <w:vAlign w:val="center"/>
          </w:tcPr>
          <w:p>
            <w:pPr>
              <w:jc w:val="right"/>
              <w:rPr>
                <w:szCs w:val="21"/>
              </w:rPr>
            </w:pPr>
            <w:r>
              <w:rPr>
                <w:rFonts w:hint="eastAsia"/>
                <w:color w:val="auto"/>
                <w:szCs w:val="21"/>
              </w:rPr>
              <w:t>40</w:t>
            </w:r>
          </w:p>
        </w:tc>
        <w:tc>
          <w:tcPr>
            <w:tcW w:w="1815" w:type="dxa"/>
            <w:vAlign w:val="center"/>
          </w:tcPr>
          <w:p>
            <w:pPr>
              <w:jc w:val="center"/>
              <w:rPr>
                <w:szCs w:val="21"/>
              </w:rPr>
            </w:pPr>
            <w:r>
              <w:rPr>
                <w:rFonts w:hint="eastAsia"/>
                <w:color w:val="auto"/>
                <w:szCs w:val="21"/>
              </w:rPr>
              <w:t>权益法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2" w:type="dxa"/>
            <w:vAlign w:val="center"/>
          </w:tcPr>
          <w:p>
            <w:pPr>
              <w:rPr>
                <w:szCs w:val="21"/>
              </w:rPr>
            </w:pPr>
            <w:r>
              <w:rPr>
                <w:rFonts w:hint="eastAsia"/>
                <w:color w:val="auto"/>
                <w:szCs w:val="21"/>
              </w:rPr>
              <w:t>柳州市玉洁口腔卫生用品有限责任公司</w:t>
            </w:r>
          </w:p>
        </w:tc>
        <w:tc>
          <w:tcPr>
            <w:tcW w:w="1095" w:type="dxa"/>
            <w:vAlign w:val="center"/>
          </w:tcPr>
          <w:p>
            <w:pPr>
              <w:jc w:val="center"/>
              <w:rPr>
                <w:szCs w:val="21"/>
              </w:rPr>
            </w:pPr>
            <w:r>
              <w:rPr>
                <w:rFonts w:hint="eastAsia"/>
                <w:color w:val="auto"/>
                <w:szCs w:val="21"/>
              </w:rPr>
              <w:t>广西柳州市</w:t>
            </w:r>
          </w:p>
        </w:tc>
        <w:tc>
          <w:tcPr>
            <w:tcW w:w="1080" w:type="dxa"/>
            <w:vAlign w:val="center"/>
          </w:tcPr>
          <w:p>
            <w:pPr>
              <w:jc w:val="center"/>
              <w:rPr>
                <w:szCs w:val="21"/>
              </w:rPr>
            </w:pPr>
            <w:r>
              <w:rPr>
                <w:rFonts w:hint="eastAsia"/>
                <w:color w:val="auto"/>
                <w:szCs w:val="21"/>
              </w:rPr>
              <w:t>广西柳州市</w:t>
            </w:r>
          </w:p>
        </w:tc>
        <w:tc>
          <w:tcPr>
            <w:tcW w:w="1245" w:type="dxa"/>
            <w:vAlign w:val="center"/>
          </w:tcPr>
          <w:p>
            <w:pPr>
              <w:jc w:val="center"/>
              <w:rPr>
                <w:szCs w:val="21"/>
              </w:rPr>
            </w:pPr>
            <w:r>
              <w:rPr>
                <w:rFonts w:hint="eastAsia"/>
                <w:color w:val="auto"/>
                <w:szCs w:val="21"/>
              </w:rPr>
              <w:t>制造业</w:t>
            </w:r>
          </w:p>
        </w:tc>
        <w:tc>
          <w:tcPr>
            <w:tcW w:w="690" w:type="dxa"/>
            <w:vAlign w:val="center"/>
          </w:tcPr>
          <w:p>
            <w:pPr>
              <w:jc w:val="right"/>
              <w:rPr>
                <w:szCs w:val="21"/>
              </w:rPr>
            </w:pPr>
            <w:r>
              <w:rPr>
                <w:rFonts w:hint="eastAsia"/>
                <w:color w:val="auto"/>
                <w:szCs w:val="21"/>
              </w:rPr>
              <w:t>40</w:t>
            </w:r>
          </w:p>
        </w:tc>
        <w:tc>
          <w:tcPr>
            <w:tcW w:w="738" w:type="dxa"/>
            <w:vAlign w:val="center"/>
          </w:tcPr>
          <w:p>
            <w:pPr>
              <w:jc w:val="right"/>
              <w:rPr>
                <w:szCs w:val="21"/>
              </w:rPr>
            </w:pPr>
            <w:r>
              <w:rPr>
                <w:rFonts w:hint="eastAsia"/>
                <w:color w:val="auto"/>
                <w:szCs w:val="21"/>
              </w:rPr>
              <w:t> </w:t>
            </w:r>
          </w:p>
        </w:tc>
        <w:tc>
          <w:tcPr>
            <w:tcW w:w="1815" w:type="dxa"/>
            <w:vAlign w:val="center"/>
          </w:tcPr>
          <w:p>
            <w:pPr>
              <w:jc w:val="center"/>
              <w:rPr>
                <w:szCs w:val="21"/>
              </w:rPr>
            </w:pPr>
            <w:r>
              <w:rPr>
                <w:rFonts w:hint="eastAsia"/>
                <w:color w:val="auto"/>
                <w:szCs w:val="21"/>
              </w:rPr>
              <w:t>权益法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2" w:type="dxa"/>
            <w:vAlign w:val="center"/>
          </w:tcPr>
          <w:p>
            <w:pPr>
              <w:rPr>
                <w:szCs w:val="21"/>
              </w:rPr>
            </w:pPr>
            <w:r>
              <w:rPr>
                <w:rFonts w:hint="eastAsia"/>
                <w:color w:val="auto"/>
                <w:szCs w:val="21"/>
              </w:rPr>
              <w:t>广西两面针九洲房地产开发有限公司</w:t>
            </w:r>
          </w:p>
        </w:tc>
        <w:tc>
          <w:tcPr>
            <w:tcW w:w="1095" w:type="dxa"/>
            <w:vAlign w:val="center"/>
          </w:tcPr>
          <w:p>
            <w:pPr>
              <w:jc w:val="center"/>
              <w:rPr>
                <w:szCs w:val="21"/>
              </w:rPr>
            </w:pPr>
            <w:r>
              <w:rPr>
                <w:rFonts w:hint="eastAsia"/>
                <w:color w:val="auto"/>
                <w:szCs w:val="21"/>
              </w:rPr>
              <w:t>广西柳州市</w:t>
            </w:r>
          </w:p>
        </w:tc>
        <w:tc>
          <w:tcPr>
            <w:tcW w:w="1080" w:type="dxa"/>
            <w:vAlign w:val="center"/>
          </w:tcPr>
          <w:p>
            <w:pPr>
              <w:jc w:val="center"/>
              <w:rPr>
                <w:szCs w:val="21"/>
              </w:rPr>
            </w:pPr>
            <w:r>
              <w:rPr>
                <w:rFonts w:hint="eastAsia"/>
                <w:color w:val="auto"/>
                <w:szCs w:val="21"/>
              </w:rPr>
              <w:t>广西柳州市</w:t>
            </w:r>
          </w:p>
        </w:tc>
        <w:tc>
          <w:tcPr>
            <w:tcW w:w="1245" w:type="dxa"/>
            <w:vAlign w:val="center"/>
          </w:tcPr>
          <w:p>
            <w:pPr>
              <w:jc w:val="center"/>
              <w:rPr>
                <w:szCs w:val="21"/>
              </w:rPr>
            </w:pPr>
            <w:r>
              <w:rPr>
                <w:rFonts w:hint="eastAsia"/>
                <w:color w:val="auto"/>
                <w:szCs w:val="21"/>
              </w:rPr>
              <w:t>房地产</w:t>
            </w:r>
          </w:p>
        </w:tc>
        <w:tc>
          <w:tcPr>
            <w:tcW w:w="690" w:type="dxa"/>
            <w:vAlign w:val="center"/>
          </w:tcPr>
          <w:p>
            <w:pPr>
              <w:jc w:val="right"/>
              <w:rPr>
                <w:szCs w:val="21"/>
              </w:rPr>
            </w:pPr>
            <w:r>
              <w:rPr>
                <w:rFonts w:hint="eastAsia"/>
                <w:color w:val="auto"/>
                <w:szCs w:val="21"/>
              </w:rPr>
              <w:t>41</w:t>
            </w:r>
          </w:p>
        </w:tc>
        <w:tc>
          <w:tcPr>
            <w:tcW w:w="738" w:type="dxa"/>
            <w:vAlign w:val="center"/>
          </w:tcPr>
          <w:p>
            <w:pPr>
              <w:jc w:val="right"/>
              <w:rPr>
                <w:szCs w:val="21"/>
              </w:rPr>
            </w:pPr>
            <w:r>
              <w:rPr>
                <w:rFonts w:hint="eastAsia"/>
                <w:color w:val="auto"/>
                <w:szCs w:val="21"/>
              </w:rPr>
              <w:t> </w:t>
            </w:r>
          </w:p>
        </w:tc>
        <w:tc>
          <w:tcPr>
            <w:tcW w:w="1815" w:type="dxa"/>
            <w:vAlign w:val="center"/>
          </w:tcPr>
          <w:p>
            <w:pPr>
              <w:jc w:val="center"/>
              <w:rPr>
                <w:szCs w:val="21"/>
              </w:rPr>
            </w:pPr>
            <w:r>
              <w:rPr>
                <w:rFonts w:hint="eastAsia"/>
                <w:color w:val="auto"/>
                <w:szCs w:val="21"/>
              </w:rPr>
              <w:t>权益法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2" w:type="dxa"/>
            <w:vAlign w:val="center"/>
          </w:tcPr>
          <w:p>
            <w:pPr>
              <w:rPr>
                <w:szCs w:val="21"/>
              </w:rPr>
            </w:pPr>
            <w:r>
              <w:rPr>
                <w:rFonts w:hint="eastAsia"/>
                <w:color w:val="auto"/>
                <w:szCs w:val="21"/>
              </w:rPr>
              <w:t>柳州两面针洗涤用品厂</w:t>
            </w:r>
          </w:p>
        </w:tc>
        <w:tc>
          <w:tcPr>
            <w:tcW w:w="1095" w:type="dxa"/>
            <w:vAlign w:val="center"/>
          </w:tcPr>
          <w:p>
            <w:pPr>
              <w:jc w:val="center"/>
              <w:rPr>
                <w:szCs w:val="21"/>
              </w:rPr>
            </w:pPr>
            <w:r>
              <w:rPr>
                <w:rFonts w:hint="eastAsia"/>
                <w:color w:val="auto"/>
                <w:szCs w:val="21"/>
              </w:rPr>
              <w:t>广西柳州市</w:t>
            </w:r>
          </w:p>
        </w:tc>
        <w:tc>
          <w:tcPr>
            <w:tcW w:w="1080" w:type="dxa"/>
            <w:vAlign w:val="center"/>
          </w:tcPr>
          <w:p>
            <w:pPr>
              <w:jc w:val="center"/>
              <w:rPr>
                <w:szCs w:val="21"/>
              </w:rPr>
            </w:pPr>
            <w:r>
              <w:rPr>
                <w:rFonts w:hint="eastAsia"/>
                <w:color w:val="auto"/>
                <w:szCs w:val="21"/>
              </w:rPr>
              <w:t>广西柳州市</w:t>
            </w:r>
          </w:p>
        </w:tc>
        <w:tc>
          <w:tcPr>
            <w:tcW w:w="1245" w:type="dxa"/>
            <w:vAlign w:val="center"/>
          </w:tcPr>
          <w:p>
            <w:pPr>
              <w:jc w:val="center"/>
              <w:rPr>
                <w:szCs w:val="21"/>
              </w:rPr>
            </w:pPr>
            <w:r>
              <w:rPr>
                <w:rFonts w:hint="eastAsia"/>
                <w:color w:val="auto"/>
                <w:szCs w:val="21"/>
              </w:rPr>
              <w:t>制造业</w:t>
            </w:r>
          </w:p>
        </w:tc>
        <w:tc>
          <w:tcPr>
            <w:tcW w:w="690" w:type="dxa"/>
            <w:vAlign w:val="center"/>
          </w:tcPr>
          <w:p>
            <w:pPr>
              <w:jc w:val="right"/>
              <w:rPr>
                <w:szCs w:val="21"/>
              </w:rPr>
            </w:pPr>
            <w:r>
              <w:rPr>
                <w:rFonts w:hint="eastAsia"/>
                <w:color w:val="auto"/>
                <w:szCs w:val="21"/>
              </w:rPr>
              <w:t> </w:t>
            </w:r>
          </w:p>
        </w:tc>
        <w:tc>
          <w:tcPr>
            <w:tcW w:w="738" w:type="dxa"/>
            <w:vAlign w:val="center"/>
          </w:tcPr>
          <w:p>
            <w:pPr>
              <w:jc w:val="right"/>
              <w:rPr>
                <w:szCs w:val="21"/>
              </w:rPr>
            </w:pPr>
            <w:r>
              <w:rPr>
                <w:rFonts w:hint="eastAsia"/>
                <w:color w:val="auto"/>
                <w:szCs w:val="21"/>
              </w:rPr>
              <w:t> </w:t>
            </w:r>
          </w:p>
        </w:tc>
        <w:tc>
          <w:tcPr>
            <w:tcW w:w="1815" w:type="dxa"/>
            <w:vAlign w:val="center"/>
          </w:tcPr>
          <w:p>
            <w:pPr>
              <w:jc w:val="center"/>
              <w:rPr>
                <w:szCs w:val="21"/>
              </w:rPr>
            </w:pPr>
          </w:p>
        </w:tc>
      </w:tr>
    </w:tbl>
    <w:p>
      <w:pPr>
        <w:rPr>
          <w:rFonts w:cs="Arial"/>
          <w:szCs w:val="21"/>
        </w:rPr>
      </w:pPr>
      <w:r>
        <w:rPr>
          <w:rFonts w:hint="eastAsia" w:cs="Arial"/>
          <w:szCs w:val="21"/>
        </w:rPr>
        <w:t>在合营企业或联营企业的持股比例不同于表决权比例的说明：</w:t>
      </w:r>
    </w:p>
    <w:sdt>
      <w:sdtPr>
        <w:rPr>
          <w:rFonts w:cs="Arial"/>
          <w:szCs w:val="21"/>
        </w:rPr>
        <w:alias w:val="在合营企业或联营企业的持股比例不同于表决权比例的说明"/>
        <w:tag w:val="_GBC_b18385c11aff4424b360bd0cb4f81376"/>
        <w:id w:val="7925"/>
        <w:placeholder>
          <w:docPart w:val="GBC22222222222222222222222222222"/>
        </w:placeholder>
      </w:sdtPr>
      <w:sdtEndPr>
        <w:rPr>
          <w:rFonts w:cs="Arial"/>
          <w:szCs w:val="21"/>
        </w:rPr>
      </w:sdtEndPr>
      <w:sdtContent>
        <w:p>
          <w:pPr>
            <w:rPr>
              <w:rFonts w:cs="Arial"/>
              <w:szCs w:val="21"/>
            </w:rPr>
          </w:pPr>
          <w:r>
            <w:rPr>
              <w:rFonts w:cs="Arial"/>
              <w:szCs w:val="21"/>
            </w:rPr>
            <w:t>无</w:t>
          </w:r>
        </w:p>
      </w:sdtContent>
    </w:sdt>
    <w:p>
      <w:pPr>
        <w:rPr>
          <w:rFonts w:cs="Arial"/>
          <w:szCs w:val="21"/>
        </w:rPr>
      </w:pPr>
    </w:p>
    <w:p>
      <w:pPr>
        <w:keepNext w:val="0"/>
        <w:keepLines w:val="0"/>
        <w:pageBreakBefore w:val="0"/>
        <w:widowControl/>
        <w:kinsoku/>
        <w:wordWrap/>
        <w:overflowPunct/>
        <w:topLinePunct w:val="0"/>
        <w:autoSpaceDE/>
        <w:autoSpaceDN/>
        <w:bidi w:val="0"/>
        <w:adjustRightInd/>
        <w:snapToGrid/>
        <w:spacing w:line="400" w:lineRule="exact"/>
        <w:textAlignment w:val="auto"/>
        <w:rPr>
          <w:rFonts w:cs="Arial"/>
          <w:sz w:val="21"/>
          <w:szCs w:val="21"/>
        </w:rPr>
      </w:pPr>
      <w:r>
        <w:rPr>
          <w:rFonts w:hint="eastAsia" w:cs="Arial"/>
          <w:sz w:val="21"/>
          <w:szCs w:val="21"/>
        </w:rPr>
        <w:t>持有</w:t>
      </w:r>
      <w:r>
        <w:rPr>
          <w:rFonts w:cs="Arial"/>
          <w:sz w:val="21"/>
          <w:szCs w:val="21"/>
        </w:rPr>
        <w:t>20%以下表决权但具有重大影响，或者持有20%或以上表决权但不具有重大影响的依据：</w:t>
      </w:r>
    </w:p>
    <w:sdt>
      <w:sdtPr>
        <w:rPr>
          <w:rFonts w:cs="Arial"/>
          <w:sz w:val="21"/>
          <w:szCs w:val="21"/>
        </w:rPr>
        <w:alias w:val="持有20%以下表决权但具有重大影响，或者持有20%或以上表决权但不具有重大影响的依据"/>
        <w:tag w:val="_GBC_08a71a8c491f4c758da0748f7570fb28"/>
        <w:id w:val="7926"/>
        <w:placeholder>
          <w:docPart w:val="GBC22222222222222222222222222222"/>
        </w:placeholder>
      </w:sdtPr>
      <w:sdtEndPr>
        <w:rPr>
          <w:rFonts w:cs="Arial"/>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60"/>
            <w:textAlignment w:val="auto"/>
            <w:rPr>
              <w:rFonts w:cs="Arial"/>
              <w:sz w:val="21"/>
              <w:szCs w:val="21"/>
            </w:rPr>
          </w:pPr>
          <w:r>
            <w:rPr>
              <w:rFonts w:hint="eastAsia" w:ascii="宋体" w:eastAsia="宋体"/>
              <w:sz w:val="21"/>
              <w:szCs w:val="21"/>
            </w:rPr>
            <w:t>注：柳州两面针洗涤用品厂系本公司的合作企业，合作双方根据合同和章程的约定经营，本公司以品牌投入，对其无股权投资关系，根据其公司章程规定，本公司享有51%的收益分配权。</w:t>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rFonts w:cstheme="minorBidi"/>
          <w:sz w:val="21"/>
          <w:szCs w:val="21"/>
        </w:rPr>
      </w:pPr>
    </w:p>
    <w:p>
      <w:pPr>
        <w:pStyle w:val="5"/>
        <w:numPr>
          <w:ilvl w:val="3"/>
          <w:numId w:val="110"/>
        </w:numPr>
        <w:ind w:left="424" w:hanging="424" w:hangingChars="201"/>
        <w:rPr>
          <w:rFonts w:hint="eastAsia"/>
        </w:rPr>
      </w:pPr>
      <w:r>
        <w:rPr>
          <w:rFonts w:hint="eastAsia"/>
        </w:rPr>
        <w:t>重要合营企业的主要财务信息</w:t>
      </w:r>
    </w:p>
    <w:sdt>
      <w:sdtPr>
        <w:rPr>
          <w:rFonts w:hint="eastAsia"/>
        </w:rPr>
        <w:alias w:val="是否适用：重要合营企业的主要财务信息[双击切换]"/>
        <w:tag w:val="_GBC_8218a872fcd045d290940ccf3b3bdfa5"/>
        <w:id w:val="7927"/>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rFonts w:cstheme="minorBidi"/>
          <w:szCs w:val="21"/>
        </w:rPr>
      </w:pPr>
    </w:p>
    <w:p>
      <w:pPr>
        <w:pStyle w:val="5"/>
        <w:numPr>
          <w:ilvl w:val="3"/>
          <w:numId w:val="110"/>
        </w:numPr>
        <w:ind w:left="424" w:hanging="424" w:hangingChars="201"/>
        <w:rPr>
          <w:rFonts w:hint="eastAsia"/>
        </w:rPr>
      </w:pPr>
      <w:r>
        <w:rPr>
          <w:rFonts w:hint="eastAsia"/>
        </w:rPr>
        <w:t>重要联营企业的主要财务信息</w:t>
      </w:r>
    </w:p>
    <w:sdt>
      <w:sdtPr>
        <w:rPr>
          <w:rFonts w:hint="eastAsia"/>
        </w:rPr>
        <w:alias w:val="是否适用：重要联营企业的主要财务信息[双击切换]"/>
        <w:tag w:val="_GBC_e570958be6b64b7d8be73c12ea5135f1"/>
        <w:id w:val="7928"/>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rFonts w:cs="Arial"/>
          <w:szCs w:val="21"/>
        </w:rPr>
      </w:pPr>
    </w:p>
    <w:p>
      <w:pPr>
        <w:pStyle w:val="5"/>
        <w:numPr>
          <w:ilvl w:val="3"/>
          <w:numId w:val="110"/>
        </w:numPr>
        <w:ind w:left="424" w:hanging="426" w:hangingChars="202"/>
        <w:rPr>
          <w:rFonts w:hint="eastAsia"/>
        </w:rPr>
      </w:pPr>
      <w:r>
        <w:rPr>
          <w:rFonts w:hint="eastAsia"/>
          <w:shd w:val="solid" w:color="FFFFFF" w:fill="auto"/>
        </w:rPr>
        <w:t>不重要的合营企业和联营企业的汇总财务信息</w:t>
      </w:r>
    </w:p>
    <w:sdt>
      <w:sdtPr>
        <w:rPr>
          <w:rFonts w:hint="eastAsia"/>
        </w:rPr>
        <w:alias w:val="是否适用：不重要的合营企业和联营企业的汇总财务信息[双击切换]"/>
        <w:tag w:val="_GBC_0aba65ffa2fc4a9db5812b38264da59a"/>
        <w:id w:val="7929"/>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rFonts w:cs="Arial"/>
          <w:szCs w:val="21"/>
        </w:rPr>
      </w:pPr>
    </w:p>
    <w:p>
      <w:pPr>
        <w:pStyle w:val="5"/>
        <w:numPr>
          <w:ilvl w:val="3"/>
          <w:numId w:val="110"/>
        </w:numPr>
        <w:ind w:left="424" w:hanging="426" w:hangingChars="202"/>
        <w:rPr>
          <w:rFonts w:hint="eastAsia"/>
        </w:rPr>
      </w:pPr>
      <w:r>
        <w:rPr>
          <w:rFonts w:hint="eastAsia"/>
        </w:rPr>
        <w:t>合营企业或联营企业向本公司转移资金的能力存在重大限制的说明</w:t>
      </w:r>
    </w:p>
    <w:sdt>
      <w:sdtPr>
        <w:rPr>
          <w:rFonts w:hint="eastAsia" w:cs="Arial"/>
          <w:szCs w:val="21"/>
        </w:rPr>
        <w:alias w:val="是否适用：合营企业或联营企业向本公司转移资金的能力存在重大限制的说明[双击切换]"/>
        <w:tag w:val="_GBC_6adf336cbf6141a59d29de2be4c5a55b"/>
        <w:id w:val="7930"/>
        <w:placeholder>
          <w:docPart w:val="GBC22222222222222222222222222222"/>
        </w:placeholder>
      </w:sdtPr>
      <w:sdtEndPr>
        <w:rPr>
          <w:rFonts w:hint="eastAsia" w:cs="Arial"/>
          <w:szCs w:val="21"/>
        </w:rPr>
      </w:sdtEndPr>
      <w:sdtContent>
        <w:p>
          <w:pPr>
            <w:rPr>
              <w:rFonts w:cs="Arial"/>
              <w:szCs w:val="21"/>
            </w:rPr>
          </w:pPr>
          <w:r>
            <w:rPr>
              <w:rFonts w:ascii="宋体" w:hAnsi="宋体" w:cs="Arial"/>
              <w:szCs w:val="21"/>
            </w:rPr>
            <w:fldChar w:fldCharType="begin"/>
          </w:r>
          <w:r>
            <w:rPr>
              <w:rFonts w:ascii="宋体" w:hAnsi="宋体" w:cs="Arial"/>
              <w:szCs w:val="21"/>
            </w:rPr>
            <w:instrText xml:space="preserve"> </w:instrText>
          </w:r>
          <w:r>
            <w:rPr>
              <w:rFonts w:hint="eastAsia" w:ascii="宋体" w:hAnsi="宋体" w:cs="Arial"/>
              <w:szCs w:val="21"/>
            </w:rPr>
            <w:instrText xml:space="preserve">MACROBUTTON  SnrToggleCheckbox □适用 </w:instrText>
          </w:r>
          <w:r>
            <w:rPr>
              <w:rFonts w:ascii="宋体" w:hAnsi="宋体" w:cs="Arial"/>
              <w:szCs w:val="21"/>
            </w:rPr>
            <w:fldChar w:fldCharType="end"/>
          </w:r>
          <w:r>
            <w:rPr>
              <w:rFonts w:ascii="宋体" w:hAnsi="宋体" w:cs="Arial"/>
              <w:szCs w:val="21"/>
            </w:rPr>
            <w:fldChar w:fldCharType="begin"/>
          </w:r>
          <w:r>
            <w:rPr>
              <w:rFonts w:ascii="宋体" w:hAnsi="宋体" w:cs="Arial"/>
              <w:szCs w:val="21"/>
            </w:rPr>
            <w:instrText xml:space="preserve"> MACROBUTTON  SnrToggleCheckbox √不适用 </w:instrText>
          </w:r>
          <w:r>
            <w:rPr>
              <w:rFonts w:ascii="宋体" w:hAnsi="宋体" w:cs="Arial"/>
              <w:szCs w:val="21"/>
            </w:rPr>
            <w:fldChar w:fldCharType="end"/>
          </w:r>
        </w:p>
      </w:sdtContent>
    </w:sdt>
    <w:p>
      <w:pPr>
        <w:rPr>
          <w:rFonts w:cs="Arial"/>
          <w:szCs w:val="21"/>
        </w:rPr>
      </w:pPr>
    </w:p>
    <w:p>
      <w:pPr>
        <w:pStyle w:val="5"/>
        <w:numPr>
          <w:ilvl w:val="3"/>
          <w:numId w:val="110"/>
        </w:numPr>
        <w:ind w:left="424" w:hanging="426" w:hangingChars="202"/>
        <w:rPr>
          <w:rFonts w:hint="eastAsia"/>
        </w:rPr>
      </w:pPr>
      <w:r>
        <w:rPr>
          <w:rFonts w:hint="eastAsia"/>
        </w:rPr>
        <w:t>合营企业或联营企业发生的超额亏损</w:t>
      </w:r>
    </w:p>
    <w:sdt>
      <w:sdtPr>
        <w:rPr>
          <w:rFonts w:hint="eastAsia"/>
        </w:rPr>
        <w:alias w:val="是否适用：合营企业或联营企业发生的超额亏损[双击切换]"/>
        <w:tag w:val="_GBC_06d01e334df443999a288d3ef1be1420"/>
        <w:id w:val="7931"/>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rFonts w:cs="Arial"/>
          <w:szCs w:val="21"/>
        </w:rPr>
      </w:pPr>
    </w:p>
    <w:p>
      <w:pPr>
        <w:pStyle w:val="5"/>
        <w:numPr>
          <w:ilvl w:val="3"/>
          <w:numId w:val="110"/>
        </w:numPr>
        <w:ind w:left="424" w:hanging="426" w:hangingChars="202"/>
        <w:rPr>
          <w:rFonts w:hint="eastAsia"/>
        </w:rPr>
      </w:pPr>
      <w:r>
        <w:rPr>
          <w:rFonts w:hint="eastAsia"/>
        </w:rPr>
        <w:t>与合营企业投资相关的未确认承诺</w:t>
      </w:r>
    </w:p>
    <w:sdt>
      <w:sdtPr>
        <w:rPr>
          <w:rFonts w:hint="eastAsia" w:cs="Arial"/>
          <w:szCs w:val="21"/>
        </w:rPr>
        <w:alias w:val="是否适用：与合营企业投资相关的未确认承诺[双击切换]"/>
        <w:tag w:val="_GBC_31e45f9d52434cea9a9a27d328e562ec"/>
        <w:id w:val="7932"/>
        <w:placeholder>
          <w:docPart w:val="GBC22222222222222222222222222222"/>
        </w:placeholder>
      </w:sdtPr>
      <w:sdtEndPr>
        <w:rPr>
          <w:rFonts w:hint="eastAsia" w:cs="Arial"/>
          <w:szCs w:val="21"/>
        </w:rPr>
      </w:sdtEndPr>
      <w:sdtContent>
        <w:p>
          <w:pPr>
            <w:rPr>
              <w:rFonts w:cs="Arial"/>
              <w:szCs w:val="21"/>
            </w:rPr>
          </w:pPr>
          <w:r>
            <w:rPr>
              <w:rFonts w:ascii="宋体" w:hAnsi="宋体" w:cs="Arial"/>
              <w:szCs w:val="21"/>
            </w:rPr>
            <w:fldChar w:fldCharType="begin"/>
          </w:r>
          <w:r>
            <w:rPr>
              <w:rFonts w:ascii="宋体" w:hAnsi="宋体" w:cs="Arial"/>
              <w:szCs w:val="21"/>
            </w:rPr>
            <w:instrText xml:space="preserve"> </w:instrText>
          </w:r>
          <w:r>
            <w:rPr>
              <w:rFonts w:hint="eastAsia" w:ascii="宋体" w:hAnsi="宋体" w:cs="Arial"/>
              <w:szCs w:val="21"/>
            </w:rPr>
            <w:instrText xml:space="preserve">MACROBUTTON  SnrToggleCheckbox □适用 </w:instrText>
          </w:r>
          <w:r>
            <w:rPr>
              <w:rFonts w:ascii="宋体" w:hAnsi="宋体" w:cs="Arial"/>
              <w:szCs w:val="21"/>
            </w:rPr>
            <w:fldChar w:fldCharType="end"/>
          </w:r>
          <w:r>
            <w:rPr>
              <w:rFonts w:ascii="宋体" w:hAnsi="宋体" w:cs="Arial"/>
              <w:szCs w:val="21"/>
            </w:rPr>
            <w:fldChar w:fldCharType="begin"/>
          </w:r>
          <w:r>
            <w:rPr>
              <w:rFonts w:ascii="宋体" w:hAnsi="宋体" w:cs="Arial"/>
              <w:szCs w:val="21"/>
            </w:rPr>
            <w:instrText xml:space="preserve"> MACROBUTTON  SnrToggleCheckbox √不适用 </w:instrText>
          </w:r>
          <w:r>
            <w:rPr>
              <w:rFonts w:ascii="宋体" w:hAnsi="宋体" w:cs="Arial"/>
              <w:szCs w:val="21"/>
            </w:rPr>
            <w:fldChar w:fldCharType="end"/>
          </w:r>
        </w:p>
      </w:sdtContent>
    </w:sdt>
    <w:p>
      <w:pPr>
        <w:rPr>
          <w:rFonts w:cs="Arial"/>
          <w:szCs w:val="21"/>
        </w:rPr>
      </w:pPr>
    </w:p>
    <w:p>
      <w:pPr>
        <w:pStyle w:val="5"/>
        <w:numPr>
          <w:ilvl w:val="3"/>
          <w:numId w:val="110"/>
        </w:numPr>
        <w:ind w:left="424" w:hanging="426" w:hangingChars="202"/>
        <w:rPr>
          <w:rFonts w:hint="eastAsia"/>
        </w:rPr>
      </w:pPr>
      <w:r>
        <w:rPr>
          <w:rFonts w:hint="eastAsia"/>
        </w:rPr>
        <w:t>与合营企业或联营企业投资相关的或有负债</w:t>
      </w:r>
    </w:p>
    <w:sdt>
      <w:sdtPr>
        <w:rPr>
          <w:rFonts w:hint="eastAsia" w:cs="Arial"/>
          <w:szCs w:val="21"/>
        </w:rPr>
        <w:alias w:val="是否适用：与合营企业或联营企业投资相关的或有负债[双击切换]"/>
        <w:tag w:val="_GBC_d3c6dfcab3ab42afb854d4ea2e7c9b9f"/>
        <w:id w:val="7933"/>
        <w:placeholder>
          <w:docPart w:val="GBC22222222222222222222222222222"/>
        </w:placeholder>
      </w:sdtPr>
      <w:sdtEndPr>
        <w:rPr>
          <w:rFonts w:hint="eastAsia" w:cs="Arial"/>
          <w:szCs w:val="21"/>
        </w:rPr>
      </w:sdtEndPr>
      <w:sdtContent>
        <w:p>
          <w:pPr>
            <w:rPr>
              <w:rFonts w:cs="Arial"/>
              <w:szCs w:val="21"/>
            </w:rPr>
          </w:pPr>
          <w:r>
            <w:rPr>
              <w:rFonts w:ascii="宋体" w:hAnsi="宋体" w:cs="Arial"/>
              <w:szCs w:val="21"/>
            </w:rPr>
            <w:fldChar w:fldCharType="begin"/>
          </w:r>
          <w:r>
            <w:rPr>
              <w:rFonts w:ascii="宋体" w:hAnsi="宋体" w:cs="Arial"/>
              <w:szCs w:val="21"/>
            </w:rPr>
            <w:instrText xml:space="preserve"> </w:instrText>
          </w:r>
          <w:r>
            <w:rPr>
              <w:rFonts w:hint="eastAsia" w:ascii="宋体" w:hAnsi="宋体" w:cs="Arial"/>
              <w:szCs w:val="21"/>
            </w:rPr>
            <w:instrText xml:space="preserve">MACROBUTTON  SnrToggleCheckbox □适用 </w:instrText>
          </w:r>
          <w:r>
            <w:rPr>
              <w:rFonts w:ascii="宋体" w:hAnsi="宋体" w:cs="Arial"/>
              <w:szCs w:val="21"/>
            </w:rPr>
            <w:fldChar w:fldCharType="end"/>
          </w:r>
          <w:r>
            <w:rPr>
              <w:rFonts w:ascii="宋体" w:hAnsi="宋体" w:cs="Arial"/>
              <w:szCs w:val="21"/>
            </w:rPr>
            <w:fldChar w:fldCharType="begin"/>
          </w:r>
          <w:r>
            <w:rPr>
              <w:rFonts w:ascii="宋体" w:hAnsi="宋体" w:cs="Arial"/>
              <w:szCs w:val="21"/>
            </w:rPr>
            <w:instrText xml:space="preserve"> MACROBUTTON  SnrToggleCheckbox √不适用 </w:instrText>
          </w:r>
          <w:r>
            <w:rPr>
              <w:rFonts w:ascii="宋体" w:hAnsi="宋体" w:cs="Arial"/>
              <w:szCs w:val="21"/>
            </w:rPr>
            <w:fldChar w:fldCharType="end"/>
          </w:r>
        </w:p>
      </w:sdtContent>
    </w:sdt>
    <w:p>
      <w:pPr>
        <w:rPr>
          <w:rFonts w:cs="Arial"/>
          <w:szCs w:val="21"/>
        </w:rPr>
      </w:pPr>
    </w:p>
    <w:p>
      <w:pPr>
        <w:pStyle w:val="4"/>
        <w:numPr>
          <w:ilvl w:val="2"/>
          <w:numId w:val="108"/>
        </w:numPr>
        <w:rPr>
          <w:rFonts w:hint="eastAsia" w:ascii="宋体" w:hAnsi="宋体" w:cs="Arial"/>
          <w:szCs w:val="21"/>
        </w:rPr>
      </w:pPr>
      <w:r>
        <w:rPr>
          <w:rFonts w:hint="eastAsia" w:ascii="宋体" w:hAnsi="宋体" w:cs="Arial"/>
          <w:szCs w:val="21"/>
        </w:rPr>
        <w:t>重要的共同经营</w:t>
      </w:r>
    </w:p>
    <w:sdt>
      <w:sdtPr>
        <w:alias w:val="是否适用：重要的共同经营[双击切换]"/>
        <w:tag w:val="_GBC_8a0341a844454c89848e95b9c64a8efb"/>
        <w:id w:val="793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rFonts w:cs="Arial"/>
          <w:szCs w:val="21"/>
        </w:rPr>
      </w:pPr>
    </w:p>
    <w:p>
      <w:pPr>
        <w:pStyle w:val="4"/>
        <w:numPr>
          <w:ilvl w:val="2"/>
          <w:numId w:val="108"/>
        </w:numPr>
        <w:rPr>
          <w:rFonts w:hint="eastAsia" w:ascii="宋体" w:hAnsi="宋体" w:cs="Arial"/>
          <w:szCs w:val="21"/>
        </w:rPr>
      </w:pPr>
      <w:r>
        <w:rPr>
          <w:rFonts w:hint="eastAsia" w:ascii="宋体" w:hAnsi="宋体" w:cs="Arial"/>
          <w:szCs w:val="21"/>
        </w:rPr>
        <w:t>在未纳入合并财务报表范围的结构化主体中的权益</w:t>
      </w:r>
    </w:p>
    <w:p>
      <w:pPr>
        <w:rPr>
          <w:rFonts w:cs="Arial"/>
          <w:szCs w:val="21"/>
        </w:rPr>
      </w:pPr>
      <w:r>
        <w:rPr>
          <w:rFonts w:hint="eastAsia" w:cs="Arial"/>
          <w:szCs w:val="21"/>
        </w:rPr>
        <w:t>未纳入合并财务报表范围的结构化主体的相关说明：</w:t>
      </w:r>
    </w:p>
    <w:sdt>
      <w:sdtPr>
        <w:rPr>
          <w:rFonts w:cs="Arial"/>
          <w:szCs w:val="21"/>
        </w:rPr>
        <w:alias w:val="是否适用：未纳入合并财务报表范围的结构化主体的相关说明[双击切换]"/>
        <w:tag w:val="_GBC_fec7f9a28e8b48edbad9948b50cb3cae"/>
        <w:id w:val="7935"/>
        <w:placeholder>
          <w:docPart w:val="GBC22222222222222222222222222222"/>
        </w:placeholder>
      </w:sdtPr>
      <w:sdtEndPr>
        <w:rPr>
          <w:rFonts w:cs="Arial"/>
          <w:szCs w:val="21"/>
        </w:rPr>
      </w:sdtEndPr>
      <w:sdtContent>
        <w:p>
          <w:pPr>
            <w:rPr>
              <w:rFonts w:cs="Arial"/>
              <w:szCs w:val="21"/>
            </w:rPr>
          </w:pPr>
          <w:r>
            <w:rPr>
              <w:rFonts w:ascii="宋体" w:hAnsi="宋体" w:cs="Arial"/>
              <w:szCs w:val="21"/>
            </w:rPr>
            <w:fldChar w:fldCharType="begin"/>
          </w:r>
          <w:r>
            <w:rPr>
              <w:rFonts w:hint="eastAsia" w:ascii="宋体" w:hAnsi="宋体" w:cs="Arial"/>
              <w:szCs w:val="21"/>
            </w:rPr>
            <w:instrText xml:space="preserve">MACROBUTTON  SnrToggleCheckbox □适用 </w:instrText>
          </w:r>
          <w:r>
            <w:rPr>
              <w:rFonts w:ascii="宋体" w:hAnsi="宋体" w:cs="Arial"/>
              <w:szCs w:val="21"/>
            </w:rPr>
            <w:fldChar w:fldCharType="end"/>
          </w:r>
          <w:r>
            <w:rPr>
              <w:rFonts w:ascii="宋体" w:hAnsi="宋体" w:cs="Arial"/>
              <w:szCs w:val="21"/>
            </w:rPr>
            <w:fldChar w:fldCharType="begin"/>
          </w:r>
          <w:r>
            <w:rPr>
              <w:rFonts w:ascii="宋体" w:hAnsi="宋体" w:cs="Arial"/>
              <w:szCs w:val="21"/>
            </w:rPr>
            <w:instrText xml:space="preserve"> MACROBUTTON  SnrToggleCheckbox √不适用 </w:instrText>
          </w:r>
          <w:r>
            <w:rPr>
              <w:rFonts w:ascii="宋体" w:hAnsi="宋体" w:cs="Arial"/>
              <w:szCs w:val="21"/>
            </w:rPr>
            <w:fldChar w:fldCharType="end"/>
          </w:r>
        </w:p>
      </w:sdtContent>
    </w:sdt>
    <w:p>
      <w:pPr>
        <w:rPr>
          <w:rFonts w:cs="Arial"/>
          <w:szCs w:val="21"/>
        </w:rPr>
      </w:pPr>
    </w:p>
    <w:p>
      <w:pPr>
        <w:pStyle w:val="4"/>
        <w:numPr>
          <w:ilvl w:val="2"/>
          <w:numId w:val="108"/>
        </w:numPr>
        <w:rPr>
          <w:rFonts w:hint="eastAsia" w:ascii="宋体" w:hAnsi="宋体" w:cs="Arial"/>
          <w:szCs w:val="21"/>
        </w:rPr>
      </w:pPr>
      <w:r>
        <w:rPr>
          <w:rFonts w:hint="eastAsia" w:ascii="宋体" w:hAnsi="宋体" w:cs="Arial"/>
          <w:szCs w:val="21"/>
        </w:rPr>
        <w:t>其他</w:t>
      </w:r>
    </w:p>
    <w:sdt>
      <w:sdtPr>
        <w:rPr>
          <w:rFonts w:hint="eastAsia"/>
        </w:rPr>
        <w:alias w:val="是否适用：在其他主体中的权益其他需要说明的事项[双击切换]"/>
        <w:tag w:val="_GBC_f97a284e61d54ed588c46ec336af6ef8"/>
        <w:id w:val="7936"/>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tag w:val="_PLD_48b97bf08040437b8ce8f10054d85753"/>
        <w:id w:val="7937"/>
      </w:sdtPr>
      <w:sdtContent>
        <w:p>
          <w:pPr>
            <w:pStyle w:val="3"/>
            <w:numPr>
              <w:ilvl w:val="0"/>
              <w:numId w:val="52"/>
            </w:numPr>
            <w:ind w:left="450" w:hanging="450"/>
            <w:rPr>
              <w:rFonts w:hint="eastAsia" w:ascii="宋体" w:hAnsi="宋体"/>
            </w:rPr>
          </w:pPr>
          <w:r>
            <w:rPr>
              <w:rFonts w:hint="eastAsia" w:ascii="宋体" w:hAnsi="宋体"/>
            </w:rPr>
            <w:t>政府补助</w:t>
          </w:r>
        </w:p>
      </w:sdtContent>
    </w:sdt>
    <w:p>
      <w:pPr>
        <w:pStyle w:val="4"/>
        <w:numPr>
          <w:ilvl w:val="0"/>
          <w:numId w:val="111"/>
        </w:numPr>
        <w:ind w:left="0" w:firstLine="0"/>
      </w:pPr>
      <w:r>
        <w:t>报告期末按应收金额确认的政府补助</w:t>
      </w:r>
    </w:p>
    <w:sdt>
      <w:sdtPr>
        <w:alias w:val="是否适用：按应收金额确认的政府补助[双击切换]"/>
        <w:tag w:val="_GBC_e1e20d7c43844cb8b0392ce8a915912f"/>
        <w:id w:val="7938"/>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t>未能在预计时点收到预计金额的政府补助</w:t>
      </w:r>
      <w:r>
        <w:rPr>
          <w:rFonts w:hint="eastAsia"/>
        </w:rPr>
        <w:t>的</w:t>
      </w:r>
      <w:r>
        <w:t>原因</w:t>
      </w:r>
    </w:p>
    <w:sdt>
      <w:sdtPr>
        <w:alias w:val="是否适用：未能在预计时点收到预计金额的政府补助的原因[双击切换]"/>
        <w:tag w:val="_GBC_c472b4b5f35848de9076579016736dc0"/>
        <w:id w:val="7939"/>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4"/>
        <w:numPr>
          <w:ilvl w:val="0"/>
          <w:numId w:val="111"/>
        </w:numPr>
        <w:ind w:left="0" w:firstLine="0"/>
      </w:pPr>
      <w:r>
        <w:t>涉及政府补助的负债项目</w:t>
      </w:r>
    </w:p>
    <w:sdt>
      <w:sdtPr>
        <w:alias w:val="是否适用：涉及政府补助的负债项目[双击切换]"/>
        <w:tag w:val="_GBC_ed9e8fabcc8e4318b2ec33d01e83aec4"/>
        <w:id w:val="7940"/>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4"/>
        <w:numPr>
          <w:ilvl w:val="0"/>
          <w:numId w:val="111"/>
        </w:numPr>
        <w:ind w:left="0" w:firstLine="0"/>
        <w:rPr>
          <w:rFonts w:cs="宋体"/>
          <w:kern w:val="0"/>
          <w:szCs w:val="24"/>
        </w:rPr>
      </w:pPr>
      <w:bookmarkStart w:id="365" w:name="_Hlk153267407"/>
      <w:r>
        <w:rPr>
          <w:rFonts w:hint="eastAsia" w:cs="宋体"/>
          <w:kern w:val="0"/>
          <w:szCs w:val="24"/>
        </w:rPr>
        <w:t>计入当期损益的政府补助</w:t>
      </w:r>
    </w:p>
    <w:sdt>
      <w:sdtPr>
        <w:rPr>
          <w:rStyle w:val="48"/>
          <w:rFonts w:ascii="宋体" w:hAnsi="宋体"/>
          <w:b w:val="0"/>
          <w:szCs w:val="21"/>
        </w:rPr>
        <w:alias w:val="是否适用：计入当期损益的政府补助[双击切换]"/>
        <w:tag w:val="_GBC_8ddf92f66bfa4f87b73074ebf5a7bd32"/>
        <w:id w:val="7941"/>
        <w:placeholder>
          <w:docPart w:val="GBC22222222222222222222222222222"/>
        </w:placeholder>
      </w:sdtPr>
      <w:sdtEndPr>
        <w:rPr>
          <w:rStyle w:val="48"/>
          <w:rFonts w:ascii="宋体" w:hAnsi="宋体"/>
          <w:b w:val="0"/>
          <w:szCs w:val="21"/>
        </w:rPr>
      </w:sdtEndPr>
      <w:sdtContent>
        <w:p>
          <w:pPr>
            <w:rPr>
              <w:rStyle w:val="48"/>
              <w:rFonts w:hint="eastAsia" w:ascii="宋体" w:hAnsi="宋体"/>
              <w:b w:val="0"/>
              <w:szCs w:val="21"/>
            </w:rPr>
          </w:pPr>
          <w:r>
            <w:rPr>
              <w:rStyle w:val="48"/>
              <w:rFonts w:ascii="宋体" w:hAnsi="宋体" w:eastAsia="宋体"/>
              <w:b w:val="0"/>
              <w:szCs w:val="21"/>
            </w:rPr>
            <w:fldChar w:fldCharType="begin"/>
          </w:r>
          <w:r>
            <w:rPr>
              <w:rStyle w:val="48"/>
              <w:rFonts w:hint="eastAsia" w:ascii="宋体" w:hAnsi="宋体" w:eastAsia="宋体"/>
              <w:b w:val="0"/>
              <w:szCs w:val="21"/>
            </w:rPr>
            <w:instrText xml:space="preserve">MACROBUTTON  SnrToggleCheckbox √适用 </w:instrText>
          </w:r>
          <w:r>
            <w:rPr>
              <w:rStyle w:val="48"/>
              <w:rFonts w:ascii="宋体" w:hAnsi="宋体" w:eastAsia="宋体"/>
              <w:b w:val="0"/>
              <w:szCs w:val="21"/>
            </w:rPr>
            <w:fldChar w:fldCharType="end"/>
          </w:r>
          <w:r>
            <w:rPr>
              <w:rStyle w:val="48"/>
              <w:rFonts w:ascii="宋体" w:hAnsi="宋体" w:eastAsia="宋体"/>
              <w:b w:val="0"/>
              <w:szCs w:val="21"/>
            </w:rPr>
            <w:fldChar w:fldCharType="begin"/>
          </w:r>
          <w:r>
            <w:rPr>
              <w:rStyle w:val="48"/>
              <w:rFonts w:ascii="宋体" w:hAnsi="宋体" w:eastAsia="宋体"/>
              <w:b w:val="0"/>
              <w:szCs w:val="21"/>
            </w:rPr>
            <w:instrText xml:space="preserve"> MACROBUTTON  SnrToggleCheckbox □不适用 </w:instrText>
          </w:r>
          <w:r>
            <w:rPr>
              <w:rStyle w:val="48"/>
              <w:rFonts w:ascii="宋体" w:hAnsi="宋体" w:eastAsia="宋体"/>
              <w:b w:val="0"/>
              <w:szCs w:val="21"/>
            </w:rPr>
            <w:fldChar w:fldCharType="end"/>
          </w:r>
        </w:p>
      </w:sdtContent>
    </w:sdt>
    <w:p>
      <w:pPr>
        <w:jc w:val="right"/>
        <w:rPr>
          <w:szCs w:val="21"/>
        </w:rPr>
      </w:pPr>
      <w:r>
        <w:rPr>
          <w:rFonts w:hint="eastAsia"/>
          <w:szCs w:val="21"/>
        </w:rPr>
        <w:t xml:space="preserve"> 单位：</w:t>
      </w:r>
      <w:sdt>
        <w:sdtPr>
          <w:rPr>
            <w:rFonts w:hint="eastAsia"/>
            <w:szCs w:val="21"/>
          </w:rPr>
          <w:alias w:val="单位：财务附注：计入当期损益的政府补助"/>
          <w:tag w:val="_GBC_e18208ff61f24ff591a3dc1a23c8a26c"/>
          <w:id w:val="794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计入当期损益的政府补助"/>
          <w:tag w:val="_GBC_46d58cfd963545aba949fdc131aee974"/>
          <w:id w:val="794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bookmarkEnd w:id="365"/>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2871"/>
        <w:gridCol w:w="3092"/>
        <w:gridCol w:w="3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56" w:hRule="atLeast"/>
          <w:jc w:val="center"/>
        </w:trPr>
        <w:tc>
          <w:tcPr>
            <w:tcW w:w="2871" w:type="dxa"/>
            <w:tcBorders>
              <w:top w:val="single" w:color="auto" w:sz="4" w:space="0"/>
              <w:left w:val="single" w:color="auto" w:sz="4" w:space="0"/>
              <w:bottom w:val="single" w:color="auto" w:sz="4" w:space="0"/>
              <w:right w:val="single" w:color="auto" w:sz="4" w:space="0"/>
            </w:tcBorders>
            <w:vAlign w:val="center"/>
          </w:tcPr>
          <w:sdt>
            <w:sdtPr>
              <w:tag w:val="_PLD_5b4079791e994686811417a70944bd9d"/>
              <w:id w:val="147454201"/>
            </w:sdtPr>
            <w:sdtContent>
              <w:p>
                <w:pPr>
                  <w:jc w:val="center"/>
                  <w:rPr>
                    <w:szCs w:val="21"/>
                  </w:rPr>
                </w:pPr>
                <w:bookmarkStart w:id="366" w:name="_Hlk153267868"/>
                <w:r>
                  <w:rPr>
                    <w:rFonts w:hint="eastAsia"/>
                  </w:rPr>
                  <w:t>类型</w:t>
                </w:r>
              </w:p>
            </w:sdtContent>
          </w:sdt>
        </w:tc>
        <w:tc>
          <w:tcPr>
            <w:tcW w:w="3092" w:type="dxa"/>
            <w:tcBorders>
              <w:top w:val="single" w:color="auto" w:sz="4" w:space="0"/>
              <w:left w:val="single" w:color="auto" w:sz="4" w:space="0"/>
              <w:bottom w:val="single" w:color="auto" w:sz="4" w:space="0"/>
              <w:right w:val="single" w:color="auto" w:sz="4" w:space="0"/>
            </w:tcBorders>
            <w:vAlign w:val="center"/>
          </w:tcPr>
          <w:sdt>
            <w:sdtPr>
              <w:tag w:val="_PLD_ae1ceb2d189344a5ad7763348cb654c3"/>
              <w:id w:val="147483215"/>
            </w:sdtPr>
            <w:sdtContent>
              <w:p>
                <w:pPr>
                  <w:jc w:val="center"/>
                  <w:rPr>
                    <w:szCs w:val="21"/>
                  </w:rPr>
                </w:pPr>
                <w:r>
                  <w:rPr>
                    <w:szCs w:val="21"/>
                  </w:rPr>
                  <w:t>本期发生额</w:t>
                </w:r>
              </w:p>
            </w:sdtContent>
          </w:sdt>
        </w:tc>
        <w:tc>
          <w:tcPr>
            <w:tcW w:w="3092" w:type="dxa"/>
            <w:tcBorders>
              <w:top w:val="single" w:color="auto" w:sz="4" w:space="0"/>
              <w:left w:val="single" w:color="auto" w:sz="4" w:space="0"/>
              <w:bottom w:val="single" w:color="auto" w:sz="4" w:space="0"/>
              <w:right w:val="single" w:color="auto" w:sz="4" w:space="0"/>
            </w:tcBorders>
            <w:vAlign w:val="center"/>
          </w:tcPr>
          <w:sdt>
            <w:sdtPr>
              <w:tag w:val="_PLD_e615d326bd42416e8f3721fad0ff2852"/>
              <w:id w:val="147462493"/>
            </w:sdtPr>
            <w:sdtContent>
              <w:p>
                <w:pPr>
                  <w:jc w:val="center"/>
                  <w:rPr>
                    <w:szCs w:val="21"/>
                  </w:rPr>
                </w:pPr>
                <w:r>
                  <w:rPr>
                    <w:szCs w:val="21"/>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jc w:val="center"/>
        </w:trPr>
        <w:tc>
          <w:tcPr>
            <w:tcW w:w="2871" w:type="dxa"/>
            <w:tcBorders>
              <w:top w:val="single" w:color="auto" w:sz="4" w:space="0"/>
              <w:left w:val="single" w:color="auto" w:sz="4" w:space="0"/>
              <w:bottom w:val="single" w:color="auto" w:sz="4" w:space="0"/>
              <w:right w:val="single" w:color="auto" w:sz="4" w:space="0"/>
            </w:tcBorders>
            <w:vAlign w:val="center"/>
          </w:tcPr>
          <w:sdt>
            <w:sdtPr>
              <w:rPr>
                <w:szCs w:val="21"/>
              </w:rPr>
              <w:alias w:val="计入当期损益的政府补助项目名称"/>
              <w:tag w:val="_GBC_30e0d7873e3b41d781ec9deee5fe8de4"/>
              <w:id w:val="147455122"/>
              <w:comboBox>
                <w:listItem w:displayText="与资产相关" w:value="与资产相关"/>
                <w:listItem w:displayText="与收益相关" w:value="与收益相关"/>
                <w:listItem w:displayText="其他" w:value="其他"/>
              </w:comboBox>
            </w:sdtPr>
            <w:sdtEndPr>
              <w:rPr>
                <w:szCs w:val="21"/>
              </w:rPr>
            </w:sdtEndPr>
            <w:sdtContent>
              <w:p>
                <w:pPr>
                  <w:rPr>
                    <w:szCs w:val="21"/>
                  </w:rPr>
                </w:pPr>
                <w:r>
                  <w:rPr>
                    <w:rFonts w:hint="eastAsia"/>
                    <w:szCs w:val="21"/>
                  </w:rPr>
                  <w:t>与收益相关</w:t>
                </w:r>
              </w:p>
            </w:sdtContent>
          </w:sdt>
        </w:tc>
        <w:tc>
          <w:tcPr>
            <w:tcW w:w="309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3,644,418.48</w:t>
            </w:r>
          </w:p>
        </w:tc>
        <w:tc>
          <w:tcPr>
            <w:tcW w:w="309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2,645,089.44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jc w:val="center"/>
        </w:trPr>
        <w:tc>
          <w:tcPr>
            <w:tcW w:w="2871"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与收益相关</w:t>
            </w:r>
          </w:p>
        </w:tc>
        <w:tc>
          <w:tcPr>
            <w:tcW w:w="309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645,828.24</w:t>
            </w:r>
          </w:p>
        </w:tc>
        <w:tc>
          <w:tcPr>
            <w:tcW w:w="309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894,628.35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jc w:val="center"/>
        </w:trPr>
        <w:tc>
          <w:tcPr>
            <w:tcW w:w="2871"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与收益相关</w:t>
            </w:r>
          </w:p>
        </w:tc>
        <w:tc>
          <w:tcPr>
            <w:tcW w:w="309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914,400.00</w:t>
            </w:r>
          </w:p>
        </w:tc>
        <w:tc>
          <w:tcPr>
            <w:tcW w:w="309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652,800.00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jc w:val="center"/>
        </w:trPr>
        <w:tc>
          <w:tcPr>
            <w:tcW w:w="2871"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合计</w:t>
            </w:r>
          </w:p>
        </w:tc>
        <w:tc>
          <w:tcPr>
            <w:tcW w:w="309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5,204,646.72</w:t>
            </w:r>
          </w:p>
        </w:tc>
        <w:tc>
          <w:tcPr>
            <w:tcW w:w="309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4,192,517.79</w:t>
            </w:r>
          </w:p>
        </w:tc>
      </w:tr>
    </w:tbl>
    <w:p/>
    <w:p>
      <w:r>
        <w:rPr>
          <w:rFonts w:hint="eastAsia"/>
        </w:rPr>
        <w:t>其他说明：</w:t>
      </w:r>
    </w:p>
    <w:sdt>
      <w:sdtPr>
        <w:alias w:val="政府补助说明"/>
        <w:tag w:val="_GBC_8011e9ada7d741aeb9f59a958e812614"/>
        <w:id w:val="7948"/>
        <w:placeholder>
          <w:docPart w:val="GBC22222222222222222222222222222"/>
        </w:placeholder>
      </w:sdtPr>
      <w:sdtContent>
        <w:p>
          <w:r>
            <w:t>无</w:t>
          </w:r>
        </w:p>
      </w:sdtContent>
    </w:sdt>
    <w:p/>
    <w:bookmarkEnd w:id="366"/>
    <w:sdt>
      <w:sdtPr>
        <w:tag w:val="_PLD_cdf1012e583346168d9bda97ab755c2b"/>
        <w:id w:val="7949"/>
      </w:sdtPr>
      <w:sdtEndPr>
        <w:rPr>
          <w:rFonts w:cs="Times New Roman"/>
          <w:b/>
          <w:bCs/>
          <w:kern w:val="2"/>
          <w:szCs w:val="21"/>
        </w:rPr>
      </w:sdtEndPr>
      <w:sdtContent>
        <w:p>
          <w:pPr>
            <w:pStyle w:val="3"/>
            <w:numPr>
              <w:ilvl w:val="0"/>
              <w:numId w:val="52"/>
            </w:numPr>
            <w:rPr>
              <w:rFonts w:hint="eastAsia" w:ascii="宋体" w:hAnsi="宋体"/>
            </w:rPr>
          </w:pPr>
          <w:r>
            <w:rPr>
              <w:rFonts w:hint="eastAsia" w:ascii="宋体" w:hAnsi="宋体"/>
            </w:rPr>
            <w:t>与金融工具相关的风险</w:t>
          </w:r>
        </w:p>
      </w:sdtContent>
    </w:sdt>
    <w:p>
      <w:pPr>
        <w:pStyle w:val="4"/>
        <w:numPr>
          <w:ilvl w:val="0"/>
          <w:numId w:val="112"/>
        </w:numPr>
      </w:pPr>
      <w:r>
        <w:rPr>
          <w:rFonts w:hint="eastAsia"/>
        </w:rPr>
        <w:t>金融工具的风险</w:t>
      </w:r>
    </w:p>
    <w:sdt>
      <w:sdtPr>
        <w:alias w:val="是否适用：与金融工具相关的风险[双击切换]"/>
        <w:tag w:val="_GBC_2be38aac6aaa4945a48be2cdc11eaaf6"/>
        <w:id w:val="7950"/>
        <w:placeholder>
          <w:docPart w:val="GBC22222222222222222222222222222"/>
        </w:placeholder>
      </w:sdtPr>
      <w:sdtEndPr>
        <w:rPr>
          <w:rFonts w:ascii="Times New Roman" w:hAnsi="Times New Roman" w:eastAsia="宋体"/>
          <w:sz w:val="21"/>
          <w:szCs w:val="21"/>
        </w:rPr>
      </w:sdtEndPr>
      <w:sdtContent>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宋体"/>
              <w:sz w:val="21"/>
              <w:szCs w:val="21"/>
            </w:rPr>
          </w:pPr>
          <w:r>
            <w:rPr>
              <w:rFonts w:ascii="Times New Roman" w:hAnsi="Times New Roman" w:eastAsia="宋体"/>
              <w:sz w:val="21"/>
              <w:szCs w:val="21"/>
            </w:rPr>
            <w:fldChar w:fldCharType="begin"/>
          </w:r>
          <w:r>
            <w:rPr>
              <w:rFonts w:hint="eastAsia" w:ascii="Times New Roman" w:hAnsi="Times New Roman" w:eastAsia="宋体"/>
              <w:sz w:val="21"/>
              <w:szCs w:val="21"/>
            </w:rPr>
            <w:instrText xml:space="preserve">MACROBUTTON  SnrToggleCheckbox √适用 </w:instrText>
          </w:r>
          <w:r>
            <w:rPr>
              <w:rFonts w:ascii="Times New Roman" w:hAnsi="Times New Roman" w:eastAsia="宋体"/>
              <w:sz w:val="21"/>
              <w:szCs w:val="21"/>
            </w:rPr>
            <w:fldChar w:fldCharType="end"/>
          </w:r>
          <w:r>
            <w:rPr>
              <w:rFonts w:ascii="Times New Roman" w:hAnsi="Times New Roman" w:eastAsia="宋体"/>
              <w:sz w:val="21"/>
              <w:szCs w:val="21"/>
            </w:rPr>
            <w:fldChar w:fldCharType="begin"/>
          </w:r>
          <w:r>
            <w:rPr>
              <w:rFonts w:ascii="Times New Roman" w:hAnsi="Times New Roman" w:eastAsia="宋体"/>
              <w:sz w:val="21"/>
              <w:szCs w:val="21"/>
            </w:rPr>
            <w:instrText xml:space="preserve"> MACROBUTTON  SnrToggleCheckbox □不适用 </w:instrText>
          </w:r>
          <w:r>
            <w:rPr>
              <w:rFonts w:ascii="Times New Roman" w:hAnsi="Times New Roman" w:eastAsia="宋体"/>
              <w:sz w:val="21"/>
              <w:szCs w:val="21"/>
            </w:rPr>
            <w:fldChar w:fldCharType="end"/>
          </w:r>
        </w:p>
      </w:sdtContent>
    </w:sdt>
    <w:sdt>
      <w:sdtPr>
        <w:rPr>
          <w:rFonts w:ascii="Times New Roman" w:hAnsi="Times New Roman" w:eastAsia="宋体"/>
          <w:sz w:val="21"/>
          <w:szCs w:val="21"/>
        </w:rPr>
        <w:alias w:val="与金融工具相关的风险"/>
        <w:tag w:val="_GBC_f6714dfdbb554edeb7e7fde71c65346d"/>
        <w:id w:val="7951"/>
        <w:placeholder>
          <w:docPart w:val="GBC22222222222222222222222222222"/>
        </w:placeholder>
      </w:sdtPr>
      <w:sdtEndPr>
        <w:rPr>
          <w:rFonts w:ascii="Times New Roman" w:hAnsi="Times New Roman" w:eastAsia="宋体"/>
          <w:b/>
          <w:sz w:val="21"/>
          <w:szCs w:val="21"/>
        </w:rPr>
      </w:sdtEndPr>
      <w:sdtContent>
        <w:p>
          <w:pPr>
            <w:keepNext w:val="0"/>
            <w:keepLines w:val="0"/>
            <w:pageBreakBefore w:val="0"/>
            <w:kinsoku/>
            <w:wordWrap/>
            <w:overflowPunct/>
            <w:topLinePunct w:val="0"/>
            <w:autoSpaceDE/>
            <w:autoSpaceDN/>
            <w:bidi w:val="0"/>
            <w:adjustRightInd/>
            <w:snapToGrid/>
            <w:spacing w:line="400" w:lineRule="exact"/>
            <w:ind w:firstLine="640"/>
            <w:textAlignment w:val="auto"/>
            <w:rPr>
              <w:rFonts w:ascii="Times New Roman" w:hAnsi="Times New Roman" w:eastAsia="宋体"/>
              <w:b/>
              <w:sz w:val="21"/>
              <w:szCs w:val="21"/>
            </w:rPr>
          </w:pPr>
          <w:r>
            <w:rPr>
              <w:rFonts w:hint="eastAsia" w:ascii="Times New Roman" w:hAnsi="Times New Roman" w:eastAsia="宋体"/>
              <w:sz w:val="21"/>
              <w:szCs w:val="21"/>
            </w:rPr>
            <w:t>本公司的主要金融工具包括货币资金、应收款项、应付款项、借款等。在日常活动中面临各种金融工具的风险，主要包括信用风险、流动性风险、市场风险。与这些金融工具相关的风险，以及本公司为降低这些风险所采取的风险管理政策如下所述：</w:t>
          </w:r>
        </w:p>
        <w:p>
          <w:pPr>
            <w:keepNext w:val="0"/>
            <w:keepLines w:val="0"/>
            <w:pageBreakBefore w:val="0"/>
            <w:kinsoku/>
            <w:wordWrap/>
            <w:overflowPunct/>
            <w:topLinePunct w:val="0"/>
            <w:autoSpaceDE/>
            <w:autoSpaceDN/>
            <w:bidi w:val="0"/>
            <w:adjustRightInd/>
            <w:snapToGrid/>
            <w:spacing w:line="400" w:lineRule="exact"/>
            <w:ind w:firstLine="640"/>
            <w:textAlignment w:val="auto"/>
            <w:rPr>
              <w:rFonts w:ascii="Times New Roman" w:hAnsi="Times New Roman" w:eastAsia="宋体"/>
              <w:b/>
              <w:sz w:val="21"/>
              <w:szCs w:val="21"/>
            </w:rPr>
          </w:pPr>
          <w:r>
            <w:rPr>
              <w:rFonts w:hint="eastAsia" w:ascii="Times New Roman" w:hAnsi="Times New Roman" w:eastAsia="宋体"/>
              <w:sz w:val="21"/>
              <w:szCs w:val="21"/>
            </w:rPr>
            <w:t>董事会负责规划并建立本公司的风险管理架构，制定本公司的风险管理政策和相关指引并监督风险管理措施的执行情况。本公司已制定风险管理政策以识别和分析本公司所面临的风险，这些风险管理政策对特定风险进行了明确规定，涵盖了市场风险、信用风险和流动性风险管理等诸多方面。本公司定期评估市场环境及本公司经营活动的变化以决定是否对风险管理政策及系统进行更新。本公司的风险管理由风险管理委员会按照董事会批准的政策开展。风险管理委员会通过与本公司其他业务部门的紧密合作来识别、评价和规避相关风险。本公司内部审计部门就风险管理控制及程序进行定期的审核，并将审核结果上报本公司的审计委员会。本公司通过适当的多样化投资及业务组合来分散金融工具风险，并通过制定相应的风险管理政策减少集中于单一行业、特定地区或特定交易对手的风险。</w:t>
          </w:r>
        </w:p>
        <w:p>
          <w:pPr>
            <w:keepNext w:val="0"/>
            <w:keepLines w:val="0"/>
            <w:pageBreakBefore w:val="0"/>
            <w:kinsoku/>
            <w:wordWrap/>
            <w:overflowPunct/>
            <w:topLinePunct w:val="0"/>
            <w:autoSpaceDE/>
            <w:autoSpaceDN/>
            <w:bidi w:val="0"/>
            <w:adjustRightInd/>
            <w:snapToGrid/>
            <w:spacing w:line="400" w:lineRule="exact"/>
            <w:ind w:firstLine="640"/>
            <w:textAlignment w:val="auto"/>
            <w:rPr>
              <w:rFonts w:ascii="Times New Roman" w:hAnsi="Times New Roman" w:eastAsia="宋体"/>
              <w:b/>
              <w:sz w:val="21"/>
              <w:szCs w:val="21"/>
            </w:rPr>
          </w:pPr>
          <w:r>
            <w:rPr>
              <w:rFonts w:hint="eastAsia" w:ascii="Times New Roman" w:hAnsi="Times New Roman" w:eastAsia="宋体"/>
              <w:b/>
              <w:sz w:val="21"/>
              <w:szCs w:val="21"/>
            </w:rPr>
            <w:t>（一）信用风险</w:t>
          </w:r>
        </w:p>
        <w:p>
          <w:pPr>
            <w:keepNext w:val="0"/>
            <w:keepLines w:val="0"/>
            <w:pageBreakBefore w:val="0"/>
            <w:kinsoku/>
            <w:wordWrap/>
            <w:overflowPunct/>
            <w:topLinePunct w:val="0"/>
            <w:autoSpaceDE/>
            <w:autoSpaceDN/>
            <w:bidi w:val="0"/>
            <w:adjustRightInd/>
            <w:snapToGrid/>
            <w:spacing w:line="400" w:lineRule="exact"/>
            <w:ind w:firstLine="640"/>
            <w:textAlignment w:val="auto"/>
            <w:rPr>
              <w:rFonts w:ascii="Times New Roman" w:hAnsi="Times New Roman" w:eastAsia="宋体"/>
              <w:b/>
              <w:sz w:val="21"/>
              <w:szCs w:val="21"/>
            </w:rPr>
          </w:pPr>
          <w:r>
            <w:rPr>
              <w:rFonts w:hint="eastAsia" w:ascii="Times New Roman" w:hAnsi="Times New Roman" w:eastAsia="宋体"/>
              <w:sz w:val="21"/>
              <w:szCs w:val="21"/>
            </w:rPr>
            <w:t>信用风险是指交易对手未能履行合同义务而导致本公司产生财务损失的风险，管理层已制定适当的信用政策，并且不断监察信用风险的敞口。</w:t>
          </w:r>
        </w:p>
        <w:p>
          <w:pPr>
            <w:keepNext w:val="0"/>
            <w:keepLines w:val="0"/>
            <w:pageBreakBefore w:val="0"/>
            <w:kinsoku/>
            <w:wordWrap/>
            <w:overflowPunct/>
            <w:topLinePunct w:val="0"/>
            <w:autoSpaceDE/>
            <w:autoSpaceDN/>
            <w:bidi w:val="0"/>
            <w:adjustRightInd/>
            <w:snapToGrid/>
            <w:spacing w:line="400" w:lineRule="exact"/>
            <w:ind w:firstLine="640"/>
            <w:textAlignment w:val="auto"/>
            <w:rPr>
              <w:rFonts w:ascii="Times New Roman" w:hAnsi="Times New Roman" w:eastAsia="宋体"/>
              <w:b/>
              <w:sz w:val="21"/>
              <w:szCs w:val="21"/>
            </w:rPr>
          </w:pPr>
          <w:r>
            <w:rPr>
              <w:rFonts w:hint="eastAsia" w:ascii="Times New Roman" w:hAnsi="Times New Roman" w:eastAsia="宋体"/>
              <w:sz w:val="21"/>
              <w:szCs w:val="21"/>
            </w:rPr>
            <w:t>本公司已采取政策只与信用良好的交易对手进行交易。另外，本公司基于对客户的财务状况、从第三方获取担保的可能性、信用记录及其它因素诸如目前市场状况等评估客户的信用资质并设置相应信用期。本公司对应收票据、应收账款余额及收回情况进行持续监控，对于信用记录不良的客户，本公司会采用书面催款、缩短信用期或取消信用期等方式，以确保本公司不致面临重大信用损失。此外，本公司于每个资产负债表日审核金融资产的回收情况，以确保相关金融资产计提了充分的预期信用损失准备。</w:t>
          </w:r>
        </w:p>
        <w:p>
          <w:pPr>
            <w:keepNext w:val="0"/>
            <w:keepLines w:val="0"/>
            <w:pageBreakBefore w:val="0"/>
            <w:kinsoku/>
            <w:wordWrap/>
            <w:overflowPunct/>
            <w:topLinePunct w:val="0"/>
            <w:autoSpaceDE/>
            <w:autoSpaceDN/>
            <w:bidi w:val="0"/>
            <w:adjustRightInd/>
            <w:snapToGrid/>
            <w:spacing w:line="400" w:lineRule="exact"/>
            <w:ind w:firstLine="640"/>
            <w:textAlignment w:val="auto"/>
            <w:rPr>
              <w:rFonts w:ascii="Times New Roman" w:hAnsi="Times New Roman" w:eastAsia="宋体"/>
              <w:b/>
              <w:sz w:val="21"/>
              <w:szCs w:val="21"/>
            </w:rPr>
          </w:pPr>
          <w:r>
            <w:rPr>
              <w:rFonts w:hint="eastAsia" w:ascii="Times New Roman" w:hAnsi="Times New Roman" w:eastAsia="宋体"/>
              <w:sz w:val="21"/>
              <w:szCs w:val="21"/>
            </w:rPr>
            <w:t>本公司其他金融资产包括货币资金、其他应收款等，这些金融资产的信用风险源自于交易对手违约，最大信用风险敞口为资产负债表中每项金融资产的账面金额。</w:t>
          </w:r>
        </w:p>
        <w:p>
          <w:pPr>
            <w:keepNext w:val="0"/>
            <w:keepLines w:val="0"/>
            <w:pageBreakBefore w:val="0"/>
            <w:kinsoku/>
            <w:wordWrap/>
            <w:overflowPunct/>
            <w:topLinePunct w:val="0"/>
            <w:autoSpaceDE/>
            <w:autoSpaceDN/>
            <w:bidi w:val="0"/>
            <w:adjustRightInd/>
            <w:snapToGrid/>
            <w:spacing w:line="400" w:lineRule="exact"/>
            <w:ind w:firstLine="640"/>
            <w:textAlignment w:val="auto"/>
            <w:rPr>
              <w:rFonts w:ascii="Times New Roman" w:hAnsi="Times New Roman" w:eastAsia="宋体"/>
              <w:b/>
              <w:sz w:val="21"/>
              <w:szCs w:val="21"/>
            </w:rPr>
          </w:pPr>
          <w:r>
            <w:rPr>
              <w:rFonts w:hint="eastAsia" w:ascii="Times New Roman" w:hAnsi="Times New Roman" w:eastAsia="宋体"/>
              <w:sz w:val="21"/>
              <w:szCs w:val="21"/>
            </w:rPr>
            <w:t>本公司持有的货币资金主要存放于国有控股银行和其他大中型商业银行等金融机构，管理层认为这些商业银行具备较高信誉和资产状况，不存在重大的信用风险，不会产生因对方单位违约而导致的任何重大损失。本公司的政策是根据各知名金融机构的市场信誉、经营规模及财务背景来控制存放当中的存款金额，以限制对任何单个金融机构的信用风险金额。</w:t>
          </w:r>
        </w:p>
        <w:p>
          <w:pPr>
            <w:keepNext w:val="0"/>
            <w:keepLines w:val="0"/>
            <w:pageBreakBefore w:val="0"/>
            <w:kinsoku/>
            <w:wordWrap/>
            <w:overflowPunct/>
            <w:topLinePunct w:val="0"/>
            <w:autoSpaceDE/>
            <w:autoSpaceDN/>
            <w:bidi w:val="0"/>
            <w:adjustRightInd/>
            <w:snapToGrid/>
            <w:spacing w:line="400" w:lineRule="exact"/>
            <w:ind w:firstLine="640"/>
            <w:textAlignment w:val="auto"/>
            <w:rPr>
              <w:rFonts w:ascii="Times New Roman" w:hAnsi="Times New Roman" w:eastAsia="宋体"/>
              <w:b/>
              <w:sz w:val="21"/>
              <w:szCs w:val="21"/>
            </w:rPr>
          </w:pPr>
          <w:r>
            <w:rPr>
              <w:rFonts w:hint="eastAsia" w:ascii="Times New Roman" w:hAnsi="Times New Roman" w:eastAsia="宋体"/>
              <w:sz w:val="21"/>
              <w:szCs w:val="21"/>
            </w:rPr>
            <w:t>作为本公司信用风险资产管理的一部分，本公司利用账龄来评估应收账款和其他应收款的减值损失。本公司的应收账款和其他应收款涉及大量客户，账龄信息可以反映这些客户对于应收账款和其他应收款的偿付能力和坏账风险。本公司根据历史数据计算不同账龄期间的历史实际坏账率，并考虑了当前及未来经济状况的预测，如国家GDP增速、国家货币政策等前瞻性信息进行调整得出预期损失率。对于长期应收款，本公司综合考虑结算期、合同约定付款期、债务人的财务状况和债务人所处行业的经济形势，并考虑上述前瞻性信息进行调整后对于预期信用损失进行合理评估。</w:t>
          </w:r>
        </w:p>
        <w:p>
          <w:pPr>
            <w:keepNext w:val="0"/>
            <w:keepLines w:val="0"/>
            <w:pageBreakBefore w:val="0"/>
            <w:kinsoku/>
            <w:wordWrap/>
            <w:overflowPunct/>
            <w:topLinePunct w:val="0"/>
            <w:autoSpaceDE/>
            <w:autoSpaceDN/>
            <w:bidi w:val="0"/>
            <w:adjustRightInd/>
            <w:snapToGrid/>
            <w:spacing w:line="400" w:lineRule="exact"/>
            <w:ind w:firstLine="640"/>
            <w:textAlignment w:val="auto"/>
            <w:rPr>
              <w:rFonts w:ascii="Times New Roman" w:hAnsi="Times New Roman" w:eastAsia="宋体"/>
              <w:b/>
              <w:sz w:val="21"/>
              <w:szCs w:val="21"/>
            </w:rPr>
          </w:pPr>
          <w:r>
            <w:rPr>
              <w:rFonts w:hint="eastAsia" w:ascii="Times New Roman" w:hAnsi="Times New Roman" w:eastAsia="宋体"/>
              <w:sz w:val="21"/>
              <w:szCs w:val="21"/>
            </w:rPr>
            <w:t>截止2025年12月31日，相关资产的账面余额与预期信用减值损失情况如下：</w:t>
          </w: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6"/>
            <w:gridCol w:w="3124"/>
            <w:gridCol w:w="2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sz w:val="21"/>
                    <w:szCs w:val="21"/>
                  </w:rPr>
                </w:pPr>
                <w:r>
                  <w:rPr>
                    <w:rFonts w:hint="eastAsia" w:ascii="Times New Roman" w:hAnsi="Times New Roman" w:eastAsia="宋体"/>
                    <w:sz w:val="21"/>
                    <w:szCs w:val="21"/>
                  </w:rPr>
                  <w:t>账龄</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sz w:val="21"/>
                    <w:szCs w:val="21"/>
                  </w:rPr>
                </w:pPr>
                <w:r>
                  <w:rPr>
                    <w:rFonts w:hint="eastAsia" w:ascii="Times New Roman" w:hAnsi="Times New Roman" w:eastAsia="宋体"/>
                    <w:sz w:val="21"/>
                    <w:szCs w:val="21"/>
                  </w:rPr>
                  <w:t>账面余额</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sz w:val="21"/>
                    <w:szCs w:val="21"/>
                  </w:rPr>
                </w:pPr>
                <w:r>
                  <w:rPr>
                    <w:rFonts w:hint="eastAsia" w:ascii="Times New Roman" w:hAnsi="Times New Roman" w:eastAsia="宋体"/>
                    <w:sz w:val="21"/>
                    <w:szCs w:val="21"/>
                  </w:rPr>
                  <w:t>减值准备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imes New Roman" w:hAnsi="Times New Roman" w:eastAsia="宋体"/>
                    <w:sz w:val="21"/>
                    <w:szCs w:val="21"/>
                  </w:rPr>
                </w:pPr>
                <w:r>
                  <w:rPr>
                    <w:rFonts w:hint="eastAsia" w:ascii="Times New Roman" w:hAnsi="Times New Roman" w:eastAsia="宋体"/>
                    <w:sz w:val="21"/>
                    <w:szCs w:val="21"/>
                  </w:rPr>
                  <w:t>应收账款</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ascii="Times New Roman" w:hAnsi="Times New Roman" w:eastAsia="宋体"/>
                    <w:sz w:val="21"/>
                    <w:szCs w:val="21"/>
                  </w:rPr>
                </w:pPr>
                <w:r>
                  <w:rPr>
                    <w:rFonts w:hint="eastAsia" w:ascii="Times New Roman" w:hAnsi="Times New Roman" w:eastAsia="宋体"/>
                    <w:sz w:val="21"/>
                    <w:szCs w:val="21"/>
                  </w:rPr>
                  <w:t>161,318,699.81</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ascii="Times New Roman" w:hAnsi="Times New Roman" w:eastAsia="宋体"/>
                    <w:sz w:val="21"/>
                    <w:szCs w:val="21"/>
                  </w:rPr>
                </w:pPr>
                <w:r>
                  <w:rPr>
                    <w:rFonts w:hint="eastAsia" w:ascii="Times New Roman" w:hAnsi="Times New Roman" w:eastAsia="宋体"/>
                    <w:sz w:val="21"/>
                    <w:szCs w:val="21"/>
                  </w:rPr>
                  <w:t>54,012,599.43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imes New Roman" w:hAnsi="Times New Roman" w:eastAsia="宋体"/>
                    <w:sz w:val="21"/>
                    <w:szCs w:val="21"/>
                  </w:rPr>
                </w:pPr>
                <w:r>
                  <w:rPr>
                    <w:rFonts w:hint="eastAsia" w:ascii="Times New Roman" w:hAnsi="Times New Roman" w:eastAsia="宋体"/>
                    <w:sz w:val="21"/>
                    <w:szCs w:val="21"/>
                  </w:rPr>
                  <w:t>应收款项融资</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ascii="Times New Roman" w:hAnsi="Times New Roman" w:eastAsia="宋体"/>
                    <w:sz w:val="21"/>
                    <w:szCs w:val="21"/>
                  </w:rPr>
                </w:pPr>
                <w:r>
                  <w:rPr>
                    <w:rFonts w:hint="eastAsia" w:ascii="Times New Roman" w:hAnsi="Times New Roman" w:eastAsia="宋体"/>
                    <w:sz w:val="21"/>
                    <w:szCs w:val="21"/>
                  </w:rPr>
                  <w:t>10,479,155.61</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imes New Roman" w:hAnsi="Times New Roman" w:eastAsia="宋体"/>
                    <w:sz w:val="21"/>
                    <w:szCs w:val="21"/>
                  </w:rPr>
                </w:pPr>
                <w:r>
                  <w:rPr>
                    <w:rFonts w:hint="eastAsia" w:ascii="Times New Roman" w:hAnsi="Times New Roman" w:eastAsia="宋体"/>
                    <w:sz w:val="21"/>
                    <w:szCs w:val="21"/>
                  </w:rPr>
                  <w:t>其他应收款</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ascii="Times New Roman" w:hAnsi="Times New Roman" w:eastAsia="宋体"/>
                    <w:sz w:val="21"/>
                    <w:szCs w:val="21"/>
                  </w:rPr>
                </w:pPr>
                <w:r>
                  <w:rPr>
                    <w:rFonts w:hint="eastAsia" w:ascii="Times New Roman" w:hAnsi="Times New Roman" w:eastAsia="宋体"/>
                    <w:sz w:val="21"/>
                    <w:szCs w:val="21"/>
                  </w:rPr>
                  <w:t>33,606,842.58</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ascii="Times New Roman" w:hAnsi="Times New Roman" w:eastAsia="宋体"/>
                    <w:sz w:val="21"/>
                    <w:szCs w:val="21"/>
                  </w:rPr>
                </w:pPr>
                <w:r>
                  <w:rPr>
                    <w:rFonts w:hint="eastAsia" w:ascii="Times New Roman" w:hAnsi="Times New Roman" w:eastAsia="宋体"/>
                    <w:sz w:val="21"/>
                    <w:szCs w:val="21"/>
                  </w:rPr>
                  <w:t>19,065,341.19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sz w:val="21"/>
                    <w:szCs w:val="21"/>
                  </w:rPr>
                </w:pPr>
                <w:r>
                  <w:rPr>
                    <w:rFonts w:hint="eastAsia" w:ascii="Times New Roman" w:hAnsi="Times New Roman" w:eastAsia="宋体"/>
                    <w:sz w:val="21"/>
                    <w:szCs w:val="21"/>
                  </w:rPr>
                  <w:t>合计</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ascii="Times New Roman" w:hAnsi="Times New Roman" w:eastAsia="宋体"/>
                    <w:sz w:val="21"/>
                    <w:szCs w:val="21"/>
                  </w:rPr>
                </w:pPr>
                <w:r>
                  <w:rPr>
                    <w:rFonts w:hint="eastAsia" w:ascii="Times New Roman" w:hAnsi="Times New Roman" w:eastAsia="宋体"/>
                    <w:sz w:val="21"/>
                    <w:szCs w:val="21"/>
                  </w:rPr>
                  <w:t>205,404,698.00</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ascii="Times New Roman" w:hAnsi="Times New Roman" w:eastAsia="宋体"/>
                    <w:sz w:val="21"/>
                    <w:szCs w:val="21"/>
                  </w:rPr>
                </w:pPr>
                <w:r>
                  <w:rPr>
                    <w:rFonts w:hint="eastAsia" w:ascii="Times New Roman" w:hAnsi="Times New Roman" w:eastAsia="宋体"/>
                    <w:sz w:val="21"/>
                    <w:szCs w:val="21"/>
                  </w:rPr>
                  <w:t>73,077,940.62</w:t>
                </w:r>
              </w:p>
            </w:tc>
          </w:tr>
        </w:tbl>
        <w:p>
          <w:pPr>
            <w:keepNext w:val="0"/>
            <w:keepLines w:val="0"/>
            <w:pageBreakBefore w:val="0"/>
            <w:kinsoku/>
            <w:wordWrap/>
            <w:overflowPunct/>
            <w:topLinePunct w:val="0"/>
            <w:autoSpaceDE/>
            <w:autoSpaceDN/>
            <w:bidi w:val="0"/>
            <w:adjustRightInd/>
            <w:snapToGrid/>
            <w:spacing w:line="400" w:lineRule="exact"/>
            <w:ind w:firstLine="640"/>
            <w:textAlignment w:val="auto"/>
            <w:rPr>
              <w:rFonts w:ascii="Times New Roman" w:hAnsi="Times New Roman" w:eastAsia="宋体"/>
              <w:b/>
              <w:sz w:val="21"/>
              <w:szCs w:val="21"/>
            </w:rPr>
          </w:pPr>
          <w:r>
            <w:rPr>
              <w:rFonts w:hint="eastAsia" w:ascii="Times New Roman" w:hAnsi="Times New Roman" w:eastAsia="宋体"/>
              <w:b/>
              <w:sz w:val="21"/>
              <w:szCs w:val="21"/>
            </w:rPr>
            <w:t>（二）流动性风险</w:t>
          </w:r>
        </w:p>
        <w:p>
          <w:pPr>
            <w:keepNext w:val="0"/>
            <w:keepLines w:val="0"/>
            <w:pageBreakBefore w:val="0"/>
            <w:kinsoku/>
            <w:wordWrap/>
            <w:overflowPunct/>
            <w:topLinePunct w:val="0"/>
            <w:autoSpaceDE/>
            <w:autoSpaceDN/>
            <w:bidi w:val="0"/>
            <w:adjustRightInd/>
            <w:snapToGrid/>
            <w:spacing w:line="400" w:lineRule="exact"/>
            <w:ind w:firstLine="640"/>
            <w:textAlignment w:val="auto"/>
            <w:rPr>
              <w:rFonts w:ascii="Times New Roman" w:hAnsi="Times New Roman" w:eastAsia="宋体"/>
              <w:b/>
              <w:sz w:val="21"/>
              <w:szCs w:val="21"/>
            </w:rPr>
          </w:pPr>
          <w:r>
            <w:rPr>
              <w:rFonts w:hint="eastAsia" w:ascii="Times New Roman" w:hAnsi="Times New Roman" w:eastAsia="宋体"/>
              <w:sz w:val="21"/>
              <w:szCs w:val="21"/>
            </w:rPr>
            <w:t>流动性风险是指本公司在履行以交付现金或其他金融资产的方式结算的义务时发生资金短缺的风险。本公司下属成员企业各自负责其现金流量预测。公司下属财务部基于各成员企业的现金流量预测结果，在公司层面持续监控公司短期和长期的资金需求，以确保维持充裕的现金储备；同时持续监控是否符合借款协议的规定，从主要金融机构获得提供足够备用资金的承诺，以满足短期和长期的资金需求。</w:t>
          </w:r>
        </w:p>
        <w:p>
          <w:pPr>
            <w:keepNext w:val="0"/>
            <w:keepLines w:val="0"/>
            <w:pageBreakBefore w:val="0"/>
            <w:kinsoku/>
            <w:wordWrap/>
            <w:overflowPunct/>
            <w:topLinePunct w:val="0"/>
            <w:autoSpaceDE/>
            <w:autoSpaceDN/>
            <w:bidi w:val="0"/>
            <w:adjustRightInd/>
            <w:snapToGrid/>
            <w:spacing w:line="400" w:lineRule="exact"/>
            <w:ind w:firstLine="640"/>
            <w:textAlignment w:val="auto"/>
            <w:rPr>
              <w:rFonts w:ascii="Times New Roman" w:hAnsi="Times New Roman" w:eastAsia="宋体"/>
              <w:b/>
              <w:sz w:val="21"/>
              <w:szCs w:val="21"/>
            </w:rPr>
          </w:pPr>
          <w:r>
            <w:rPr>
              <w:rFonts w:hint="eastAsia" w:ascii="Times New Roman" w:hAnsi="Times New Roman" w:eastAsia="宋体"/>
              <w:b/>
              <w:sz w:val="21"/>
              <w:szCs w:val="21"/>
            </w:rPr>
            <w:t>（三）市场风险</w:t>
          </w:r>
        </w:p>
        <w:p>
          <w:pPr>
            <w:keepNext w:val="0"/>
            <w:keepLines w:val="0"/>
            <w:pageBreakBefore w:val="0"/>
            <w:kinsoku/>
            <w:wordWrap/>
            <w:overflowPunct/>
            <w:topLinePunct w:val="0"/>
            <w:autoSpaceDE/>
            <w:autoSpaceDN/>
            <w:bidi w:val="0"/>
            <w:adjustRightInd/>
            <w:snapToGrid/>
            <w:spacing w:line="400" w:lineRule="exact"/>
            <w:ind w:firstLine="640"/>
            <w:textAlignment w:val="auto"/>
            <w:rPr>
              <w:rFonts w:ascii="Times New Roman" w:hAnsi="Times New Roman" w:eastAsia="宋体"/>
              <w:b/>
              <w:sz w:val="21"/>
              <w:szCs w:val="21"/>
            </w:rPr>
          </w:pPr>
          <w:r>
            <w:rPr>
              <w:rFonts w:hint="eastAsia" w:ascii="Times New Roman" w:hAnsi="Times New Roman" w:eastAsia="宋体"/>
              <w:sz w:val="21"/>
              <w:szCs w:val="21"/>
            </w:rPr>
            <w:t>1、汇率风险</w:t>
          </w:r>
        </w:p>
        <w:p>
          <w:pPr>
            <w:keepNext w:val="0"/>
            <w:keepLines w:val="0"/>
            <w:pageBreakBefore w:val="0"/>
            <w:kinsoku/>
            <w:wordWrap/>
            <w:overflowPunct/>
            <w:topLinePunct w:val="0"/>
            <w:autoSpaceDE/>
            <w:autoSpaceDN/>
            <w:bidi w:val="0"/>
            <w:adjustRightInd/>
            <w:snapToGrid/>
            <w:spacing w:line="400" w:lineRule="exact"/>
            <w:ind w:firstLine="640"/>
            <w:textAlignment w:val="auto"/>
            <w:rPr>
              <w:rFonts w:ascii="Times New Roman" w:hAnsi="Times New Roman" w:eastAsia="宋体"/>
              <w:b/>
              <w:sz w:val="21"/>
              <w:szCs w:val="21"/>
            </w:rPr>
          </w:pPr>
          <w:r>
            <w:rPr>
              <w:rFonts w:hint="eastAsia" w:ascii="Times New Roman" w:hAnsi="Times New Roman" w:eastAsia="宋体"/>
              <w:sz w:val="21"/>
              <w:szCs w:val="21"/>
            </w:rPr>
            <w:t>本公司的主要经营位于中国境内，主要业务以人民币结算。但本公司已确认的外币资产和负债及未来的外币交易（外币资产和负债及外币交易的计价货币主要为美元、港币、欧元）依然存在汇率风险。本公司财务部门负责监控公司外币交易和外币资产及负债的规模，以最大程度降低面临的汇率风险。</w:t>
          </w:r>
        </w:p>
        <w:p>
          <w:pPr>
            <w:keepNext w:val="0"/>
            <w:keepLines w:val="0"/>
            <w:pageBreakBefore w:val="0"/>
            <w:kinsoku/>
            <w:wordWrap/>
            <w:overflowPunct/>
            <w:topLinePunct w:val="0"/>
            <w:autoSpaceDE/>
            <w:autoSpaceDN/>
            <w:bidi w:val="0"/>
            <w:adjustRightInd/>
            <w:snapToGrid/>
            <w:spacing w:line="400" w:lineRule="exact"/>
            <w:ind w:firstLine="640"/>
            <w:textAlignment w:val="auto"/>
            <w:rPr>
              <w:rFonts w:ascii="Times New Roman" w:hAnsi="Times New Roman" w:eastAsia="宋体"/>
              <w:b/>
              <w:sz w:val="21"/>
              <w:szCs w:val="21"/>
            </w:rPr>
          </w:pPr>
          <w:r>
            <w:rPr>
              <w:rFonts w:hint="eastAsia" w:ascii="Times New Roman" w:hAnsi="Times New Roman" w:eastAsia="宋体"/>
              <w:sz w:val="21"/>
              <w:szCs w:val="21"/>
            </w:rPr>
            <w:t>截止2025年12月31日，本年度公司未签署任何远期外汇合约或货币互换合约。</w:t>
          </w:r>
        </w:p>
        <w:p>
          <w:pPr>
            <w:keepNext w:val="0"/>
            <w:keepLines w:val="0"/>
            <w:pageBreakBefore w:val="0"/>
            <w:kinsoku/>
            <w:wordWrap/>
            <w:overflowPunct/>
            <w:topLinePunct w:val="0"/>
            <w:autoSpaceDE/>
            <w:autoSpaceDN/>
            <w:bidi w:val="0"/>
            <w:adjustRightInd/>
            <w:snapToGrid/>
            <w:spacing w:line="400" w:lineRule="exact"/>
            <w:ind w:firstLine="640"/>
            <w:textAlignment w:val="auto"/>
            <w:rPr>
              <w:rFonts w:ascii="Times New Roman" w:hAnsi="Times New Roman" w:eastAsia="宋体"/>
              <w:b/>
              <w:sz w:val="21"/>
              <w:szCs w:val="21"/>
            </w:rPr>
          </w:pPr>
          <w:r>
            <w:rPr>
              <w:rFonts w:hint="eastAsia" w:ascii="Times New Roman" w:hAnsi="Times New Roman" w:eastAsia="宋体"/>
              <w:sz w:val="21"/>
              <w:szCs w:val="21"/>
            </w:rPr>
            <w:t>2、利率风险</w:t>
          </w:r>
        </w:p>
        <w:p>
          <w:pPr>
            <w:keepNext w:val="0"/>
            <w:keepLines w:val="0"/>
            <w:pageBreakBefore w:val="0"/>
            <w:kinsoku/>
            <w:wordWrap/>
            <w:overflowPunct/>
            <w:topLinePunct w:val="0"/>
            <w:autoSpaceDE/>
            <w:autoSpaceDN/>
            <w:bidi w:val="0"/>
            <w:adjustRightInd/>
            <w:snapToGrid/>
            <w:spacing w:line="400" w:lineRule="exact"/>
            <w:ind w:firstLine="640"/>
            <w:textAlignment w:val="auto"/>
            <w:rPr>
              <w:rFonts w:ascii="Times New Roman" w:hAnsi="Times New Roman" w:eastAsia="宋体"/>
              <w:b/>
              <w:sz w:val="21"/>
              <w:szCs w:val="21"/>
            </w:rPr>
          </w:pPr>
          <w:r>
            <w:rPr>
              <w:rFonts w:hint="eastAsia" w:ascii="Times New Roman" w:hAnsi="Times New Roman" w:eastAsia="宋体"/>
              <w:sz w:val="21"/>
              <w:szCs w:val="21"/>
            </w:rPr>
            <w:t>本公司的利率风险主要产生于银行借款等。浮动利率的金融负债使本公司面临现金流量利率风险，固定利率的金融负债使本公司面临公允价值利率风险。本公司根据当时的市场环境来决定固定利率及浮动利率合同的相对比例。</w:t>
          </w:r>
        </w:p>
        <w:p>
          <w:pPr>
            <w:keepNext w:val="0"/>
            <w:keepLines w:val="0"/>
            <w:pageBreakBefore w:val="0"/>
            <w:kinsoku/>
            <w:wordWrap/>
            <w:overflowPunct/>
            <w:topLinePunct w:val="0"/>
            <w:autoSpaceDE/>
            <w:autoSpaceDN/>
            <w:bidi w:val="0"/>
            <w:adjustRightInd/>
            <w:snapToGrid/>
            <w:spacing w:line="400" w:lineRule="exact"/>
            <w:ind w:firstLine="640"/>
            <w:textAlignment w:val="auto"/>
            <w:rPr>
              <w:rFonts w:ascii="Times New Roman" w:hAnsi="Times New Roman" w:eastAsia="宋体"/>
              <w:b/>
              <w:sz w:val="21"/>
              <w:szCs w:val="21"/>
            </w:rPr>
          </w:pPr>
          <w:r>
            <w:rPr>
              <w:rFonts w:hint="eastAsia" w:ascii="Times New Roman" w:hAnsi="Times New Roman" w:eastAsia="宋体"/>
              <w:sz w:val="21"/>
              <w:szCs w:val="21"/>
            </w:rPr>
            <w:t>本公司财务部门持续监控公司利率水平。利率上升会增加新增带息债务的成本以及本公司尚未付清的以浮动利率计息的带息债务的利息支出，并对本公司的财务业绩产生重大的不利影响，管理层会依据最新的市场状况及时做出调整来降低利率风险。</w:t>
          </w:r>
        </w:p>
        <w:p>
          <w:pPr>
            <w:keepNext w:val="0"/>
            <w:keepLines w:val="0"/>
            <w:pageBreakBefore w:val="0"/>
            <w:kinsoku/>
            <w:wordWrap/>
            <w:overflowPunct/>
            <w:topLinePunct w:val="0"/>
            <w:autoSpaceDE/>
            <w:autoSpaceDN/>
            <w:bidi w:val="0"/>
            <w:adjustRightInd/>
            <w:snapToGrid/>
            <w:spacing w:line="400" w:lineRule="exact"/>
            <w:ind w:firstLine="640"/>
            <w:textAlignment w:val="auto"/>
            <w:rPr>
              <w:rFonts w:ascii="Times New Roman" w:hAnsi="Times New Roman" w:eastAsia="宋体"/>
              <w:b/>
              <w:sz w:val="21"/>
              <w:szCs w:val="21"/>
            </w:rPr>
          </w:pPr>
          <w:r>
            <w:rPr>
              <w:rFonts w:hint="eastAsia" w:ascii="Times New Roman" w:hAnsi="Times New Roman" w:eastAsia="宋体"/>
              <w:sz w:val="21"/>
              <w:szCs w:val="21"/>
            </w:rPr>
            <w:t>3、价格风险</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Times New Roman" w:hAnsi="Times New Roman" w:eastAsia="宋体"/>
              <w:b/>
              <w:sz w:val="21"/>
              <w:szCs w:val="21"/>
            </w:rPr>
          </w:pPr>
          <w:r>
            <w:rPr>
              <w:rFonts w:hint="eastAsia" w:ascii="Times New Roman" w:hAnsi="Times New Roman" w:eastAsia="宋体"/>
              <w:sz w:val="21"/>
              <w:szCs w:val="21"/>
            </w:rPr>
            <w:t>本公司持有的分类为交易性金融资产的投资在资产负债表日以其公允价值列示。因此，本公司面临价格风险。本公司已于公司内部成立投资管理部，由指定成员密切监控投资产品之价格变动。因此本公司董事认为公司面临之价格风险已被缓解。</w:t>
          </w:r>
        </w:p>
      </w:sdtContent>
    </w:sdt>
    <w:p/>
    <w:p>
      <w:pPr>
        <w:pStyle w:val="4"/>
        <w:numPr>
          <w:ilvl w:val="0"/>
          <w:numId w:val="112"/>
        </w:numPr>
      </w:pPr>
      <w:r>
        <w:rPr>
          <w:rFonts w:hint="eastAsia"/>
        </w:rPr>
        <w:t>套期</w:t>
      </w:r>
    </w:p>
    <w:p>
      <w:pPr>
        <w:pStyle w:val="5"/>
        <w:numPr>
          <w:ilvl w:val="0"/>
          <w:numId w:val="113"/>
        </w:numPr>
        <w:ind w:left="0" w:firstLine="0"/>
        <w:rPr>
          <w:rFonts w:hint="eastAsia"/>
        </w:rPr>
      </w:pPr>
      <w:r>
        <w:rPr>
          <w:rFonts w:hint="eastAsia"/>
        </w:rPr>
        <w:t>公司开展套期业务进行风险管理</w:t>
      </w:r>
    </w:p>
    <w:sdt>
      <w:sdtPr>
        <w:alias w:val="是否适用：公司开展套期业务进行风险管理情况[双击切换]"/>
        <w:tag w:val="_GBC_71d11701ff3e412981460bc27e88a1b5"/>
        <w:id w:val="7952"/>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rPr>
          <w:rFonts w:hint="eastAsia"/>
        </w:rPr>
        <w:t>其他说明：</w:t>
      </w:r>
    </w:p>
    <w:sdt>
      <w:sdtPr>
        <w:alias w:val="是否适用：公司开展套期业务进行风险管理的其他说明[双击切换]"/>
        <w:tag w:val="_GBC_bc39ee99cbfc4e469ac321509f461420"/>
        <w:id w:val="7953"/>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color w:val="808080"/>
          <w:szCs w:val="21"/>
        </w:rPr>
      </w:pPr>
    </w:p>
    <w:p>
      <w:pPr>
        <w:pStyle w:val="5"/>
        <w:numPr>
          <w:ilvl w:val="0"/>
          <w:numId w:val="113"/>
        </w:numPr>
        <w:ind w:left="0" w:firstLine="0"/>
        <w:rPr>
          <w:rFonts w:hint="eastAsia"/>
        </w:rPr>
      </w:pPr>
      <w:r>
        <w:rPr>
          <w:rFonts w:hint="eastAsia"/>
        </w:rPr>
        <w:t>公司开展符合条件套期业务并应用套期会计</w:t>
      </w:r>
    </w:p>
    <w:sdt>
      <w:sdtPr>
        <w:alias w:val="是否适用：公司开展符合条件套期业务并应用套期会计情况[双击切换]"/>
        <w:tag w:val="_GBC_346f997d46464bdda5750bdd43495d02"/>
        <w:id w:val="7954"/>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color w:val="808080"/>
          <w:szCs w:val="21"/>
        </w:rPr>
      </w:pPr>
    </w:p>
    <w:p>
      <w:r>
        <w:rPr>
          <w:rFonts w:hint="eastAsia"/>
        </w:rPr>
        <w:t>其他说明：</w:t>
      </w:r>
    </w:p>
    <w:sdt>
      <w:sdtPr>
        <w:alias w:val="是否适用：公司开展符合条件套期业务并应用套期会计情况的其他说明[双击切换]"/>
        <w:tag w:val="_GBC_7f3675a931be4fe0b3ba0ed19f75108a"/>
        <w:id w:val="7955"/>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color w:val="808080"/>
          <w:szCs w:val="21"/>
        </w:rPr>
      </w:pPr>
    </w:p>
    <w:p>
      <w:pPr>
        <w:pStyle w:val="5"/>
        <w:numPr>
          <w:ilvl w:val="0"/>
          <w:numId w:val="113"/>
        </w:numPr>
        <w:ind w:left="0" w:firstLine="0"/>
        <w:rPr>
          <w:rFonts w:hint="eastAsia"/>
        </w:rPr>
      </w:pPr>
      <w:r>
        <w:rPr>
          <w:rFonts w:hint="eastAsia"/>
        </w:rPr>
        <w:t>公司开展套期业务进行风险管理、预期能实现风险管理目标但未应用套期会计</w:t>
      </w:r>
    </w:p>
    <w:sdt>
      <w:sdtPr>
        <w:alias w:val="是否适用：公司开展套期业务进行风险管理、预期能实现风险管理目标但未应用套期会计[双击切换]"/>
        <w:tag w:val="_GBC_a8e3b34e51d64b48bca9359ee5d1c683"/>
        <w:id w:val="7956"/>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rPr>
          <w:rFonts w:hint="eastAsia"/>
        </w:rPr>
        <w:t>其他说明：</w:t>
      </w:r>
    </w:p>
    <w:sdt>
      <w:sdtPr>
        <w:alias w:val="是否适用：公司开展套期业务进行风险管理、预期能实现风险管理目标但未应用套期会计的其他说明[双击切换]"/>
        <w:tag w:val="_GBC_7e60464ee1bf40b8b1d2fa0c0e7df1e4"/>
        <w:id w:val="7957"/>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color w:val="808080"/>
          <w:szCs w:val="21"/>
        </w:rPr>
      </w:pPr>
    </w:p>
    <w:p>
      <w:pPr>
        <w:pStyle w:val="4"/>
        <w:numPr>
          <w:ilvl w:val="0"/>
          <w:numId w:val="112"/>
        </w:numPr>
      </w:pPr>
      <w:r>
        <w:rPr>
          <w:rFonts w:hint="eastAsia"/>
        </w:rPr>
        <w:t>金融资产转移</w:t>
      </w:r>
    </w:p>
    <w:p>
      <w:pPr>
        <w:pStyle w:val="5"/>
        <w:numPr>
          <w:ilvl w:val="0"/>
          <w:numId w:val="114"/>
        </w:numPr>
        <w:rPr>
          <w:rFonts w:hint="eastAsia" w:ascii="宋体" w:hAnsi="宋体" w:eastAsia="宋体" w:cs="宋体"/>
          <w:kern w:val="0"/>
          <w:szCs w:val="24"/>
        </w:rPr>
      </w:pPr>
      <w:bookmarkStart w:id="367" w:name="_Hlk153550670"/>
      <w:r>
        <w:rPr>
          <w:rFonts w:hint="eastAsia" w:ascii="宋体" w:hAnsi="宋体" w:eastAsia="宋体" w:cs="宋体"/>
          <w:kern w:val="0"/>
          <w:szCs w:val="24"/>
        </w:rPr>
        <w:t>转移方式分类</w:t>
      </w:r>
    </w:p>
    <w:sdt>
      <w:sdtPr>
        <w:alias w:val="是否适用：转移方式分类[双击切换]"/>
        <w:tag w:val="_GBC_ff6f967e629c4a6b934da2a3f33a107d"/>
        <w:id w:val="7958"/>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color w:val="808080"/>
          <w:szCs w:val="21"/>
        </w:rPr>
      </w:pPr>
    </w:p>
    <w:bookmarkEnd w:id="367"/>
    <w:p>
      <w:pPr>
        <w:pStyle w:val="5"/>
        <w:numPr>
          <w:ilvl w:val="0"/>
          <w:numId w:val="114"/>
        </w:numPr>
        <w:rPr>
          <w:rFonts w:hint="eastAsia" w:ascii="宋体" w:hAnsi="宋体" w:eastAsia="宋体" w:cs="宋体"/>
          <w:kern w:val="0"/>
          <w:szCs w:val="24"/>
        </w:rPr>
      </w:pPr>
      <w:r>
        <w:rPr>
          <w:rFonts w:hint="eastAsia" w:ascii="宋体" w:hAnsi="宋体" w:eastAsia="宋体" w:cs="宋体"/>
          <w:kern w:val="0"/>
          <w:szCs w:val="24"/>
        </w:rPr>
        <w:t>因转移而终止确认的金融资产</w:t>
      </w:r>
    </w:p>
    <w:sdt>
      <w:sdtPr>
        <w:rPr>
          <w:rFonts w:hint="eastAsia"/>
        </w:rPr>
        <w:alias w:val="是否适用：因转移而终止确认的金融资产[双击切换]"/>
        <w:tag w:val="_GBC_9fb1347e32aa4376959cf58d1383255a"/>
        <w:id w:val="7959"/>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color w:val="808080"/>
          <w:szCs w:val="21"/>
        </w:rPr>
      </w:pPr>
    </w:p>
    <w:p>
      <w:pPr>
        <w:pStyle w:val="5"/>
        <w:numPr>
          <w:ilvl w:val="0"/>
          <w:numId w:val="114"/>
        </w:numPr>
        <w:rPr>
          <w:rFonts w:hint="eastAsia" w:ascii="宋体" w:hAnsi="宋体" w:eastAsia="宋体" w:cs="宋体"/>
          <w:kern w:val="0"/>
          <w:szCs w:val="24"/>
        </w:rPr>
      </w:pPr>
      <w:r>
        <w:rPr>
          <w:rFonts w:hint="eastAsia" w:ascii="宋体" w:hAnsi="宋体" w:eastAsia="宋体" w:cs="宋体"/>
          <w:kern w:val="0"/>
          <w:szCs w:val="24"/>
        </w:rPr>
        <w:t>继续涉入的转移金融资产</w:t>
      </w:r>
    </w:p>
    <w:sdt>
      <w:sdtPr>
        <w:alias w:val="是否适用：继续涉入的转移金融资产[双击切换]"/>
        <w:tag w:val="_GBC_b604f7fddde64fe6935f4995b9a88a21"/>
        <w:id w:val="7960"/>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color w:val="808080"/>
          <w:szCs w:val="21"/>
        </w:rPr>
      </w:pPr>
    </w:p>
    <w:p>
      <w:r>
        <w:rPr>
          <w:rFonts w:hint="eastAsia"/>
        </w:rPr>
        <w:t>其他说明：</w:t>
      </w:r>
    </w:p>
    <w:sdt>
      <w:sdtPr>
        <w:alias w:val="是否适用：金融资产转移其他说明[双击切换]"/>
        <w:tag w:val="_GBC_205480d73c8a413b9678dd4798b26763"/>
        <w:id w:val="7961"/>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color w:val="808080"/>
          <w:szCs w:val="21"/>
        </w:rPr>
      </w:pPr>
    </w:p>
    <w:sdt>
      <w:sdtPr>
        <w:tag w:val="_PLD_fde38f632ebd4d55b67faf3d4ee757e6"/>
        <w:id w:val="7962"/>
      </w:sdtPr>
      <w:sdtContent>
        <w:p>
          <w:pPr>
            <w:pStyle w:val="3"/>
            <w:numPr>
              <w:ilvl w:val="0"/>
              <w:numId w:val="52"/>
            </w:numPr>
            <w:rPr>
              <w:rFonts w:hint="eastAsia" w:ascii="宋体" w:hAnsi="宋体"/>
            </w:rPr>
          </w:pPr>
          <w:r>
            <w:rPr>
              <w:rFonts w:hint="eastAsia" w:ascii="宋体" w:hAnsi="宋体"/>
            </w:rPr>
            <w:t>公允价值的披露</w:t>
          </w:r>
        </w:p>
      </w:sdtContent>
    </w:sdt>
    <w:p>
      <w:pPr>
        <w:pStyle w:val="4"/>
        <w:numPr>
          <w:ilvl w:val="0"/>
          <w:numId w:val="115"/>
        </w:numPr>
      </w:pPr>
      <w:bookmarkStart w:id="368" w:name="_Hlk24030209"/>
      <w:bookmarkStart w:id="369" w:name="_Hlk10539195"/>
      <w:r>
        <w:rPr>
          <w:rFonts w:hint="eastAsia"/>
        </w:rPr>
        <w:t>以公允价值计量的资产和负债的期末公允价值</w:t>
      </w:r>
    </w:p>
    <w:sdt>
      <w:sdtPr>
        <w:alias w:val="是否适用：以公允价值计量的资产和负债的期末公允价值[双击切换]"/>
        <w:tag w:val="_GBC_6fbb4bafbfc548fdbb4a25b91f07bd6a"/>
        <w:id w:val="7963"/>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财务附注：以公允价值计量的资产和负债的期末公允价值"/>
          <w:tag w:val="_GBC_2c45ed0b719e4292b6389023b9ce1031"/>
          <w:id w:val="796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财务附注：以公允价值计量的资产和负债的期末公允价值"/>
          <w:tag w:val="_GBC_4c0658ced5d64a5f80dc11bb84ac9dbd"/>
          <w:id w:val="79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bookmarkEnd w:id="368"/>
    <w:bookmarkEnd w:id="369"/>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3"/>
        <w:gridCol w:w="1708"/>
        <w:gridCol w:w="1668"/>
        <w:gridCol w:w="1608"/>
        <w:gridCol w:w="1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2423" w:type="dxa"/>
            <w:vMerge w:val="restart"/>
            <w:tcBorders>
              <w:top w:val="single" w:color="auto" w:sz="4" w:space="0"/>
              <w:left w:val="single" w:color="auto" w:sz="4" w:space="0"/>
              <w:right w:val="single" w:color="auto" w:sz="4" w:space="0"/>
            </w:tcBorders>
            <w:vAlign w:val="center"/>
          </w:tcPr>
          <w:sdt>
            <w:sdtPr>
              <w:tag w:val="_PLD_163e93b7c897498dae37bc5c38a11afe"/>
              <w:id w:val="147465997"/>
            </w:sdtPr>
            <w:sdtContent>
              <w:p>
                <w:pPr>
                  <w:jc w:val="center"/>
                  <w:outlineLvl w:val="2"/>
                  <w:rPr>
                    <w:rFonts w:cs="Cambria"/>
                    <w:szCs w:val="21"/>
                  </w:rPr>
                </w:pPr>
                <w:r>
                  <w:rPr>
                    <w:rFonts w:hint="eastAsia" w:cs="Cambria"/>
                    <w:szCs w:val="21"/>
                  </w:rPr>
                  <w:t>项目</w:t>
                </w:r>
              </w:p>
            </w:sdtContent>
          </w:sdt>
        </w:tc>
        <w:tc>
          <w:tcPr>
            <w:tcW w:w="6623" w:type="dxa"/>
            <w:gridSpan w:val="4"/>
            <w:tcBorders>
              <w:top w:val="single" w:color="auto" w:sz="4" w:space="0"/>
              <w:left w:val="single" w:color="auto" w:sz="4" w:space="0"/>
              <w:bottom w:val="single" w:color="auto" w:sz="4" w:space="0"/>
              <w:right w:val="single" w:color="auto" w:sz="4" w:space="0"/>
            </w:tcBorders>
            <w:vAlign w:val="center"/>
          </w:tcPr>
          <w:sdt>
            <w:sdtPr>
              <w:tag w:val="_PLD_b8bd62f651414617bea8612c55db30ce"/>
              <w:id w:val="147471365"/>
            </w:sdtPr>
            <w:sdtContent>
              <w:p>
                <w:pPr>
                  <w:jc w:val="center"/>
                  <w:outlineLvl w:val="2"/>
                  <w:rPr>
                    <w:rFonts w:cs="Cambria"/>
                    <w:szCs w:val="21"/>
                  </w:rPr>
                </w:pPr>
                <w:r>
                  <w:rPr>
                    <w:rFonts w:hint="eastAsia" w:cs="Cambria"/>
                    <w:szCs w:val="21"/>
                  </w:rPr>
                  <w:t>期末公允价值</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2423" w:type="dxa"/>
            <w:vMerge w:val="continue"/>
            <w:tcBorders>
              <w:left w:val="single" w:color="auto" w:sz="4" w:space="0"/>
              <w:bottom w:val="single" w:color="auto" w:sz="4" w:space="0"/>
              <w:right w:val="single" w:color="auto" w:sz="4" w:space="0"/>
            </w:tcBorders>
            <w:vAlign w:val="center"/>
          </w:tcPr>
          <w:p>
            <w:pPr>
              <w:jc w:val="center"/>
              <w:outlineLvl w:val="2"/>
              <w:rPr>
                <w:rFonts w:cs="Cambria"/>
                <w:szCs w:val="21"/>
              </w:rPr>
            </w:pPr>
          </w:p>
        </w:tc>
        <w:tc>
          <w:tcPr>
            <w:tcW w:w="1708" w:type="dxa"/>
            <w:tcBorders>
              <w:top w:val="single" w:color="auto" w:sz="4" w:space="0"/>
              <w:left w:val="single" w:color="auto" w:sz="4" w:space="0"/>
              <w:bottom w:val="single" w:color="auto" w:sz="4" w:space="0"/>
              <w:right w:val="single" w:color="auto" w:sz="4" w:space="0"/>
            </w:tcBorders>
            <w:vAlign w:val="center"/>
          </w:tcPr>
          <w:sdt>
            <w:sdtPr>
              <w:tag w:val="_PLD_8b204b4b1832494b8312fec08990548b"/>
              <w:id w:val="147477301"/>
            </w:sdtPr>
            <w:sdtContent>
              <w:p>
                <w:pPr>
                  <w:jc w:val="center"/>
                  <w:outlineLvl w:val="2"/>
                  <w:rPr>
                    <w:rFonts w:cs="Cambria"/>
                    <w:szCs w:val="21"/>
                  </w:rPr>
                </w:pPr>
                <w:r>
                  <w:rPr>
                    <w:rFonts w:hint="eastAsia" w:cs="Cambria"/>
                    <w:szCs w:val="21"/>
                  </w:rPr>
                  <w:t>第一层次公允价值计量</w:t>
                </w:r>
              </w:p>
            </w:sdtContent>
          </w:sdt>
        </w:tc>
        <w:tc>
          <w:tcPr>
            <w:tcW w:w="1668" w:type="dxa"/>
            <w:tcBorders>
              <w:top w:val="single" w:color="auto" w:sz="4" w:space="0"/>
              <w:left w:val="single" w:color="auto" w:sz="4" w:space="0"/>
              <w:bottom w:val="single" w:color="auto" w:sz="4" w:space="0"/>
              <w:right w:val="single" w:color="auto" w:sz="4" w:space="0"/>
            </w:tcBorders>
            <w:vAlign w:val="center"/>
          </w:tcPr>
          <w:sdt>
            <w:sdtPr>
              <w:tag w:val="_PLD_de23a118a4e8435d9b0e1e2e2e494f30"/>
              <w:id w:val="147470767"/>
            </w:sdtPr>
            <w:sdtContent>
              <w:p>
                <w:pPr>
                  <w:jc w:val="center"/>
                  <w:outlineLvl w:val="2"/>
                  <w:rPr>
                    <w:rFonts w:cs="Cambria"/>
                    <w:szCs w:val="21"/>
                  </w:rPr>
                </w:pPr>
                <w:r>
                  <w:rPr>
                    <w:rFonts w:hint="eastAsia" w:cs="Cambria"/>
                    <w:szCs w:val="21"/>
                  </w:rPr>
                  <w:t>第二层次公允价值计量</w:t>
                </w:r>
              </w:p>
            </w:sdtContent>
          </w:sdt>
        </w:tc>
        <w:tc>
          <w:tcPr>
            <w:tcW w:w="1608" w:type="dxa"/>
            <w:tcBorders>
              <w:top w:val="single" w:color="auto" w:sz="4" w:space="0"/>
              <w:left w:val="single" w:color="auto" w:sz="4" w:space="0"/>
              <w:bottom w:val="single" w:color="auto" w:sz="4" w:space="0"/>
              <w:right w:val="single" w:color="auto" w:sz="4" w:space="0"/>
            </w:tcBorders>
            <w:vAlign w:val="center"/>
          </w:tcPr>
          <w:sdt>
            <w:sdtPr>
              <w:tag w:val="_PLD_4cb787262d4b4096b0d321ac48721dd2"/>
              <w:id w:val="147470130"/>
            </w:sdtPr>
            <w:sdtContent>
              <w:p>
                <w:pPr>
                  <w:jc w:val="center"/>
                  <w:outlineLvl w:val="2"/>
                  <w:rPr>
                    <w:rFonts w:cs="Cambria"/>
                    <w:szCs w:val="21"/>
                  </w:rPr>
                </w:pPr>
                <w:r>
                  <w:rPr>
                    <w:rFonts w:hint="eastAsia" w:cs="Cambria"/>
                    <w:szCs w:val="21"/>
                  </w:rPr>
                  <w:t>第三层次公允价值计量</w:t>
                </w:r>
              </w:p>
            </w:sdtContent>
          </w:sdt>
        </w:tc>
        <w:tc>
          <w:tcPr>
            <w:tcW w:w="1639" w:type="dxa"/>
            <w:tcBorders>
              <w:top w:val="single" w:color="auto" w:sz="4" w:space="0"/>
              <w:left w:val="single" w:color="auto" w:sz="4" w:space="0"/>
              <w:bottom w:val="single" w:color="auto" w:sz="4" w:space="0"/>
              <w:right w:val="single" w:color="auto" w:sz="4" w:space="0"/>
            </w:tcBorders>
            <w:vAlign w:val="center"/>
          </w:tcPr>
          <w:sdt>
            <w:sdtPr>
              <w:tag w:val="_PLD_fb89c54d0c8e4fe2990587a96b78b5ca"/>
              <w:id w:val="147475621"/>
            </w:sdtPr>
            <w:sdtContent>
              <w:p>
                <w:pPr>
                  <w:jc w:val="center"/>
                  <w:outlineLvl w:val="2"/>
                  <w:rPr>
                    <w:rFonts w:cs="Cambria"/>
                    <w:szCs w:val="21"/>
                  </w:rPr>
                </w:pPr>
                <w:r>
                  <w:rPr>
                    <w:rFonts w:hint="eastAsia" w:cs="Cambria"/>
                    <w:szCs w:val="21"/>
                  </w:rPr>
                  <w:t>合计</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b/>
                <w:szCs w:val="21"/>
              </w:rPr>
            </w:pPr>
            <w:r>
              <w:rPr>
                <w:rFonts w:hint="eastAsia" w:cs="Cambria"/>
                <w:b/>
                <w:szCs w:val="21"/>
              </w:rPr>
              <w:t>一、持续的公允价值计量</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pPr>
            <w:r>
              <w:rPr>
                <w:rFonts w:hint="eastAsia"/>
              </w:rPr>
              <w:t>（一）交易性金融资产</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r>
              <w:rPr>
                <w:rFonts w:hint="eastAsia"/>
                <w:color w:val="auto"/>
              </w:rPr>
              <w:t>287,207,259.61</w:t>
            </w: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r>
              <w:rPr>
                <w:rFonts w:hint="eastAsia"/>
                <w:color w:val="auto"/>
              </w:rPr>
              <w:t>287,207,259.61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pPr>
            <w:r>
              <w:t>1.以公允价值计量且变动计入当期损益的金融资产</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r>
              <w:rPr>
                <w:rFonts w:hint="eastAsia"/>
                <w:color w:val="auto"/>
              </w:rPr>
              <w:t>287,207,259.61</w:t>
            </w: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r>
              <w:rPr>
                <w:rFonts w:hint="eastAsia"/>
                <w:color w:val="auto"/>
              </w:rPr>
              <w:t>287,207,259.61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szCs w:val="21"/>
              </w:rPr>
            </w:pPr>
            <w:r>
              <w:rPr>
                <w:rFonts w:hint="eastAsia" w:cs="Cambria"/>
                <w:szCs w:val="21"/>
              </w:rPr>
              <w:t>（</w:t>
            </w:r>
            <w:r>
              <w:rPr>
                <w:rFonts w:cs="Cambria"/>
                <w:szCs w:val="21"/>
              </w:rPr>
              <w:t>1</w:t>
            </w:r>
            <w:r>
              <w:rPr>
                <w:rFonts w:hint="eastAsia" w:cs="Cambria"/>
                <w:szCs w:val="21"/>
              </w:rPr>
              <w:t>）债务工具投资</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szCs w:val="21"/>
              </w:rPr>
            </w:pPr>
            <w:r>
              <w:rPr>
                <w:rFonts w:hint="eastAsia" w:cs="Cambria"/>
                <w:szCs w:val="21"/>
              </w:rPr>
              <w:t>（</w:t>
            </w:r>
            <w:r>
              <w:rPr>
                <w:rFonts w:cs="Cambria"/>
                <w:szCs w:val="21"/>
              </w:rPr>
              <w:t>2</w:t>
            </w:r>
            <w:r>
              <w:rPr>
                <w:rFonts w:hint="eastAsia" w:cs="Cambria"/>
                <w:szCs w:val="21"/>
              </w:rPr>
              <w:t>）权益工具投资</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r>
              <w:rPr>
                <w:rFonts w:hint="eastAsia" w:cs="Cambria"/>
                <w:szCs w:val="21"/>
              </w:rPr>
              <w:t>287,207,259.61</w:t>
            </w: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r>
              <w:rPr>
                <w:rFonts w:hint="eastAsia" w:cs="Cambria"/>
                <w:szCs w:val="21"/>
              </w:rPr>
              <w:t>287,207,259.61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szCs w:val="21"/>
              </w:rPr>
            </w:pPr>
            <w:r>
              <w:rPr>
                <w:rFonts w:hint="eastAsia" w:cs="Cambria"/>
                <w:szCs w:val="21"/>
              </w:rPr>
              <w:t>（</w:t>
            </w:r>
            <w:r>
              <w:rPr>
                <w:rFonts w:cs="Cambria"/>
                <w:szCs w:val="21"/>
              </w:rPr>
              <w:t>3</w:t>
            </w:r>
            <w:r>
              <w:rPr>
                <w:rFonts w:hint="eastAsia" w:cs="Cambria"/>
                <w:szCs w:val="21"/>
              </w:rPr>
              <w:t>）衍生金融资产</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szCs w:val="21"/>
              </w:rPr>
            </w:pPr>
            <w:r>
              <w:rPr>
                <w:rFonts w:cs="Cambria"/>
                <w:szCs w:val="21"/>
              </w:rPr>
              <w:t xml:space="preserve">2. </w:t>
            </w:r>
            <w:r>
              <w:rPr>
                <w:rFonts w:hint="eastAsia" w:cs="Cambria"/>
                <w:szCs w:val="21"/>
              </w:rPr>
              <w:t>指定以公允价值计量且其变动计入当期损益的金融资产</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hint="eastAsia" w:eastAsia="宋体" w:cs="Cambria"/>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szCs w:val="21"/>
              </w:rPr>
            </w:pPr>
            <w:r>
              <w:rPr>
                <w:rFonts w:hint="eastAsia" w:cs="Cambria"/>
                <w:szCs w:val="21"/>
              </w:rPr>
              <w:t>（</w:t>
            </w:r>
            <w:r>
              <w:rPr>
                <w:rFonts w:cs="Cambria"/>
                <w:szCs w:val="21"/>
              </w:rPr>
              <w:t>1</w:t>
            </w:r>
            <w:r>
              <w:rPr>
                <w:rFonts w:hint="eastAsia" w:cs="Cambria"/>
                <w:szCs w:val="21"/>
              </w:rPr>
              <w:t>）债务工具投资</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szCs w:val="21"/>
              </w:rPr>
            </w:pPr>
            <w:r>
              <w:rPr>
                <w:rFonts w:hint="eastAsia" w:cs="Cambria"/>
                <w:szCs w:val="21"/>
              </w:rPr>
              <w:t>（</w:t>
            </w:r>
            <w:r>
              <w:rPr>
                <w:rFonts w:cs="Cambria"/>
                <w:szCs w:val="21"/>
              </w:rPr>
              <w:t>2</w:t>
            </w:r>
            <w:r>
              <w:rPr>
                <w:rFonts w:hint="eastAsia" w:cs="Cambria"/>
                <w:szCs w:val="21"/>
              </w:rPr>
              <w:t>）权益工具投资</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pPr>
            <w:r>
              <w:rPr>
                <w:rFonts w:hint="eastAsia"/>
              </w:rPr>
              <w:t>（二）其他债权投资</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pPr>
            <w:r>
              <w:rPr>
                <w:rFonts w:hint="eastAsia"/>
              </w:rPr>
              <w:t>（三）其他权益工具投资</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hint="eastAsia" w:eastAsia="宋体" w:cs="Cambria"/>
                <w:szCs w:val="21"/>
                <w:lang w:eastAsia="zh-CN"/>
              </w:rPr>
            </w:pPr>
            <w:r>
              <w:rPr>
                <w:rFonts w:hint="eastAsia" w:cs="Cambria"/>
                <w:szCs w:val="21"/>
                <w:lang w:eastAsia="zh-CN"/>
              </w:rPr>
              <w:t>292,200,000.00</w:t>
            </w: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hint="eastAsia" w:eastAsia="宋体" w:cs="Cambria"/>
                <w:szCs w:val="21"/>
                <w:lang w:eastAsia="zh-CN"/>
              </w:rPr>
            </w:pPr>
            <w:r>
              <w:rPr>
                <w:rFonts w:hint="eastAsia" w:cs="Cambria"/>
                <w:szCs w:val="21"/>
                <w:lang w:eastAsia="zh-CN"/>
              </w:rPr>
              <w:t>292,200,000.00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szCs w:val="21"/>
              </w:rPr>
            </w:pPr>
            <w:r>
              <w:rPr>
                <w:rFonts w:hint="eastAsia" w:cs="Cambria"/>
                <w:szCs w:val="21"/>
              </w:rPr>
              <w:t>（四）投资性房地产</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szCs w:val="21"/>
              </w:rPr>
            </w:pPr>
            <w:r>
              <w:rPr>
                <w:rFonts w:cs="Cambria"/>
                <w:szCs w:val="21"/>
              </w:rPr>
              <w:t>1.</w:t>
            </w:r>
            <w:r>
              <w:rPr>
                <w:rFonts w:hint="eastAsia" w:cs="Cambria"/>
                <w:szCs w:val="21"/>
              </w:rPr>
              <w:t>出租用的土地使用权</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szCs w:val="21"/>
              </w:rPr>
            </w:pPr>
            <w:r>
              <w:rPr>
                <w:rFonts w:cs="Cambria"/>
                <w:szCs w:val="21"/>
              </w:rPr>
              <w:t>2.</w:t>
            </w:r>
            <w:r>
              <w:rPr>
                <w:rFonts w:hint="eastAsia" w:cs="Cambria"/>
                <w:szCs w:val="21"/>
              </w:rPr>
              <w:t>出租的建筑物</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szCs w:val="21"/>
              </w:rPr>
            </w:pPr>
            <w:r>
              <w:rPr>
                <w:rFonts w:cs="Cambria"/>
                <w:szCs w:val="21"/>
              </w:rPr>
              <w:t>3.</w:t>
            </w:r>
            <w:r>
              <w:rPr>
                <w:rFonts w:hint="eastAsia" w:cs="Cambria"/>
                <w:szCs w:val="21"/>
              </w:rPr>
              <w:t>持有并准备增值后转让的土地使用权</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szCs w:val="21"/>
              </w:rPr>
            </w:pPr>
            <w:r>
              <w:rPr>
                <w:rFonts w:hint="eastAsia" w:cs="Cambria"/>
                <w:szCs w:val="21"/>
              </w:rPr>
              <w:t>（五）生物资产</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szCs w:val="21"/>
              </w:rPr>
            </w:pPr>
            <w:r>
              <w:rPr>
                <w:rFonts w:cs="Cambria"/>
                <w:szCs w:val="21"/>
              </w:rPr>
              <w:t>1.</w:t>
            </w:r>
            <w:r>
              <w:rPr>
                <w:rFonts w:hint="eastAsia" w:cs="Cambria"/>
                <w:szCs w:val="21"/>
              </w:rPr>
              <w:t>消耗性生物资产</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szCs w:val="21"/>
              </w:rPr>
            </w:pPr>
            <w:r>
              <w:rPr>
                <w:rFonts w:cs="Cambria"/>
                <w:szCs w:val="21"/>
              </w:rPr>
              <w:t>2.</w:t>
            </w:r>
            <w:r>
              <w:rPr>
                <w:rFonts w:hint="eastAsia" w:cs="Cambria"/>
                <w:szCs w:val="21"/>
              </w:rPr>
              <w:t>生产性生物资产</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szCs w:val="21"/>
              </w:rPr>
            </w:pPr>
            <w:r>
              <w:rPr>
                <w:rFonts w:hint="eastAsia" w:cs="Cambria"/>
                <w:szCs w:val="21"/>
              </w:rPr>
              <w:t>(六)应收款项融资</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r>
              <w:rPr>
                <w:rFonts w:hint="eastAsia" w:cs="Cambria"/>
                <w:szCs w:val="21"/>
              </w:rPr>
              <w:t>10,479,155.61</w:t>
            </w: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r>
              <w:rPr>
                <w:rFonts w:hint="eastAsia" w:cs="Cambria"/>
                <w:szCs w:val="21"/>
              </w:rPr>
              <w:t>10,479,155.61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b/>
                <w:szCs w:val="21"/>
              </w:rPr>
            </w:pPr>
            <w:r>
              <w:rPr>
                <w:rFonts w:hint="eastAsia" w:cs="Cambria"/>
                <w:b/>
                <w:szCs w:val="21"/>
              </w:rPr>
              <w:t>持续以公允价值计量的资产总额</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r>
              <w:rPr>
                <w:rFonts w:hint="eastAsia" w:cs="Cambria"/>
                <w:szCs w:val="21"/>
              </w:rPr>
              <w:t>287,207,259.61</w:t>
            </w: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hint="eastAsia" w:eastAsia="宋体" w:cs="Cambria"/>
                <w:szCs w:val="21"/>
                <w:lang w:eastAsia="zh-CN"/>
              </w:rPr>
            </w:pPr>
            <w:r>
              <w:rPr>
                <w:rFonts w:hint="eastAsia" w:cs="Cambria"/>
                <w:szCs w:val="21"/>
                <w:lang w:eastAsia="zh-CN"/>
              </w:rPr>
              <w:t>302,679,155.6</w:t>
            </w: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hint="eastAsia" w:eastAsia="宋体" w:cs="Cambria"/>
                <w:szCs w:val="21"/>
                <w:lang w:eastAsia="zh-CN"/>
              </w:rPr>
            </w:pPr>
            <w:r>
              <w:rPr>
                <w:rFonts w:hint="eastAsia" w:cs="Cambria"/>
                <w:szCs w:val="21"/>
                <w:lang w:eastAsia="zh-CN"/>
              </w:rPr>
              <w:t>589,886,415.2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szCs w:val="21"/>
              </w:rPr>
            </w:pPr>
            <w:r>
              <w:rPr>
                <w:rFonts w:hint="eastAsia" w:cs="Cambria"/>
                <w:szCs w:val="21"/>
              </w:rPr>
              <w:t>（六）交易性金融负债</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szCs w:val="21"/>
              </w:rPr>
            </w:pPr>
            <w:r>
              <w:rPr>
                <w:rFonts w:cs="Cambria"/>
                <w:szCs w:val="21"/>
              </w:rPr>
              <w:t>1.以公允价值计量且变动计入当期损益的金融负债</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szCs w:val="21"/>
              </w:rPr>
            </w:pPr>
            <w:r>
              <w:rPr>
                <w:rFonts w:hint="eastAsia" w:cs="Cambria"/>
                <w:szCs w:val="21"/>
              </w:rPr>
              <w:t>其中：发行的交易性债券</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2423" w:type="dxa"/>
            <w:tcBorders>
              <w:top w:val="single" w:color="auto" w:sz="4" w:space="0"/>
              <w:left w:val="single" w:color="auto" w:sz="4" w:space="0"/>
              <w:bottom w:val="single" w:color="auto" w:sz="4" w:space="0"/>
              <w:right w:val="single" w:color="auto" w:sz="4" w:space="0"/>
            </w:tcBorders>
            <w:vAlign w:val="center"/>
          </w:tcPr>
          <w:p>
            <w:pPr>
              <w:tabs>
                <w:tab w:val="left" w:pos="432"/>
                <w:tab w:val="center" w:pos="5630"/>
                <w:tab w:val="center" w:pos="7430"/>
              </w:tabs>
              <w:ind w:firstLine="630" w:firstLineChars="300"/>
              <w:rPr>
                <w:rFonts w:cs="Cambria"/>
                <w:szCs w:val="21"/>
              </w:rPr>
            </w:pPr>
            <w:r>
              <w:rPr>
                <w:rFonts w:hint="eastAsia" w:cs="Cambria"/>
                <w:szCs w:val="21"/>
              </w:rPr>
              <w:t>衍生金融负债</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423" w:type="dxa"/>
            <w:tcBorders>
              <w:top w:val="single" w:color="auto" w:sz="4" w:space="0"/>
              <w:left w:val="single" w:color="auto" w:sz="4" w:space="0"/>
              <w:bottom w:val="single" w:color="auto" w:sz="4" w:space="0"/>
              <w:right w:val="single" w:color="auto" w:sz="4" w:space="0"/>
            </w:tcBorders>
            <w:vAlign w:val="center"/>
          </w:tcPr>
          <w:p>
            <w:pPr>
              <w:tabs>
                <w:tab w:val="left" w:pos="432"/>
                <w:tab w:val="center" w:pos="5630"/>
                <w:tab w:val="center" w:pos="7430"/>
              </w:tabs>
              <w:ind w:firstLine="630" w:firstLineChars="300"/>
              <w:rPr>
                <w:rFonts w:cs="Cambria"/>
                <w:szCs w:val="21"/>
              </w:rPr>
            </w:pPr>
            <w:r>
              <w:rPr>
                <w:rFonts w:hint="eastAsia" w:cs="Cambria"/>
                <w:szCs w:val="21"/>
              </w:rPr>
              <w:t>其他</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szCs w:val="21"/>
              </w:rPr>
            </w:pPr>
            <w:r>
              <w:rPr>
                <w:rFonts w:hint="eastAsia" w:cs="Cambria"/>
                <w:szCs w:val="21"/>
              </w:rPr>
              <w:t>2.指定为以公允价值计量且变动计入当期损益的金融负债</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b/>
                <w:szCs w:val="21"/>
              </w:rPr>
            </w:pPr>
            <w:r>
              <w:rPr>
                <w:rFonts w:hint="eastAsia" w:cs="Cambria"/>
                <w:b/>
                <w:szCs w:val="21"/>
              </w:rPr>
              <w:t>持续以公允价值计量的负债总额</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tabs>
                <w:tab w:val="center" w:pos="824"/>
                <w:tab w:val="right" w:pos="1649"/>
              </w:tabs>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b/>
                <w:szCs w:val="21"/>
              </w:rPr>
            </w:pPr>
            <w:r>
              <w:rPr>
                <w:rFonts w:hint="eastAsia" w:cs="Cambria"/>
                <w:b/>
                <w:szCs w:val="21"/>
              </w:rPr>
              <w:t>二、非持续的公允价值计量</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szCs w:val="21"/>
              </w:rPr>
            </w:pPr>
            <w:r>
              <w:rPr>
                <w:rFonts w:hint="eastAsia" w:cs="Cambria"/>
                <w:szCs w:val="21"/>
              </w:rPr>
              <w:t>（一）持有待售资产</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b/>
                <w:szCs w:val="21"/>
              </w:rPr>
            </w:pPr>
            <w:r>
              <w:rPr>
                <w:rFonts w:hint="eastAsia" w:cs="Cambria"/>
                <w:b/>
                <w:szCs w:val="21"/>
              </w:rPr>
              <w:t>非持续以公允价值计量的资产总额</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p>
            <w:pPr>
              <w:jc w:val="center"/>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423" w:type="dxa"/>
            <w:tcBorders>
              <w:top w:val="single" w:color="auto" w:sz="4" w:space="0"/>
              <w:left w:val="single" w:color="auto" w:sz="4" w:space="0"/>
              <w:bottom w:val="single" w:color="auto" w:sz="4" w:space="0"/>
              <w:right w:val="single" w:color="auto" w:sz="4" w:space="0"/>
            </w:tcBorders>
            <w:vAlign w:val="center"/>
          </w:tcPr>
          <w:p>
            <w:pPr>
              <w:outlineLvl w:val="2"/>
              <w:rPr>
                <w:rFonts w:cs="Cambria"/>
                <w:b/>
                <w:szCs w:val="21"/>
              </w:rPr>
            </w:pPr>
            <w:r>
              <w:rPr>
                <w:rFonts w:hint="eastAsia" w:cs="Cambria"/>
                <w:b/>
                <w:szCs w:val="21"/>
              </w:rPr>
              <w:t>非持续以公允价值计量的负债总额</w:t>
            </w:r>
          </w:p>
        </w:tc>
        <w:tc>
          <w:tcPr>
            <w:tcW w:w="17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6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08"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c>
          <w:tcPr>
            <w:tcW w:w="1639" w:type="dxa"/>
            <w:tcBorders>
              <w:top w:val="single" w:color="auto" w:sz="4" w:space="0"/>
              <w:left w:val="single" w:color="auto" w:sz="4" w:space="0"/>
              <w:bottom w:val="single" w:color="auto" w:sz="4" w:space="0"/>
              <w:right w:val="single" w:color="auto" w:sz="4" w:space="0"/>
            </w:tcBorders>
            <w:vAlign w:val="center"/>
          </w:tcPr>
          <w:p>
            <w:pPr>
              <w:jc w:val="right"/>
              <w:outlineLvl w:val="2"/>
              <w:rPr>
                <w:rFonts w:cs="Cambria"/>
                <w:szCs w:val="21"/>
              </w:rPr>
            </w:pPr>
          </w:p>
        </w:tc>
      </w:tr>
    </w:tbl>
    <w:p/>
    <w:p>
      <w:pPr>
        <w:pStyle w:val="4"/>
        <w:numPr>
          <w:ilvl w:val="0"/>
          <w:numId w:val="115"/>
        </w:numPr>
        <w:rPr>
          <w:rFonts w:hint="eastAsia" w:ascii="宋体" w:hAnsi="宋体" w:cs="Arial"/>
          <w:szCs w:val="21"/>
        </w:rPr>
      </w:pPr>
      <w:r>
        <w:rPr>
          <w:rFonts w:hint="eastAsia" w:ascii="宋体" w:hAnsi="宋体" w:cs="Arial"/>
          <w:szCs w:val="21"/>
        </w:rPr>
        <w:t>持续和非持续第一层次公允价值计量项目市价的确定依据</w:t>
      </w:r>
    </w:p>
    <w:sdt>
      <w:sdtPr>
        <w:rPr>
          <w:rFonts w:hint="eastAsia" w:cs="Arial"/>
          <w:szCs w:val="21"/>
        </w:rPr>
        <w:alias w:val="是否适用：持续和非持续第一层次公允价值计量项目市价的确定依据[双击切换]"/>
        <w:tag w:val="_GBC_fc42dd94906341819da0f825b0c88571"/>
        <w:id w:val="7972"/>
        <w:placeholder>
          <w:docPart w:val="GBC22222222222222222222222222222"/>
        </w:placeholder>
      </w:sdtPr>
      <w:sdtEndPr>
        <w:rPr>
          <w:rFonts w:hint="eastAsia" w:cs="Arial"/>
          <w:szCs w:val="21"/>
        </w:rPr>
      </w:sdtEndPr>
      <w:sdtContent>
        <w:p>
          <w:pPr>
            <w:rPr>
              <w:rFonts w:cs="Arial"/>
              <w:szCs w:val="21"/>
            </w:rPr>
          </w:pPr>
          <w:r>
            <w:rPr>
              <w:rFonts w:ascii="宋体" w:hAnsi="宋体" w:cs="Arial"/>
              <w:szCs w:val="21"/>
            </w:rPr>
            <w:fldChar w:fldCharType="begin"/>
          </w:r>
          <w:r>
            <w:rPr>
              <w:rFonts w:ascii="宋体" w:hAnsi="宋体" w:cs="Arial"/>
              <w:szCs w:val="21"/>
            </w:rPr>
            <w:instrText xml:space="preserve"> </w:instrText>
          </w:r>
          <w:r>
            <w:rPr>
              <w:rFonts w:hint="eastAsia" w:ascii="宋体" w:hAnsi="宋体" w:cs="Arial"/>
              <w:szCs w:val="21"/>
            </w:rPr>
            <w:instrText xml:space="preserve">MACROBUTTON  SnrToggleCheckbox √适用 </w:instrText>
          </w:r>
          <w:r>
            <w:rPr>
              <w:rFonts w:ascii="宋体" w:hAnsi="宋体" w:cs="Arial"/>
              <w:szCs w:val="21"/>
            </w:rPr>
            <w:fldChar w:fldCharType="end"/>
          </w:r>
          <w:r>
            <w:rPr>
              <w:rFonts w:ascii="宋体" w:hAnsi="宋体" w:cs="Arial"/>
              <w:szCs w:val="21"/>
            </w:rPr>
            <w:fldChar w:fldCharType="begin"/>
          </w:r>
          <w:r>
            <w:rPr>
              <w:rFonts w:ascii="宋体" w:hAnsi="宋体" w:cs="Arial"/>
              <w:szCs w:val="21"/>
            </w:rPr>
            <w:instrText xml:space="preserve"> MACROBUTTON  SnrToggleCheckbox □不适用 </w:instrText>
          </w:r>
          <w:r>
            <w:rPr>
              <w:rFonts w:ascii="宋体" w:hAnsi="宋体" w:cs="Arial"/>
              <w:szCs w:val="21"/>
            </w:rPr>
            <w:fldChar w:fldCharType="end"/>
          </w:r>
        </w:p>
      </w:sdtContent>
    </w:sdt>
    <w:sdt>
      <w:sdtPr>
        <w:rPr>
          <w:rFonts w:hint="eastAsia" w:cs="Arial"/>
          <w:szCs w:val="21"/>
        </w:rPr>
        <w:alias w:val="持续和非持续第一层次公允价值计量项目市价的确定依据"/>
        <w:tag w:val="_GBC_8db65a2ca59047da919942f97cfc594e"/>
        <w:id w:val="7973"/>
        <w:placeholder>
          <w:docPart w:val="GBC22222222222222222222222222222"/>
        </w:placeholder>
      </w:sdtPr>
      <w:sdtEndPr>
        <w:rPr>
          <w:rFonts w:hint="eastAsia" w:cs="Arial"/>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cs="Arial"/>
              <w:sz w:val="21"/>
              <w:szCs w:val="21"/>
            </w:rPr>
          </w:pPr>
          <w:r>
            <w:rPr>
              <w:rFonts w:hint="eastAsia" w:ascii="宋体" w:eastAsia="宋体"/>
              <w:sz w:val="21"/>
              <w:szCs w:val="24"/>
            </w:rPr>
            <w:t>本公司按公允价值三个层次列示了以公允价值计量的金融资产工具于</w:t>
          </w:r>
          <w:r>
            <w:rPr>
              <w:rFonts w:hint="eastAsia" w:ascii="Times New Roman" w:hAnsi="Times New Roman" w:eastAsia="宋体"/>
              <w:sz w:val="21"/>
              <w:szCs w:val="24"/>
            </w:rPr>
            <w:t>2025年12月31日的账面价值。公允价值整体归类于三个层次时，依据的是公允价值计量时使用的各重要输入值所属</w:t>
          </w:r>
          <w:r>
            <w:rPr>
              <w:rFonts w:hint="eastAsia" w:ascii="宋体" w:eastAsia="宋体"/>
              <w:sz w:val="21"/>
              <w:szCs w:val="24"/>
            </w:rPr>
            <w:t>三个层次中的最低层次。三个层次的定义如下：</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cs="Arial"/>
              <w:sz w:val="21"/>
              <w:szCs w:val="21"/>
            </w:rPr>
          </w:pPr>
          <w:r>
            <w:rPr>
              <w:rFonts w:hint="eastAsia" w:ascii="宋体" w:eastAsia="宋体"/>
              <w:sz w:val="21"/>
              <w:szCs w:val="24"/>
            </w:rPr>
            <w:t>第1层次：是在计量日能够取得的相同资产或负债在活跃市场上未经调整的报价；</w:t>
          </w:r>
        </w:p>
      </w:sdtContent>
    </w:sdt>
    <w:p>
      <w:pPr>
        <w:tabs>
          <w:tab w:val="left" w:pos="1134"/>
        </w:tabs>
        <w:rPr>
          <w:rFonts w:cs="Cambria"/>
          <w:b/>
          <w:szCs w:val="21"/>
        </w:rPr>
      </w:pPr>
    </w:p>
    <w:p>
      <w:pPr>
        <w:pStyle w:val="4"/>
        <w:numPr>
          <w:ilvl w:val="0"/>
          <w:numId w:val="115"/>
        </w:numPr>
      </w:pPr>
      <w:r>
        <w:rPr>
          <w:rFonts w:hint="eastAsia" w:ascii="宋体" w:hAnsi="宋体" w:cs="Arial"/>
          <w:szCs w:val="21"/>
        </w:rPr>
        <w:t>持续和非持续第二层次公允价值计量项目，采用的估值技术和重要参数的定性及定量信息</w:t>
      </w:r>
    </w:p>
    <w:sdt>
      <w:sdtPr>
        <w:rPr>
          <w:rFonts w:hint="eastAsia" w:cs="Cambria"/>
          <w:szCs w:val="21"/>
        </w:rPr>
        <w:alias w:val="是否适用：持续和非持续第二层次公允价值计量项目，采用的估值技术和重要参数的定性及定量信息[双击切换]"/>
        <w:tag w:val="_GBC_524db4de656b4bccac2fc473643fe7a6"/>
        <w:id w:val="7974"/>
        <w:placeholder>
          <w:docPart w:val="GBC22222222222222222222222222222"/>
        </w:placeholder>
      </w:sdtPr>
      <w:sdtEndPr>
        <w:rPr>
          <w:rFonts w:hint="eastAsia" w:cs="Cambria"/>
          <w:szCs w:val="21"/>
        </w:rPr>
      </w:sdtEndPr>
      <w:sdtContent>
        <w:p>
          <w:pPr>
            <w:tabs>
              <w:tab w:val="left" w:pos="1134"/>
            </w:tabs>
            <w:rPr>
              <w:rFonts w:cs="Cambria"/>
              <w:szCs w:val="21"/>
            </w:rPr>
          </w:pPr>
          <w:r>
            <w:rPr>
              <w:rFonts w:ascii="宋体" w:hAnsi="宋体" w:cs="Cambria"/>
              <w:szCs w:val="21"/>
            </w:rPr>
            <w:fldChar w:fldCharType="begin"/>
          </w:r>
          <w:r>
            <w:rPr>
              <w:rFonts w:ascii="宋体" w:hAnsi="宋体" w:cs="Cambria"/>
              <w:szCs w:val="21"/>
            </w:rPr>
            <w:instrText xml:space="preserve"> </w:instrText>
          </w:r>
          <w:r>
            <w:rPr>
              <w:rFonts w:hint="eastAsia" w:ascii="宋体" w:hAnsi="宋体" w:cs="Cambria"/>
              <w:szCs w:val="21"/>
            </w:rPr>
            <w:instrText xml:space="preserve">MACROBUTTON  SnrToggleCheckbox √适用 </w:instrText>
          </w:r>
          <w:r>
            <w:rPr>
              <w:rFonts w:ascii="宋体" w:hAnsi="宋体" w:cs="Cambria"/>
              <w:szCs w:val="21"/>
            </w:rPr>
            <w:fldChar w:fldCharType="end"/>
          </w:r>
          <w:r>
            <w:rPr>
              <w:rFonts w:ascii="宋体" w:hAnsi="宋体" w:cs="Cambria"/>
              <w:szCs w:val="21"/>
            </w:rPr>
            <w:fldChar w:fldCharType="begin"/>
          </w:r>
          <w:r>
            <w:rPr>
              <w:rFonts w:ascii="宋体" w:hAnsi="宋体" w:cs="Cambria"/>
              <w:szCs w:val="21"/>
            </w:rPr>
            <w:instrText xml:space="preserve"> MACROBUTTON  SnrToggleCheckbox □不适用 </w:instrText>
          </w:r>
          <w:r>
            <w:rPr>
              <w:rFonts w:ascii="宋体" w:hAnsi="宋体" w:cs="Cambria"/>
              <w:szCs w:val="21"/>
            </w:rPr>
            <w:fldChar w:fldCharType="end"/>
          </w:r>
        </w:p>
      </w:sdtContent>
    </w:sdt>
    <w:sdt>
      <w:sdtPr>
        <w:rPr>
          <w:rFonts w:hint="eastAsia" w:ascii="Times New Roman" w:hAnsi="Times New Roman" w:eastAsia="宋体"/>
          <w:sz w:val="21"/>
          <w:szCs w:val="24"/>
        </w:rPr>
        <w:alias w:val="持续和非持续第二层次公允价值计量项目，采用的估值技术和重要参数的定性及定量信息"/>
        <w:tag w:val="_GBC_406ac04d46a9411bb4890572e539e6ca"/>
        <w:id w:val="7975"/>
        <w:placeholder>
          <w:docPart w:val="GBC22222222222222222222222222222"/>
        </w:placeholder>
      </w:sdtPr>
      <w:sdtEndPr>
        <w:rPr>
          <w:rFonts w:hint="eastAsia" w:ascii="Times New Roman" w:hAnsi="Times New Roman" w:eastAsia="宋体" w:cs="Cambria"/>
          <w:sz w:val="21"/>
          <w:szCs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sz w:val="21"/>
              <w:szCs w:val="24"/>
            </w:rPr>
          </w:pPr>
          <w:r>
            <w:rPr>
              <w:rFonts w:hint="eastAsia" w:ascii="Times New Roman" w:hAnsi="Times New Roman" w:eastAsia="宋体"/>
              <w:sz w:val="21"/>
              <w:szCs w:val="24"/>
            </w:rPr>
            <w:t>第2层次：是除第一层次输入值外相关资产或负债直接或间接可观察的输入值；</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cs="Cambria"/>
              <w:sz w:val="21"/>
              <w:szCs w:val="21"/>
            </w:rPr>
          </w:pPr>
          <w:r>
            <w:rPr>
              <w:rFonts w:hint="eastAsia" w:ascii="Times New Roman" w:hAnsi="Times New Roman" w:eastAsia="宋体"/>
              <w:sz w:val="21"/>
              <w:szCs w:val="24"/>
            </w:rPr>
            <w:t>第二层次输入值包括：1）活跃市场中类似资产或负债的报价；2）非活跃市场中相同或类似资产或负债的报价；3）除报价以外的其他可观察输入值，包括在正常报价间隔期间可观察的利率和收益率曲线、隐含波动率和信用利差等；4）市场验证的输入值等。</w:t>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rPr>
          <w:sz w:val="21"/>
          <w:szCs w:val="21"/>
        </w:rPr>
      </w:pPr>
    </w:p>
    <w:p>
      <w:pPr>
        <w:pStyle w:val="4"/>
        <w:numPr>
          <w:ilvl w:val="0"/>
          <w:numId w:val="115"/>
        </w:numPr>
      </w:pPr>
      <w:r>
        <w:rPr>
          <w:rFonts w:hint="eastAsia" w:ascii="宋体" w:hAnsi="宋体" w:cs="Arial"/>
          <w:szCs w:val="21"/>
        </w:rPr>
        <w:t>持续和非持续第三层次公允价值计量项目，采用的估值技术和重要参数的定性及定量信息</w:t>
      </w:r>
    </w:p>
    <w:sdt>
      <w:sdtPr>
        <w:rPr>
          <w:rFonts w:hint="eastAsia"/>
          <w:szCs w:val="21"/>
        </w:rPr>
        <w:alias w:val="是否适用：持续和非持续第三层次公允价值计量项目，采用的估值技术和重要参数的定性及定量信息[双击切换]"/>
        <w:tag w:val="_GBC_2fc8e5a18cee4309a229e736040a7cfd"/>
        <w:id w:val="7976"/>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ascii="Times New Roman" w:hAnsi="Times New Roman" w:eastAsia="宋体"/>
          <w:sz w:val="21"/>
          <w:szCs w:val="24"/>
        </w:rPr>
        <w:alias w:val="持续和非持续第三层次公允价值计量项目，采用的估值技术和重要参数的定性及定量信息"/>
        <w:tag w:val="_GBC_db2fdcfb26ce4ca9ac1e8da23b16aaaa"/>
        <w:id w:val="7977"/>
        <w:placeholder>
          <w:docPart w:val="GBC22222222222222222222222222222"/>
        </w:placeholder>
      </w:sdtPr>
      <w:sdtEndPr>
        <w:rPr>
          <w:rFonts w:hint="eastAsia" w:ascii="Times New Roman" w:hAnsi="Times New Roman" w:eastAsia="宋体"/>
          <w:sz w:val="21"/>
          <w:szCs w:val="21"/>
        </w:rPr>
      </w:sdtEndPr>
      <w:sdtContent>
        <w:p>
          <w:pPr>
            <w:rPr>
              <w:szCs w:val="21"/>
            </w:rPr>
          </w:pPr>
          <w:r>
            <w:rPr>
              <w:rFonts w:hint="eastAsia"/>
              <w:sz w:val="21"/>
              <w:szCs w:val="24"/>
              <w:lang w:val="en-US" w:eastAsia="zh-CN"/>
            </w:rPr>
            <w:t xml:space="preserve">  </w:t>
          </w:r>
          <w:r>
            <w:rPr>
              <w:rFonts w:hint="eastAsia" w:ascii="Times New Roman" w:hAnsi="Times New Roman" w:eastAsia="宋体"/>
              <w:sz w:val="21"/>
              <w:szCs w:val="24"/>
            </w:rPr>
            <w:t>第3层次：是相关资产或负债的不可观察输入值。</w:t>
          </w:r>
        </w:p>
      </w:sdtContent>
    </w:sdt>
    <w:p>
      <w:pPr>
        <w:tabs>
          <w:tab w:val="left" w:pos="1134"/>
        </w:tabs>
        <w:rPr>
          <w:rFonts w:cs="Cambria"/>
          <w:b/>
          <w:szCs w:val="21"/>
        </w:rPr>
      </w:pPr>
    </w:p>
    <w:p>
      <w:pPr>
        <w:pStyle w:val="4"/>
        <w:numPr>
          <w:ilvl w:val="0"/>
          <w:numId w:val="115"/>
        </w:numPr>
        <w:ind w:left="0" w:firstLine="0"/>
      </w:pPr>
      <w:r>
        <w:rPr>
          <w:rFonts w:hint="eastAsia"/>
        </w:rPr>
        <w:t>持续的第三层次公允价值计量项目，期初与期末账面价值间的调节信息及不可观察参数敏感性分析</w:t>
      </w:r>
    </w:p>
    <w:sdt>
      <w:sdtPr>
        <w:rPr>
          <w:rFonts w:hint="eastAsia"/>
          <w:szCs w:val="21"/>
        </w:rPr>
        <w:alias w:val="是否适用：持续的第三层次公允价值计量项目，期初与期末账面价值间的调节信息及不可观察参数敏感性分析[双击切换]"/>
        <w:tag w:val="_GBC_71e79e015e97438a812cfd612b604172"/>
        <w:id w:val="7978"/>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tabs>
          <w:tab w:val="left" w:pos="1134"/>
        </w:tabs>
        <w:rPr>
          <w:rFonts w:cs="Cambria"/>
          <w:b/>
          <w:szCs w:val="21"/>
        </w:rPr>
      </w:pPr>
    </w:p>
    <w:p>
      <w:pPr>
        <w:pStyle w:val="4"/>
        <w:numPr>
          <w:ilvl w:val="0"/>
          <w:numId w:val="115"/>
        </w:numPr>
        <w:ind w:left="0" w:firstLine="0"/>
      </w:pPr>
      <w:r>
        <w:rPr>
          <w:rFonts w:hint="eastAsia"/>
        </w:rPr>
        <w:t>持续的公允价值计量项目，本期内发生各层级之间转换的，转换的原因及确定转换时点的政策</w:t>
      </w:r>
    </w:p>
    <w:sdt>
      <w:sdtPr>
        <w:rPr>
          <w:rFonts w:hint="eastAsia"/>
          <w:szCs w:val="21"/>
        </w:rPr>
        <w:alias w:val="是否适用：持续的公允价值计量项目，本期内发生各层级之间转换的，转换的原因及确定转换时点的政策[双击切换]"/>
        <w:tag w:val="_GBC_eebf98ea60f047d9917b79bbe8e1b6a3"/>
        <w:id w:val="7979"/>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tabs>
          <w:tab w:val="left" w:pos="1134"/>
        </w:tabs>
        <w:rPr>
          <w:rFonts w:cs="Cambria"/>
          <w:b/>
          <w:szCs w:val="21"/>
        </w:rPr>
      </w:pPr>
    </w:p>
    <w:p>
      <w:pPr>
        <w:pStyle w:val="4"/>
        <w:numPr>
          <w:ilvl w:val="0"/>
          <w:numId w:val="115"/>
        </w:numPr>
      </w:pPr>
      <w:r>
        <w:rPr>
          <w:rFonts w:hint="eastAsia"/>
        </w:rPr>
        <w:t>本期内发生的估值技术变更及变更原因</w:t>
      </w:r>
    </w:p>
    <w:sdt>
      <w:sdtPr>
        <w:rPr>
          <w:rFonts w:hint="eastAsia"/>
          <w:szCs w:val="21"/>
        </w:rPr>
        <w:alias w:val="是否适用：本期内发生的估值技术变更及变更原因[双击切换]"/>
        <w:tag w:val="_GBC_c8355b64faff425ebd05215313c85419"/>
        <w:id w:val="7980"/>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rFonts w:cstheme="minorBidi"/>
          <w:szCs w:val="21"/>
        </w:rPr>
      </w:pPr>
    </w:p>
    <w:p>
      <w:pPr>
        <w:pStyle w:val="4"/>
        <w:numPr>
          <w:ilvl w:val="0"/>
          <w:numId w:val="115"/>
        </w:numPr>
        <w:rPr>
          <w:rFonts w:cstheme="minorBidi"/>
          <w:szCs w:val="21"/>
        </w:rPr>
      </w:pPr>
      <w:r>
        <w:rPr>
          <w:rFonts w:hint="eastAsia" w:cstheme="minorBidi"/>
          <w:szCs w:val="21"/>
        </w:rPr>
        <w:t>不以公允价值计量的</w:t>
      </w:r>
      <w:r>
        <w:rPr>
          <w:rFonts w:hint="eastAsia"/>
        </w:rPr>
        <w:t>金融资产</w:t>
      </w:r>
      <w:r>
        <w:rPr>
          <w:rFonts w:hint="eastAsia" w:cstheme="minorBidi"/>
          <w:szCs w:val="21"/>
        </w:rPr>
        <w:t>和金融负债的公允价值情况</w:t>
      </w:r>
    </w:p>
    <w:sdt>
      <w:sdtPr>
        <w:rPr>
          <w:rFonts w:hint="eastAsia" w:cstheme="minorBidi"/>
          <w:szCs w:val="21"/>
        </w:rPr>
        <w:alias w:val="是否适用：不以公允价值计量的金融资产和金融负债的公允价值情况[双击切换]"/>
        <w:tag w:val="_GBC_734377ec924449c3ae79732fec24b52d"/>
        <w:id w:val="7981"/>
        <w:placeholder>
          <w:docPart w:val="GBC22222222222222222222222222222"/>
        </w:placeholder>
      </w:sdtPr>
      <w:sdtEndPr>
        <w:rPr>
          <w:rFonts w:hint="eastAsia" w:cstheme="minorBidi"/>
          <w:szCs w:val="21"/>
        </w:rPr>
      </w:sdtEndPr>
      <w:sdtContent>
        <w:p>
          <w:pPr>
            <w:rPr>
              <w:rFonts w:cstheme="minorBidi"/>
              <w:szCs w:val="21"/>
            </w:rPr>
          </w:pPr>
          <w:r>
            <w:rPr>
              <w:rFonts w:ascii="宋体" w:hAnsi="宋体" w:cstheme="minorBidi"/>
              <w:szCs w:val="21"/>
            </w:rPr>
            <w:fldChar w:fldCharType="begin"/>
          </w:r>
          <w:r>
            <w:rPr>
              <w:rFonts w:ascii="宋体" w:hAnsi="宋体" w:cstheme="minorBidi"/>
              <w:szCs w:val="21"/>
            </w:rPr>
            <w:instrText xml:space="preserve"> </w:instrText>
          </w:r>
          <w:r>
            <w:rPr>
              <w:rFonts w:hint="eastAsia" w:ascii="宋体" w:hAnsi="宋体" w:cstheme="minorBidi"/>
              <w:szCs w:val="21"/>
            </w:rPr>
            <w:instrText xml:space="preserve">MACROBUTTON  SnrToggleCheckbox □适用 </w:instrText>
          </w:r>
          <w:r>
            <w:rPr>
              <w:rFonts w:ascii="宋体" w:hAnsi="宋体" w:cstheme="minorBidi"/>
              <w:szCs w:val="21"/>
            </w:rPr>
            <w:fldChar w:fldCharType="end"/>
          </w:r>
          <w:r>
            <w:rPr>
              <w:rFonts w:ascii="宋体" w:hAnsi="宋体" w:cstheme="minorBidi"/>
              <w:szCs w:val="21"/>
            </w:rPr>
            <w:fldChar w:fldCharType="begin"/>
          </w:r>
          <w:r>
            <w:rPr>
              <w:rFonts w:ascii="宋体" w:hAnsi="宋体" w:cstheme="minorBidi"/>
              <w:szCs w:val="21"/>
            </w:rPr>
            <w:instrText xml:space="preserve"> MACROBUTTON  SnrToggleCheckbox √不适用 </w:instrText>
          </w:r>
          <w:r>
            <w:rPr>
              <w:rFonts w:ascii="宋体" w:hAnsi="宋体" w:cstheme="minorBidi"/>
              <w:szCs w:val="21"/>
            </w:rPr>
            <w:fldChar w:fldCharType="end"/>
          </w:r>
        </w:p>
      </w:sdtContent>
    </w:sdt>
    <w:p>
      <w:pPr>
        <w:rPr>
          <w:rFonts w:cstheme="minorBidi"/>
          <w:szCs w:val="21"/>
        </w:rPr>
      </w:pPr>
    </w:p>
    <w:p>
      <w:pPr>
        <w:pStyle w:val="4"/>
        <w:numPr>
          <w:ilvl w:val="0"/>
          <w:numId w:val="115"/>
        </w:numPr>
        <w:rPr>
          <w:szCs w:val="21"/>
        </w:rPr>
      </w:pPr>
      <w:r>
        <w:rPr>
          <w:rFonts w:hint="eastAsia"/>
          <w:szCs w:val="21"/>
        </w:rPr>
        <w:t>其他</w:t>
      </w:r>
    </w:p>
    <w:sdt>
      <w:sdtPr>
        <w:rPr>
          <w:rFonts w:hint="eastAsia"/>
          <w:szCs w:val="21"/>
        </w:rPr>
        <w:alias w:val="是否适用：公允价值其他需要披露的事项[双击切换]"/>
        <w:tag w:val="_GBC_face0919374341aba02b14f2247ac908"/>
        <w:id w:val="7982"/>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tag w:val="_PLD_3ae1909ee4a1483eb8a0cdccb5061b4a"/>
        <w:id w:val="7983"/>
      </w:sdtPr>
      <w:sdtContent>
        <w:p>
          <w:pPr>
            <w:pStyle w:val="3"/>
            <w:numPr>
              <w:ilvl w:val="0"/>
              <w:numId w:val="52"/>
            </w:numPr>
            <w:rPr>
              <w:rFonts w:hint="eastAsia" w:ascii="宋体" w:hAnsi="宋体"/>
            </w:rPr>
          </w:pPr>
          <w:r>
            <w:rPr>
              <w:rFonts w:hint="eastAsia" w:ascii="宋体" w:hAnsi="宋体"/>
            </w:rPr>
            <w:t>关联方及关联交易</w:t>
          </w:r>
        </w:p>
      </w:sdtContent>
    </w:sdt>
    <w:p>
      <w:pPr>
        <w:pStyle w:val="4"/>
        <w:numPr>
          <w:ilvl w:val="0"/>
          <w:numId w:val="116"/>
        </w:numPr>
      </w:pPr>
      <w:r>
        <w:rPr>
          <w:rFonts w:hint="eastAsia"/>
        </w:rPr>
        <w:t>本企业的母公司情况</w:t>
      </w:r>
    </w:p>
    <w:sdt>
      <w:sdtPr>
        <w:rPr>
          <w:rFonts w:hint="eastAsia"/>
        </w:rPr>
        <w:alias w:val="是否适用：本企业的母公司情况[双击切换]"/>
        <w:tag w:val="_GBC_fe5dd4a2c9ad405db72189e05b735e0c"/>
        <w:id w:val="7984"/>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财务附注：本企业的母公司情况"/>
          <w:tag w:val="_GBC_4bdd8b08e4ce41af93512866e6012a92"/>
          <w:id w:val="798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万元</w:t>
          </w:r>
        </w:sdtContent>
      </w:sdt>
      <w:r>
        <w:rPr>
          <w:rFonts w:hint="eastAsia"/>
        </w:rPr>
        <w:t xml:space="preserve">  币种：</w:t>
      </w:r>
      <w:sdt>
        <w:sdtPr>
          <w:rPr>
            <w:rFonts w:hint="eastAsia"/>
          </w:rPr>
          <w:alias w:val="币种：财务附注：本企业的母公司情况"/>
          <w:tag w:val="_GBC_8b4816800b024cd884a92208e149b0bf"/>
          <w:id w:val="798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2"/>
        <w:gridCol w:w="1050"/>
        <w:gridCol w:w="1200"/>
        <w:gridCol w:w="1058"/>
        <w:gridCol w:w="1681"/>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232" w:type="dxa"/>
            <w:tcBorders>
              <w:top w:val="single" w:color="auto" w:sz="4" w:space="0"/>
              <w:left w:val="single" w:color="auto" w:sz="4" w:space="0"/>
              <w:bottom w:val="single" w:color="auto" w:sz="4" w:space="0"/>
              <w:right w:val="single" w:color="auto" w:sz="4" w:space="0"/>
            </w:tcBorders>
            <w:vAlign w:val="center"/>
          </w:tcPr>
          <w:sdt>
            <w:sdtPr>
              <w:tag w:val="_PLD_78501cc34b694302b18c1ea75399510e"/>
              <w:id w:val="7987"/>
            </w:sdtPr>
            <w:sdtContent>
              <w:p>
                <w:pPr>
                  <w:jc w:val="center"/>
                  <w:rPr>
                    <w:rFonts w:cs="Cambria"/>
                    <w:szCs w:val="21"/>
                  </w:rPr>
                </w:pPr>
                <w:r>
                  <w:rPr>
                    <w:rFonts w:hint="eastAsia" w:cs="Cambria"/>
                    <w:szCs w:val="21"/>
                  </w:rPr>
                  <w:t>母公司名称</w:t>
                </w:r>
              </w:p>
            </w:sdtContent>
          </w:sdt>
        </w:tc>
        <w:tc>
          <w:tcPr>
            <w:tcW w:w="1050" w:type="dxa"/>
            <w:tcBorders>
              <w:top w:val="single" w:color="auto" w:sz="4" w:space="0"/>
              <w:left w:val="single" w:color="auto" w:sz="4" w:space="0"/>
              <w:bottom w:val="single" w:color="auto" w:sz="4" w:space="0"/>
              <w:right w:val="single" w:color="auto" w:sz="4" w:space="0"/>
            </w:tcBorders>
            <w:vAlign w:val="center"/>
          </w:tcPr>
          <w:sdt>
            <w:sdtPr>
              <w:tag w:val="_PLD_9cf29fdb6dc54a2ca1191c007bb19ceb"/>
              <w:id w:val="7988"/>
            </w:sdtPr>
            <w:sdtContent>
              <w:p>
                <w:pPr>
                  <w:jc w:val="center"/>
                  <w:rPr>
                    <w:rFonts w:cs="Cambria"/>
                    <w:szCs w:val="21"/>
                  </w:rPr>
                </w:pPr>
                <w:r>
                  <w:rPr>
                    <w:rFonts w:hint="eastAsia" w:cs="Cambria"/>
                    <w:szCs w:val="21"/>
                  </w:rPr>
                  <w:t>注册地</w:t>
                </w:r>
              </w:p>
            </w:sdtContent>
          </w:sdt>
        </w:tc>
        <w:tc>
          <w:tcPr>
            <w:tcW w:w="1200" w:type="dxa"/>
            <w:tcBorders>
              <w:top w:val="single" w:color="auto" w:sz="4" w:space="0"/>
              <w:left w:val="single" w:color="auto" w:sz="4" w:space="0"/>
              <w:bottom w:val="single" w:color="auto" w:sz="4" w:space="0"/>
              <w:right w:val="single" w:color="auto" w:sz="4" w:space="0"/>
            </w:tcBorders>
            <w:vAlign w:val="center"/>
          </w:tcPr>
          <w:sdt>
            <w:sdtPr>
              <w:tag w:val="_PLD_738e924675434f8ea1a19e9f01f12c6a"/>
              <w:id w:val="7989"/>
            </w:sdtPr>
            <w:sdtContent>
              <w:p>
                <w:pPr>
                  <w:jc w:val="center"/>
                  <w:rPr>
                    <w:rFonts w:cs="Cambria"/>
                    <w:szCs w:val="21"/>
                  </w:rPr>
                </w:pPr>
                <w:r>
                  <w:rPr>
                    <w:rFonts w:hint="eastAsia" w:cs="Cambria"/>
                    <w:szCs w:val="21"/>
                  </w:rPr>
                  <w:t>业务性质</w:t>
                </w:r>
              </w:p>
            </w:sdtContent>
          </w:sdt>
        </w:tc>
        <w:tc>
          <w:tcPr>
            <w:tcW w:w="1058" w:type="dxa"/>
            <w:tcBorders>
              <w:top w:val="single" w:color="auto" w:sz="4" w:space="0"/>
              <w:left w:val="single" w:color="auto" w:sz="4" w:space="0"/>
              <w:bottom w:val="single" w:color="auto" w:sz="4" w:space="0"/>
              <w:right w:val="single" w:color="auto" w:sz="4" w:space="0"/>
            </w:tcBorders>
            <w:vAlign w:val="center"/>
          </w:tcPr>
          <w:sdt>
            <w:sdtPr>
              <w:tag w:val="_PLD_8f8ae05947724183906b020ada85e914"/>
              <w:id w:val="7990"/>
            </w:sdtPr>
            <w:sdtContent>
              <w:p>
                <w:pPr>
                  <w:jc w:val="center"/>
                  <w:rPr>
                    <w:rFonts w:cs="Cambria"/>
                    <w:szCs w:val="21"/>
                  </w:rPr>
                </w:pPr>
                <w:r>
                  <w:rPr>
                    <w:rFonts w:hint="eastAsia" w:cs="Cambria"/>
                    <w:szCs w:val="21"/>
                  </w:rPr>
                  <w:t>注册资本</w:t>
                </w:r>
              </w:p>
            </w:sdtContent>
          </w:sdt>
        </w:tc>
        <w:tc>
          <w:tcPr>
            <w:tcW w:w="1681" w:type="dxa"/>
            <w:tcBorders>
              <w:top w:val="single" w:color="auto" w:sz="4" w:space="0"/>
              <w:left w:val="single" w:color="auto" w:sz="4" w:space="0"/>
              <w:bottom w:val="single" w:color="auto" w:sz="4" w:space="0"/>
              <w:right w:val="single" w:color="auto" w:sz="4" w:space="0"/>
            </w:tcBorders>
            <w:vAlign w:val="center"/>
          </w:tcPr>
          <w:sdt>
            <w:sdtPr>
              <w:tag w:val="_PLD_41f7f469dbcc4ee39514954cb008b0a4"/>
              <w:id w:val="7991"/>
            </w:sdtPr>
            <w:sdtContent>
              <w:p>
                <w:pPr>
                  <w:jc w:val="center"/>
                  <w:rPr>
                    <w:rFonts w:cs="Cambria"/>
                    <w:szCs w:val="21"/>
                  </w:rPr>
                </w:pPr>
                <w:r>
                  <w:rPr>
                    <w:rFonts w:hint="eastAsia" w:cs="Cambria"/>
                    <w:szCs w:val="21"/>
                  </w:rPr>
                  <w:t>母公司对本企业的持股比例</w:t>
                </w:r>
                <w:r>
                  <w:rPr>
                    <w:rFonts w:cs="Cambria"/>
                    <w:szCs w:val="21"/>
                  </w:rPr>
                  <w:t>(%)</w:t>
                </w:r>
              </w:p>
            </w:sdtContent>
          </w:sdt>
        </w:tc>
        <w:tc>
          <w:tcPr>
            <w:tcW w:w="1815" w:type="dxa"/>
            <w:tcBorders>
              <w:top w:val="single" w:color="auto" w:sz="4" w:space="0"/>
              <w:left w:val="single" w:color="auto" w:sz="4" w:space="0"/>
              <w:bottom w:val="single" w:color="auto" w:sz="4" w:space="0"/>
              <w:right w:val="single" w:color="auto" w:sz="4" w:space="0"/>
            </w:tcBorders>
            <w:vAlign w:val="center"/>
          </w:tcPr>
          <w:sdt>
            <w:sdtPr>
              <w:tag w:val="_PLD_dab7bc4321ca44eb9d8565239cbf42f7"/>
              <w:id w:val="7992"/>
            </w:sdtPr>
            <w:sdtContent>
              <w:p>
                <w:pPr>
                  <w:jc w:val="center"/>
                  <w:rPr>
                    <w:rFonts w:cs="Cambria"/>
                    <w:szCs w:val="21"/>
                  </w:rPr>
                </w:pPr>
                <w:r>
                  <w:rPr>
                    <w:rFonts w:hint="eastAsia" w:cs="Cambria"/>
                    <w:szCs w:val="21"/>
                  </w:rPr>
                  <w:t>母公司对本企业的表决权比例</w:t>
                </w:r>
                <w:r>
                  <w:rPr>
                    <w:rFonts w:cs="Cambria"/>
                    <w:szCs w:val="21"/>
                  </w:rPr>
                  <w:t>(%)</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2232" w:type="dxa"/>
            <w:tcBorders>
              <w:top w:val="single" w:color="auto" w:sz="4" w:space="0"/>
              <w:left w:val="single" w:color="auto" w:sz="4" w:space="0"/>
              <w:bottom w:val="single" w:color="auto" w:sz="4" w:space="0"/>
              <w:right w:val="single" w:color="auto" w:sz="4" w:space="0"/>
            </w:tcBorders>
            <w:vAlign w:val="center"/>
          </w:tcPr>
          <w:p>
            <w:pPr>
              <w:rPr>
                <w:rFonts w:cs="Cambria"/>
                <w:szCs w:val="21"/>
              </w:rPr>
            </w:pPr>
            <w:r>
              <w:rPr>
                <w:rFonts w:hint="eastAsia"/>
                <w:color w:val="auto"/>
                <w:szCs w:val="21"/>
              </w:rPr>
              <w:t>广西柳州市产业投资发展集团有限公司</w:t>
            </w:r>
          </w:p>
        </w:tc>
        <w:tc>
          <w:tcPr>
            <w:tcW w:w="1050" w:type="dxa"/>
            <w:tcBorders>
              <w:top w:val="single" w:color="auto" w:sz="4" w:space="0"/>
              <w:left w:val="single" w:color="auto" w:sz="4" w:space="0"/>
              <w:bottom w:val="single" w:color="auto" w:sz="4" w:space="0"/>
              <w:right w:val="single" w:color="auto" w:sz="4" w:space="0"/>
            </w:tcBorders>
            <w:vAlign w:val="center"/>
          </w:tcPr>
          <w:p>
            <w:pPr>
              <w:rPr>
                <w:rFonts w:cs="Cambria"/>
                <w:szCs w:val="21"/>
              </w:rPr>
            </w:pPr>
            <w:r>
              <w:rPr>
                <w:rFonts w:hint="eastAsia"/>
                <w:color w:val="auto"/>
                <w:szCs w:val="21"/>
              </w:rPr>
              <w:t>广西柳州</w:t>
            </w:r>
          </w:p>
        </w:tc>
        <w:tc>
          <w:tcPr>
            <w:tcW w:w="1200" w:type="dxa"/>
            <w:tcBorders>
              <w:top w:val="single" w:color="auto" w:sz="4" w:space="0"/>
              <w:left w:val="single" w:color="auto" w:sz="4" w:space="0"/>
              <w:bottom w:val="single" w:color="auto" w:sz="4" w:space="0"/>
              <w:right w:val="single" w:color="auto" w:sz="4" w:space="0"/>
            </w:tcBorders>
            <w:vAlign w:val="center"/>
          </w:tcPr>
          <w:p>
            <w:pPr>
              <w:rPr>
                <w:rFonts w:cs="Cambria"/>
                <w:szCs w:val="21"/>
              </w:rPr>
            </w:pPr>
            <w:r>
              <w:rPr>
                <w:rFonts w:hint="eastAsia"/>
                <w:color w:val="auto"/>
                <w:szCs w:val="21"/>
              </w:rPr>
              <w:t>有限责任公司</w:t>
            </w:r>
          </w:p>
        </w:tc>
        <w:tc>
          <w:tcPr>
            <w:tcW w:w="1058" w:type="dxa"/>
            <w:tcBorders>
              <w:top w:val="single" w:color="auto" w:sz="4" w:space="0"/>
              <w:left w:val="single" w:color="auto" w:sz="4" w:space="0"/>
              <w:bottom w:val="single" w:color="auto" w:sz="4" w:space="0"/>
              <w:right w:val="single" w:color="auto" w:sz="4" w:space="0"/>
            </w:tcBorders>
            <w:vAlign w:val="center"/>
          </w:tcPr>
          <w:p>
            <w:pPr>
              <w:jc w:val="right"/>
              <w:rPr>
                <w:rFonts w:cs="Cambria"/>
                <w:szCs w:val="21"/>
              </w:rPr>
            </w:pPr>
            <w:r>
              <w:rPr>
                <w:rFonts w:hint="eastAsia"/>
                <w:color w:val="auto"/>
                <w:szCs w:val="21"/>
              </w:rPr>
              <w:t>100,000</w:t>
            </w:r>
          </w:p>
        </w:tc>
        <w:tc>
          <w:tcPr>
            <w:tcW w:w="1681" w:type="dxa"/>
            <w:tcBorders>
              <w:top w:val="single" w:color="auto" w:sz="4" w:space="0"/>
              <w:left w:val="single" w:color="auto" w:sz="4" w:space="0"/>
              <w:bottom w:val="single" w:color="auto" w:sz="4" w:space="0"/>
              <w:right w:val="single" w:color="auto" w:sz="4" w:space="0"/>
            </w:tcBorders>
            <w:vAlign w:val="center"/>
          </w:tcPr>
          <w:p>
            <w:pPr>
              <w:jc w:val="right"/>
              <w:rPr>
                <w:rFonts w:cs="Cambria"/>
                <w:szCs w:val="21"/>
              </w:rPr>
            </w:pPr>
            <w:r>
              <w:rPr>
                <w:rFonts w:hint="eastAsia"/>
                <w:color w:val="auto"/>
                <w:szCs w:val="21"/>
              </w:rPr>
              <w:t>33.34</w:t>
            </w:r>
          </w:p>
        </w:tc>
        <w:tc>
          <w:tcPr>
            <w:tcW w:w="1815" w:type="dxa"/>
            <w:tcBorders>
              <w:top w:val="single" w:color="auto" w:sz="4" w:space="0"/>
              <w:left w:val="single" w:color="auto" w:sz="4" w:space="0"/>
              <w:bottom w:val="single" w:color="auto" w:sz="4" w:space="0"/>
              <w:right w:val="single" w:color="auto" w:sz="4" w:space="0"/>
            </w:tcBorders>
            <w:vAlign w:val="center"/>
          </w:tcPr>
          <w:p>
            <w:pPr>
              <w:jc w:val="right"/>
              <w:rPr>
                <w:rFonts w:cs="Cambria"/>
                <w:szCs w:val="21"/>
              </w:rPr>
            </w:pPr>
            <w:r>
              <w:rPr>
                <w:rFonts w:hint="eastAsia"/>
                <w:color w:val="auto"/>
                <w:szCs w:val="21"/>
              </w:rPr>
              <w:t>33.34</w:t>
            </w:r>
          </w:p>
        </w:tc>
      </w:tr>
    </w:tbl>
    <w:p>
      <w:pPr>
        <w:tabs>
          <w:tab w:val="left" w:pos="1134"/>
        </w:tabs>
        <w:rPr>
          <w:rFonts w:cs="Cambria"/>
          <w:szCs w:val="21"/>
        </w:rPr>
      </w:pPr>
      <w:r>
        <w:rPr>
          <w:rFonts w:hint="eastAsia" w:cs="Cambria"/>
          <w:szCs w:val="21"/>
        </w:rPr>
        <w:t>本企业的母公司情况的说明</w:t>
      </w:r>
    </w:p>
    <w:sdt>
      <w:sdtPr>
        <w:rPr>
          <w:rFonts w:cs="Cambria"/>
          <w:szCs w:val="21"/>
        </w:rPr>
        <w:alias w:val="本企业的母公司情况的说明"/>
        <w:tag w:val="_GBC_23f67537c1df4d9d9ede9fbc78ad06a4"/>
        <w:id w:val="7993"/>
        <w:placeholder>
          <w:docPart w:val="GBC22222222222222222222222222222"/>
        </w:placeholder>
      </w:sdtPr>
      <w:sdtEndPr>
        <w:rPr>
          <w:rFonts w:cs="Cambria"/>
          <w:szCs w:val="21"/>
        </w:rPr>
      </w:sdtEndPr>
      <w:sdtContent>
        <w:p>
          <w:pPr>
            <w:tabs>
              <w:tab w:val="left" w:pos="1134"/>
            </w:tabs>
            <w:ind w:firstLine="312"/>
            <w:rPr>
              <w:rFonts w:cs="Cambria"/>
              <w:szCs w:val="21"/>
            </w:rPr>
          </w:pPr>
          <w:r>
            <w:t>无</w:t>
          </w:r>
        </w:p>
      </w:sdtContent>
    </w:sdt>
    <w:p>
      <w:pPr>
        <w:rPr>
          <w:szCs w:val="21"/>
        </w:rPr>
      </w:pPr>
      <w:r>
        <w:rPr>
          <w:rFonts w:hint="eastAsia"/>
          <w:szCs w:val="21"/>
        </w:rPr>
        <w:t>本企业最终控制方是</w:t>
      </w:r>
      <w:sdt>
        <w:sdtPr>
          <w:rPr>
            <w:rFonts w:hint="eastAsia"/>
            <w:szCs w:val="21"/>
          </w:rPr>
          <w:alias w:val="本企业最终控制方"/>
          <w:tag w:val="_GBC_951a676520994ab7a3822c5f58c20b7d"/>
          <w:id w:val="7994"/>
          <w:placeholder>
            <w:docPart w:val="GBC22222222222222222222222222222"/>
          </w:placeholder>
        </w:sdtPr>
        <w:sdtEndPr>
          <w:rPr>
            <w:rFonts w:hint="eastAsia"/>
            <w:szCs w:val="21"/>
          </w:rPr>
        </w:sdtEndPr>
        <w:sdtContent>
          <w:r>
            <w:rPr>
              <w:rFonts w:hint="eastAsia"/>
              <w:szCs w:val="21"/>
            </w:rPr>
            <w:t>柳州市人民政府国有资产监督管理委员会</w:t>
          </w:r>
        </w:sdtContent>
      </w:sdt>
    </w:p>
    <w:p>
      <w:pPr>
        <w:rPr>
          <w:szCs w:val="21"/>
        </w:rPr>
      </w:pPr>
      <w:r>
        <w:rPr>
          <w:rFonts w:hint="eastAsia"/>
          <w:szCs w:val="21"/>
        </w:rPr>
        <w:t>其他说明：</w:t>
      </w:r>
    </w:p>
    <w:sdt>
      <w:sdtPr>
        <w:rPr>
          <w:szCs w:val="21"/>
        </w:rPr>
        <w:alias w:val="本企业的母公司情况的其他说明"/>
        <w:tag w:val="_GBC_72b4ca7a02944263a74be4174baff4cf"/>
        <w:id w:val="7995"/>
        <w:placeholder>
          <w:docPart w:val="GBC22222222222222222222222222222"/>
        </w:placeholder>
      </w:sdtPr>
      <w:sdtEndPr>
        <w:rPr>
          <w:szCs w:val="21"/>
        </w:rPr>
      </w:sdtEndPr>
      <w:sdtContent>
        <w:p>
          <w:pPr>
            <w:rPr>
              <w:szCs w:val="21"/>
            </w:rPr>
          </w:pPr>
          <w:r>
            <w:rPr>
              <w:rFonts w:hint="eastAsia"/>
              <w:szCs w:val="21"/>
            </w:rPr>
            <w:t>无</w:t>
          </w:r>
        </w:p>
      </w:sdtContent>
    </w:sdt>
    <w:p>
      <w:pPr>
        <w:pStyle w:val="4"/>
        <w:numPr>
          <w:ilvl w:val="0"/>
          <w:numId w:val="116"/>
        </w:numPr>
        <w:rPr>
          <w:rFonts w:hint="eastAsia" w:ascii="宋体" w:hAnsi="宋体" w:cs="Arial"/>
          <w:szCs w:val="21"/>
        </w:rPr>
      </w:pPr>
      <w:r>
        <w:rPr>
          <w:rFonts w:hint="eastAsia" w:ascii="宋体" w:hAnsi="宋体" w:cs="Arial"/>
          <w:szCs w:val="21"/>
        </w:rPr>
        <w:t>本企业的子公司情况</w:t>
      </w:r>
    </w:p>
    <w:sdt>
      <w:sdtPr>
        <w:tag w:val="_PLD_00c8de6cd52c482b84acaf1117812c2c"/>
        <w:id w:val="7996"/>
      </w:sdtPr>
      <w:sdtContent>
        <w:p>
          <w:pPr>
            <w:rPr>
              <w:szCs w:val="21"/>
            </w:rPr>
          </w:pPr>
          <w:r>
            <w:rPr>
              <w:rFonts w:hint="eastAsia"/>
              <w:szCs w:val="21"/>
            </w:rPr>
            <w:t>本企业子公司的情况详见附注</w:t>
          </w:r>
        </w:p>
      </w:sdtContent>
    </w:sdt>
    <w:sdt>
      <w:sdtPr>
        <w:rPr>
          <w:rFonts w:hint="eastAsia"/>
          <w:szCs w:val="21"/>
        </w:rPr>
        <w:alias w:val="是否适用：本公司的子公司情况详见附注[双击切换]"/>
        <w:tag w:val="_GBC_b3fd954877e04ee589f6c4ce95e1384a"/>
        <w:id w:val="7997"/>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rPr>
          <w:rFonts w:hint="eastAsia"/>
          <w:szCs w:val="21"/>
        </w:rPr>
        <w:alias w:val="本公司的子公司情况详见附注"/>
        <w:tag w:val="_GBC_bb3e2669c3cc45d0a6637b1809087708"/>
        <w:id w:val="7998"/>
        <w:placeholder>
          <w:docPart w:val="GBC22222222222222222222222222222"/>
        </w:placeholder>
      </w:sdtPr>
      <w:sdtEndPr>
        <w:rPr>
          <w:rFonts w:hint="eastAsia"/>
          <w:szCs w:val="21"/>
        </w:rPr>
      </w:sdtEndPr>
      <w:sdtContent>
        <w:p>
          <w:pPr>
            <w:ind w:firstLine="312"/>
            <w:rPr>
              <w:szCs w:val="21"/>
            </w:rPr>
          </w:pPr>
        </w:p>
        <w:p>
          <w:pPr>
            <w:ind w:firstLine="312"/>
            <w:rPr>
              <w:szCs w:val="21"/>
            </w:rPr>
          </w:pPr>
          <w:r>
            <w:rPr>
              <w:rFonts w:hint="eastAsia" w:ascii="宋体" w:eastAsia="宋体"/>
              <w:sz w:val="21"/>
              <w:szCs w:val="21"/>
            </w:rPr>
            <w:t>详见“十、在其他主体中的权益”之“1、在子公司中的权益”</w:t>
          </w:r>
        </w:p>
      </w:sdtContent>
    </w:sdt>
    <w:p>
      <w:pPr>
        <w:tabs>
          <w:tab w:val="left" w:pos="1134"/>
        </w:tabs>
        <w:rPr>
          <w:rFonts w:cs="Cambria"/>
          <w:szCs w:val="21"/>
        </w:rPr>
      </w:pPr>
    </w:p>
    <w:p>
      <w:pPr>
        <w:pStyle w:val="4"/>
        <w:numPr>
          <w:ilvl w:val="0"/>
          <w:numId w:val="116"/>
        </w:numPr>
      </w:pPr>
      <w:r>
        <w:rPr>
          <w:rFonts w:hint="eastAsia"/>
        </w:rPr>
        <w:t>本企业合营和联营企业情况</w:t>
      </w:r>
    </w:p>
    <w:sdt>
      <w:sdtPr>
        <w:tag w:val="_PLD_9a4ffa8cb6674ac4a0ddd525351b6abd"/>
        <w:id w:val="7999"/>
      </w:sdtPr>
      <w:sdtContent>
        <w:p>
          <w:r>
            <w:rPr>
              <w:rFonts w:hint="eastAsia"/>
            </w:rPr>
            <w:t>本企业重要的合营或联营企业详见附注</w:t>
          </w:r>
        </w:p>
      </w:sdtContent>
    </w:sdt>
    <w:sdt>
      <w:sdtPr>
        <w:alias w:val="是否适用：本企业重要的合营或联营企业详见附注[双击切换]"/>
        <w:tag w:val="_GBC_a44d5ddc347344bcaadf8652bc7a927c"/>
        <w:id w:val="8000"/>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400" w:lineRule="exact"/>
            <w:textAlignment w:val="auto"/>
          </w:pPr>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本企业重要的合营或联营企业详见附注"/>
        <w:tag w:val="_GBC_3c58c586b3d3412d9989e9dff0b9f4cf"/>
        <w:id w:val="8001"/>
        <w:placeholder>
          <w:docPart w:val="GBC22222222222222222222222222222"/>
        </w:placeholder>
      </w:sdtPr>
      <w:sdtEndPr>
        <w:rPr>
          <w:rFonts w:hint="eastAsia"/>
        </w:rPr>
      </w:sdtEndPr>
      <w:sdtContent>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ascii="宋体" w:eastAsia="宋体"/>
              <w:sz w:val="21"/>
              <w:szCs w:val="21"/>
            </w:rPr>
            <w:t>详见“十、在其他主体中的权益”之“3、在合营企业或联营企业中的权益”</w:t>
          </w:r>
        </w:p>
      </w:sdtContent>
    </w:sdt>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3340148c9e9e4091aa65b3b3355a3a37"/>
        <w:id w:val="8002"/>
        <w:placeholder>
          <w:docPart w:val="GBC22222222222222222222222222222"/>
        </w:placeholder>
      </w:sdtPr>
      <w:sdtContent>
        <w:p>
          <w:pPr>
            <w:keepNext w:val="0"/>
            <w:keepLines w:val="0"/>
            <w:pageBreakBefore w:val="0"/>
            <w:widowControl/>
            <w:kinsoku/>
            <w:wordWrap/>
            <w:overflowPunct/>
            <w:topLinePunct w:val="0"/>
            <w:autoSpaceDE/>
            <w:autoSpaceDN/>
            <w:bidi w:val="0"/>
            <w:adjustRightInd/>
            <w:snapToGrid/>
            <w:spacing w:line="400" w:lineRule="exact"/>
            <w:textAlignment w:val="auto"/>
          </w:pPr>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5"/>
        <w:gridCol w:w="5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985" w:type="dxa"/>
            <w:tcBorders>
              <w:top w:val="single" w:color="auto" w:sz="4" w:space="0"/>
              <w:left w:val="single" w:color="auto" w:sz="4" w:space="0"/>
              <w:bottom w:val="single" w:color="auto" w:sz="4" w:space="0"/>
              <w:right w:val="single" w:color="auto" w:sz="4" w:space="0"/>
            </w:tcBorders>
            <w:vAlign w:val="center"/>
          </w:tcPr>
          <w:sdt>
            <w:sdtPr>
              <w:tag w:val="_PLD_0e6d2a60380d424fbe39edbe16e876ad"/>
              <w:id w:val="8003"/>
            </w:sdtPr>
            <w:sdtContent>
              <w:p>
                <w:pPr>
                  <w:jc w:val="center"/>
                  <w:rPr>
                    <w:rFonts w:cs="Cambria"/>
                    <w:szCs w:val="21"/>
                  </w:rPr>
                </w:pPr>
                <w:r>
                  <w:rPr>
                    <w:rFonts w:hint="eastAsia" w:cs="Cambria"/>
                    <w:szCs w:val="21"/>
                  </w:rPr>
                  <w:t>合营或联营企业名称</w:t>
                </w:r>
              </w:p>
            </w:sdtContent>
          </w:sdt>
        </w:tc>
        <w:tc>
          <w:tcPr>
            <w:tcW w:w="5063" w:type="dxa"/>
            <w:tcBorders>
              <w:top w:val="single" w:color="auto" w:sz="4" w:space="0"/>
              <w:left w:val="single" w:color="auto" w:sz="4" w:space="0"/>
              <w:bottom w:val="single" w:color="auto" w:sz="4" w:space="0"/>
              <w:right w:val="single" w:color="auto" w:sz="4" w:space="0"/>
            </w:tcBorders>
            <w:vAlign w:val="center"/>
          </w:tcPr>
          <w:sdt>
            <w:sdtPr>
              <w:tag w:val="_PLD_7a4c0374bc514021b6a270655cb81e9e"/>
              <w:id w:val="8004"/>
            </w:sdtPr>
            <w:sdtContent>
              <w:p>
                <w:pPr>
                  <w:jc w:val="center"/>
                  <w:rPr>
                    <w:rFonts w:cs="Cambria"/>
                    <w:szCs w:val="21"/>
                  </w:rPr>
                </w:pPr>
                <w:r>
                  <w:rPr>
                    <w:rFonts w:hint="eastAsia" w:cs="Cambria"/>
                    <w:szCs w:val="21"/>
                  </w:rPr>
                  <w:t>与本企业关系</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3985"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color w:val="auto"/>
                <w:szCs w:val="21"/>
              </w:rPr>
              <w:t>成都同基医药有限公司</w:t>
            </w:r>
          </w:p>
        </w:tc>
        <w:tc>
          <w:tcPr>
            <w:tcW w:w="5063"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color w:val="auto"/>
                <w:szCs w:val="21"/>
              </w:rPr>
              <w:t>本公司的参股公司</w:t>
            </w:r>
          </w:p>
        </w:tc>
      </w:tr>
    </w:tbl>
    <w:p>
      <w:pPr>
        <w:tabs>
          <w:tab w:val="left" w:pos="1134"/>
        </w:tabs>
        <w:rPr>
          <w:rFonts w:cs="Cambria"/>
          <w:szCs w:val="21"/>
        </w:rPr>
      </w:pPr>
    </w:p>
    <w:p>
      <w:pPr>
        <w:tabs>
          <w:tab w:val="left" w:pos="1134"/>
        </w:tabs>
        <w:rPr>
          <w:rFonts w:cs="Cambria"/>
          <w:szCs w:val="21"/>
        </w:rPr>
      </w:pPr>
      <w:r>
        <w:rPr>
          <w:rFonts w:hint="eastAsia" w:cs="Cambria"/>
          <w:szCs w:val="21"/>
        </w:rPr>
        <w:t>其他说明：</w:t>
      </w:r>
    </w:p>
    <w:sdt>
      <w:sdtPr>
        <w:rPr>
          <w:rFonts w:cs="Cambria"/>
          <w:szCs w:val="21"/>
        </w:rPr>
        <w:alias w:val="是否适用：存在关联方交易或余额的合营和联营企业情况说明[双击切换]"/>
        <w:tag w:val="_GBC_491f62bb76ba49c482a64272865cc4a1"/>
        <w:id w:val="8005"/>
        <w:placeholder>
          <w:docPart w:val="GBC22222222222222222222222222222"/>
        </w:placeholder>
      </w:sdtPr>
      <w:sdtEndPr>
        <w:rPr>
          <w:rFonts w:cs="Cambria"/>
          <w:szCs w:val="21"/>
        </w:rPr>
      </w:sdtEndPr>
      <w:sdtContent>
        <w:p>
          <w:pPr>
            <w:tabs>
              <w:tab w:val="left" w:pos="1134"/>
            </w:tabs>
            <w:rPr>
              <w:rFonts w:cs="Cambria"/>
              <w:szCs w:val="21"/>
            </w:rPr>
          </w:pPr>
          <w:r>
            <w:rPr>
              <w:rFonts w:ascii="宋体" w:hAnsi="宋体" w:cs="Cambria"/>
              <w:szCs w:val="21"/>
            </w:rPr>
            <w:fldChar w:fldCharType="begin"/>
          </w:r>
          <w:r>
            <w:rPr>
              <w:rFonts w:hint="eastAsia" w:ascii="宋体" w:hAnsi="宋体" w:cs="Cambria"/>
              <w:szCs w:val="21"/>
            </w:rPr>
            <w:instrText xml:space="preserve">MACROBUTTON  SnrToggleCheckbox □适用 </w:instrText>
          </w:r>
          <w:r>
            <w:rPr>
              <w:rFonts w:ascii="宋体" w:hAnsi="宋体" w:cs="Cambria"/>
              <w:szCs w:val="21"/>
            </w:rPr>
            <w:fldChar w:fldCharType="end"/>
          </w:r>
          <w:r>
            <w:rPr>
              <w:rFonts w:ascii="宋体" w:hAnsi="宋体" w:cs="Cambria"/>
              <w:szCs w:val="21"/>
            </w:rPr>
            <w:fldChar w:fldCharType="begin"/>
          </w:r>
          <w:r>
            <w:rPr>
              <w:rFonts w:ascii="宋体" w:hAnsi="宋体" w:cs="Cambria"/>
              <w:szCs w:val="21"/>
            </w:rPr>
            <w:instrText xml:space="preserve"> MACROBUTTON  SnrToggleCheckbox √不适用 </w:instrText>
          </w:r>
          <w:r>
            <w:rPr>
              <w:rFonts w:ascii="宋体" w:hAnsi="宋体" w:cs="Cambria"/>
              <w:szCs w:val="21"/>
            </w:rPr>
            <w:fldChar w:fldCharType="end"/>
          </w:r>
        </w:p>
      </w:sdtContent>
    </w:sdt>
    <w:p>
      <w:pPr>
        <w:pStyle w:val="4"/>
        <w:numPr>
          <w:ilvl w:val="0"/>
          <w:numId w:val="116"/>
        </w:numPr>
      </w:pPr>
      <w:r>
        <w:rPr>
          <w:rFonts w:hint="eastAsia"/>
        </w:rPr>
        <w:t>其他关联方情况</w:t>
      </w:r>
    </w:p>
    <w:sdt>
      <w:sdtPr>
        <w:alias w:val="是否适用：其他关联方情况[双击切换]"/>
        <w:tag w:val="_GBC_42246b4c04fc4462b5fb05a5db67f4d0"/>
        <w:id w:val="8006"/>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7"/>
        <w:gridCol w:w="5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977" w:type="dxa"/>
            <w:tcBorders>
              <w:top w:val="single" w:color="auto" w:sz="4" w:space="0"/>
              <w:left w:val="single" w:color="auto" w:sz="4" w:space="0"/>
              <w:bottom w:val="single" w:color="auto" w:sz="4" w:space="0"/>
              <w:right w:val="single" w:color="auto" w:sz="4" w:space="0"/>
            </w:tcBorders>
            <w:vAlign w:val="center"/>
          </w:tcPr>
          <w:sdt>
            <w:sdtPr>
              <w:tag w:val="_PLD_36db3e8c12e04d279b0c2956ad69d8a6"/>
              <w:id w:val="8007"/>
            </w:sdtPr>
            <w:sdtContent>
              <w:p>
                <w:pPr>
                  <w:jc w:val="center"/>
                  <w:rPr>
                    <w:rFonts w:cs="Cambria"/>
                    <w:szCs w:val="21"/>
                  </w:rPr>
                </w:pPr>
                <w:r>
                  <w:rPr>
                    <w:rFonts w:hint="eastAsia" w:cs="Cambria"/>
                    <w:szCs w:val="21"/>
                  </w:rPr>
                  <w:t>其他关联方名称</w:t>
                </w:r>
              </w:p>
            </w:sdtContent>
          </w:sdt>
        </w:tc>
        <w:tc>
          <w:tcPr>
            <w:tcW w:w="5071" w:type="dxa"/>
            <w:tcBorders>
              <w:top w:val="single" w:color="auto" w:sz="4" w:space="0"/>
              <w:left w:val="single" w:color="auto" w:sz="4" w:space="0"/>
              <w:bottom w:val="single" w:color="auto" w:sz="4" w:space="0"/>
              <w:right w:val="single" w:color="auto" w:sz="4" w:space="0"/>
            </w:tcBorders>
            <w:vAlign w:val="center"/>
          </w:tcPr>
          <w:sdt>
            <w:sdtPr>
              <w:tag w:val="_PLD_b851a2cc9280416290b9ebf815c49236"/>
              <w:id w:val="8008"/>
            </w:sdtPr>
            <w:sdtContent>
              <w:p>
                <w:pPr>
                  <w:jc w:val="center"/>
                  <w:rPr>
                    <w:rFonts w:cs="Cambria"/>
                    <w:szCs w:val="21"/>
                  </w:rPr>
                </w:pPr>
                <w:r>
                  <w:rPr>
                    <w:rFonts w:hint="eastAsia" w:cs="Cambria"/>
                    <w:szCs w:val="21"/>
                  </w:rPr>
                  <w:t>其他关联方与本企业关系</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977" w:type="dxa"/>
            <w:tcBorders>
              <w:top w:val="single" w:color="auto" w:sz="4" w:space="0"/>
              <w:left w:val="single" w:color="auto" w:sz="4" w:space="0"/>
              <w:bottom w:val="single" w:color="auto" w:sz="4" w:space="0"/>
              <w:right w:val="single" w:color="auto" w:sz="4" w:space="0"/>
            </w:tcBorders>
            <w:vAlign w:val="center"/>
          </w:tcPr>
          <w:p>
            <w:pPr>
              <w:jc w:val="center"/>
              <w:rPr>
                <w:rFonts w:cs="Cambria"/>
                <w:szCs w:val="21"/>
              </w:rPr>
            </w:pPr>
            <w:r>
              <w:rPr>
                <w:rFonts w:hint="eastAsia"/>
                <w:color w:val="auto"/>
                <w:szCs w:val="21"/>
              </w:rPr>
              <w:t>柳州市元宏投资发展有限公司(原柳州两面针旅游用品厂)</w:t>
            </w:r>
          </w:p>
        </w:tc>
        <w:tc>
          <w:tcPr>
            <w:tcW w:w="5071" w:type="dxa"/>
            <w:tcBorders>
              <w:top w:val="single" w:color="auto" w:sz="4" w:space="0"/>
              <w:left w:val="single" w:color="auto" w:sz="4" w:space="0"/>
              <w:bottom w:val="single" w:color="auto" w:sz="4" w:space="0"/>
              <w:right w:val="single" w:color="auto" w:sz="4" w:space="0"/>
            </w:tcBorders>
            <w:vAlign w:val="center"/>
          </w:tcPr>
          <w:sdt>
            <w:sdtPr>
              <w:rPr>
                <w:rFonts w:cs="Cambria"/>
                <w:szCs w:val="21"/>
              </w:rPr>
              <w:alias w:val="本企业的其他关联方情况明细－其他关联方与本公司关系"/>
              <w:tag w:val="_GBC_58cfdd73098648d8af76645c4007a3fa"/>
              <w:id w:val="8009"/>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rPr>
                <w:rFonts w:cs="Cambria"/>
                <w:szCs w:val="21"/>
              </w:rPr>
            </w:sdtEndPr>
            <w:sdtContent>
              <w:p>
                <w:pPr>
                  <w:jc w:val="center"/>
                  <w:rPr>
                    <w:rFonts w:cs="Cambria"/>
                    <w:szCs w:val="21"/>
                  </w:rPr>
                </w:pPr>
                <w:r>
                  <w:rPr>
                    <w:rFonts w:cs="Cambria"/>
                    <w:szCs w:val="21"/>
                  </w:rPr>
                  <w:t>本公司的参股股东</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977" w:type="dxa"/>
            <w:tcBorders>
              <w:top w:val="single" w:color="auto" w:sz="4" w:space="0"/>
              <w:left w:val="single" w:color="auto" w:sz="4" w:space="0"/>
              <w:bottom w:val="single" w:color="auto" w:sz="4" w:space="0"/>
              <w:right w:val="single" w:color="auto" w:sz="4" w:space="0"/>
            </w:tcBorders>
            <w:vAlign w:val="center"/>
          </w:tcPr>
          <w:p>
            <w:pPr>
              <w:jc w:val="center"/>
              <w:rPr>
                <w:rFonts w:cs="Cambria"/>
                <w:szCs w:val="21"/>
              </w:rPr>
            </w:pPr>
            <w:r>
              <w:rPr>
                <w:rFonts w:hint="eastAsia"/>
                <w:color w:val="auto"/>
                <w:szCs w:val="21"/>
              </w:rPr>
              <w:t>柳州市沁原纸业发展有限公司（原柳州两面针纸业有限公司）</w:t>
            </w:r>
          </w:p>
        </w:tc>
        <w:tc>
          <w:tcPr>
            <w:tcW w:w="5071" w:type="dxa"/>
            <w:tcBorders>
              <w:top w:val="single" w:color="auto" w:sz="4" w:space="0"/>
              <w:left w:val="single" w:color="auto" w:sz="4" w:space="0"/>
              <w:bottom w:val="single" w:color="auto" w:sz="4" w:space="0"/>
              <w:right w:val="single" w:color="auto" w:sz="4" w:space="0"/>
            </w:tcBorders>
            <w:vAlign w:val="center"/>
          </w:tcPr>
          <w:p>
            <w:pPr>
              <w:jc w:val="center"/>
              <w:rPr>
                <w:rFonts w:cs="Cambria"/>
                <w:szCs w:val="21"/>
              </w:rPr>
            </w:pPr>
            <w:r>
              <w:rPr>
                <w:rFonts w:cs="Cambria"/>
                <w:szCs w:val="21"/>
              </w:rPr>
              <w:t>母公司的控股子公司</w:t>
            </w:r>
          </w:p>
        </w:tc>
      </w:tr>
    </w:tbl>
    <w:p>
      <w:pPr>
        <w:tabs>
          <w:tab w:val="left" w:pos="1134"/>
        </w:tabs>
        <w:rPr>
          <w:rFonts w:cs="Cambria"/>
          <w:szCs w:val="21"/>
        </w:rPr>
      </w:pPr>
      <w:r>
        <w:rPr>
          <w:rFonts w:hint="eastAsia" w:cs="Cambria"/>
          <w:szCs w:val="21"/>
        </w:rPr>
        <w:t>其他说明：</w:t>
      </w:r>
    </w:p>
    <w:sdt>
      <w:sdtPr>
        <w:rPr>
          <w:rFonts w:cs="Cambria"/>
          <w:szCs w:val="21"/>
        </w:rPr>
        <w:alias w:val="本企业的其他关联方情况的说明"/>
        <w:tag w:val="_GBC_117952daaba845fa964eb3e2e22e8fc5"/>
        <w:id w:val="8010"/>
        <w:placeholder>
          <w:docPart w:val="GBC22222222222222222222222222222"/>
        </w:placeholder>
      </w:sdtPr>
      <w:sdtEndPr>
        <w:rPr>
          <w:rFonts w:cs="Cambria"/>
          <w:szCs w:val="21"/>
        </w:rPr>
      </w:sdtEndPr>
      <w:sdtContent>
        <w:p>
          <w:pPr>
            <w:tabs>
              <w:tab w:val="left" w:pos="1134"/>
            </w:tabs>
            <w:rPr>
              <w:rFonts w:cs="Cambria"/>
              <w:szCs w:val="21"/>
            </w:rPr>
          </w:pPr>
          <w:r>
            <w:rPr>
              <w:rFonts w:cs="Cambria"/>
              <w:szCs w:val="21"/>
            </w:rPr>
            <w:t>无</w:t>
          </w:r>
        </w:p>
      </w:sdtContent>
    </w:sdt>
    <w:p>
      <w:pPr>
        <w:tabs>
          <w:tab w:val="left" w:pos="1134"/>
        </w:tabs>
        <w:rPr>
          <w:rFonts w:cs="Cambria"/>
          <w:b/>
          <w:szCs w:val="21"/>
        </w:rPr>
      </w:pPr>
    </w:p>
    <w:p>
      <w:pPr>
        <w:pStyle w:val="4"/>
        <w:numPr>
          <w:ilvl w:val="0"/>
          <w:numId w:val="116"/>
        </w:numPr>
      </w:pPr>
      <w:r>
        <w:rPr>
          <w:rFonts w:hint="eastAsia"/>
        </w:rPr>
        <w:t>关联交易情况</w:t>
      </w:r>
    </w:p>
    <w:p>
      <w:pPr>
        <w:pStyle w:val="5"/>
        <w:numPr>
          <w:ilvl w:val="3"/>
          <w:numId w:val="117"/>
        </w:numPr>
        <w:ind w:left="424" w:hanging="424" w:hangingChars="201"/>
        <w:rPr>
          <w:rFonts w:hint="eastAsia"/>
        </w:rPr>
      </w:pPr>
      <w:r>
        <w:rPr>
          <w:rFonts w:hint="eastAsia"/>
        </w:rPr>
        <w:t>购销商品、提供和接受劳务的关联交易</w:t>
      </w:r>
    </w:p>
    <w:p>
      <w:r>
        <w:rPr>
          <w:rFonts w:hint="eastAsia"/>
        </w:rPr>
        <w:t>采购商品/接受劳务情况表</w:t>
      </w:r>
    </w:p>
    <w:sdt>
      <w:sdtPr>
        <w:alias w:val="是否适用：采购商品或接受劳务情况表[双击切换]"/>
        <w:tag w:val="_GBC_c080653feddc4cf2a468adfbb755dff3"/>
        <w:id w:val="8011"/>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ind w:right="-775" w:rightChars="-369"/>
        <w:rPr>
          <w:szCs w:val="21"/>
        </w:rPr>
      </w:pPr>
      <w:r>
        <w:rPr>
          <w:rFonts w:hint="eastAsia"/>
          <w:szCs w:val="21"/>
        </w:rPr>
        <w:t>出售商品/提供劳务情况表</w:t>
      </w:r>
    </w:p>
    <w:sdt>
      <w:sdtPr>
        <w:rPr>
          <w:szCs w:val="21"/>
        </w:rPr>
        <w:alias w:val="是否适用：出售商品或提供劳务情况表[双击切换]"/>
        <w:tag w:val="_GBC_38804595ac014174a1f7bfa274a356d2"/>
        <w:id w:val="8012"/>
        <w:placeholder>
          <w:docPart w:val="GBC22222222222222222222222222222"/>
        </w:placeholder>
      </w:sdtPr>
      <w:sdtEndPr>
        <w:rPr>
          <w:szCs w:val="21"/>
        </w:rPr>
      </w:sdtEndPr>
      <w:sdtContent>
        <w:p>
          <w:pPr>
            <w:ind w:right="-775" w:rightChars="-369"/>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Pr>
        <w:rPr>
          <w:rFonts w:cs="Cambria"/>
          <w:szCs w:val="21"/>
        </w:rPr>
      </w:pPr>
      <w:r>
        <w:rPr>
          <w:rFonts w:hint="eastAsia" w:cs="Cambria"/>
          <w:szCs w:val="21"/>
        </w:rPr>
        <w:t>购销商品、提供和接受劳务的关联交易说明</w:t>
      </w:r>
    </w:p>
    <w:sdt>
      <w:sdtPr>
        <w:rPr>
          <w:rFonts w:cs="Cambria"/>
          <w:szCs w:val="21"/>
        </w:rPr>
        <w:alias w:val="是否适用：购销商品、提供和接受劳务的关联交易说明[双击切换]"/>
        <w:tag w:val="_GBC_bfac708300bd4f9886d4b6bc97c99022"/>
        <w:id w:val="8013"/>
        <w:placeholder>
          <w:docPart w:val="GBC22222222222222222222222222222"/>
        </w:placeholder>
      </w:sdtPr>
      <w:sdtEndPr>
        <w:rPr>
          <w:rFonts w:cs="Cambria"/>
          <w:szCs w:val="21"/>
        </w:rPr>
      </w:sdtEndPr>
      <w:sdtContent>
        <w:p>
          <w:pPr>
            <w:rPr>
              <w:rFonts w:cs="Cambria"/>
              <w:szCs w:val="21"/>
            </w:rPr>
          </w:pPr>
          <w:r>
            <w:rPr>
              <w:rFonts w:ascii="宋体" w:hAnsi="宋体" w:cs="Cambria"/>
              <w:szCs w:val="21"/>
            </w:rPr>
            <w:fldChar w:fldCharType="begin"/>
          </w:r>
          <w:r>
            <w:rPr>
              <w:rFonts w:hint="eastAsia" w:ascii="宋体" w:hAnsi="宋体" w:cs="Cambria"/>
              <w:szCs w:val="21"/>
              <w:lang w:eastAsia="zh-CN"/>
            </w:rPr>
            <w:instrText xml:space="preserve">MACROBUTTON  SnrToggleCheckbox √适用 </w:instrText>
          </w:r>
          <w:r>
            <w:rPr>
              <w:rFonts w:ascii="宋体" w:hAnsi="宋体" w:cs="Cambria"/>
              <w:szCs w:val="21"/>
            </w:rPr>
            <w:fldChar w:fldCharType="end"/>
          </w:r>
          <w:r>
            <w:rPr>
              <w:rFonts w:ascii="宋体" w:hAnsi="宋体" w:cs="Cambria"/>
              <w:szCs w:val="21"/>
            </w:rPr>
            <w:fldChar w:fldCharType="begin"/>
          </w:r>
          <w:r>
            <w:rPr>
              <w:rFonts w:hint="eastAsia" w:ascii="宋体" w:hAnsi="宋体" w:cs="Cambria"/>
              <w:szCs w:val="21"/>
              <w:lang w:eastAsia="zh-CN"/>
            </w:rPr>
            <w:instrText xml:space="preserve"> MACROBUTTON  SnrToggleCheckbox □不适用 </w:instrText>
          </w:r>
          <w:r>
            <w:rPr>
              <w:rFonts w:ascii="宋体" w:hAnsi="宋体" w:cs="Cambria"/>
              <w:szCs w:val="21"/>
            </w:rPr>
            <w:fldChar w:fldCharType="end"/>
          </w:r>
        </w:p>
      </w:sdtContent>
    </w:sdt>
    <w:sdt>
      <w:sdtPr>
        <w:rPr>
          <w:rFonts w:cs="Cambria"/>
          <w:szCs w:val="21"/>
        </w:rPr>
        <w:alias w:val="购销商品、提供和接受劳务的关联交易说明"/>
        <w:tag w:val="_GBC_2e3d658b1c454acb945f621162cfd0e7"/>
        <w:id w:val="147459549"/>
        <w:placeholder>
          <w:docPart w:val="{ff8fce9b-2055-4697-9599-f0bd02fb5114}"/>
        </w:placeholder>
      </w:sdtPr>
      <w:sdtEndPr>
        <w:rPr>
          <w:rFonts w:cs="Cambria"/>
          <w:szCs w:val="21"/>
        </w:rPr>
      </w:sdtEndPr>
      <w:sdtContent>
        <w:p>
          <w:pPr>
            <w:rPr>
              <w:rFonts w:cs="Cambria"/>
              <w:szCs w:val="21"/>
            </w:rPr>
          </w:pPr>
        </w:p>
        <w:tbl>
          <w:tblPr>
            <w:tblStyle w:val="38"/>
            <w:tblW w:w="9214" w:type="dxa"/>
            <w:tblInd w:w="-114"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28" w:type="dxa"/>
              <w:bottom w:w="0" w:type="dxa"/>
              <w:right w:w="28" w:type="dxa"/>
            </w:tblCellMar>
          </w:tblPr>
          <w:tblGrid>
            <w:gridCol w:w="3686"/>
            <w:gridCol w:w="1985"/>
            <w:gridCol w:w="1701"/>
            <w:gridCol w:w="1842"/>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28" w:type="dxa"/>
                <w:bottom w:w="0" w:type="dxa"/>
                <w:right w:w="28" w:type="dxa"/>
              </w:tblCellMar>
            </w:tblPrEx>
            <w:trPr>
              <w:trHeight w:val="345" w:hRule="atLeast"/>
              <w:tblHeader/>
            </w:trPr>
            <w:tc>
              <w:tcPr>
                <w:tcW w:w="368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420" w:firstLineChars="200"/>
                  <w:jc w:val="center"/>
                  <w:rPr>
                    <w:rFonts w:ascii="Arial" w:hAnsi="Arial" w:eastAsia="宋体" w:cs="Arial"/>
                    <w:kern w:val="0"/>
                    <w:szCs w:val="21"/>
                  </w:rPr>
                </w:pPr>
                <w:r>
                  <w:rPr>
                    <w:rFonts w:ascii="Arial" w:hAnsi="Arial" w:eastAsia="宋体" w:cs="Arial"/>
                    <w:kern w:val="0"/>
                    <w:szCs w:val="21"/>
                  </w:rPr>
                  <w:t>关联方</w:t>
                </w:r>
              </w:p>
            </w:tc>
            <w:tc>
              <w:tcPr>
                <w:tcW w:w="198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ind w:firstLine="420" w:firstLineChars="200"/>
                  <w:jc w:val="center"/>
                  <w:rPr>
                    <w:rFonts w:ascii="Arial" w:hAnsi="Arial" w:eastAsia="宋体" w:cs="Arial"/>
                    <w:kern w:val="0"/>
                    <w:szCs w:val="21"/>
                  </w:rPr>
                </w:pPr>
                <w:r>
                  <w:rPr>
                    <w:rFonts w:hint="eastAsia" w:ascii="Arial" w:hAnsi="Arial" w:eastAsia="宋体" w:cs="Arial"/>
                    <w:kern w:val="0"/>
                    <w:szCs w:val="21"/>
                  </w:rPr>
                  <w:t>关联交易内容</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420" w:firstLineChars="200"/>
                  <w:jc w:val="center"/>
                  <w:rPr>
                    <w:rFonts w:ascii="Arial" w:hAnsi="Arial" w:eastAsia="宋体" w:cs="Arial"/>
                    <w:kern w:val="0"/>
                    <w:szCs w:val="21"/>
                  </w:rPr>
                </w:pPr>
                <w:r>
                  <w:rPr>
                    <w:rFonts w:ascii="Arial" w:hAnsi="Arial" w:eastAsia="宋体" w:cs="Arial"/>
                    <w:kern w:val="0"/>
                    <w:szCs w:val="21"/>
                  </w:rPr>
                  <w:t>本年发生额</w:t>
                </w:r>
              </w:p>
            </w:tc>
            <w:tc>
              <w:tcPr>
                <w:tcW w:w="1842"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420" w:firstLineChars="200"/>
                  <w:jc w:val="center"/>
                  <w:rPr>
                    <w:rFonts w:ascii="Arial" w:hAnsi="Arial" w:eastAsia="宋体" w:cs="Arial"/>
                    <w:kern w:val="0"/>
                    <w:szCs w:val="21"/>
                  </w:rPr>
                </w:pPr>
                <w:r>
                  <w:rPr>
                    <w:rFonts w:ascii="Arial" w:hAnsi="Arial" w:eastAsia="宋体" w:cs="Arial"/>
                    <w:kern w:val="0"/>
                    <w:szCs w:val="21"/>
                  </w:rPr>
                  <w:t>上年发生额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28" w:type="dxa"/>
                <w:bottom w:w="0" w:type="dxa"/>
                <w:right w:w="28" w:type="dxa"/>
              </w:tblCellMar>
            </w:tblPrEx>
            <w:trPr>
              <w:trHeight w:val="345" w:hRule="atLeast"/>
            </w:trPr>
            <w:tc>
              <w:tcPr>
                <w:tcW w:w="368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firstLineChars="0"/>
                  <w:jc w:val="both"/>
                  <w:rPr>
                    <w:rFonts w:ascii="Arial" w:hAnsi="Arial" w:eastAsia="宋体" w:cs="Arial"/>
                    <w:kern w:val="0"/>
                    <w:szCs w:val="21"/>
                  </w:rPr>
                </w:pPr>
                <w:r>
                  <w:rPr>
                    <w:rFonts w:hint="eastAsia" w:ascii="Arial" w:hAnsi="Arial" w:eastAsia="宋体" w:cs="Arial"/>
                    <w:kern w:val="0"/>
                    <w:szCs w:val="21"/>
                  </w:rPr>
                  <w:t>广西柳州市产业投资发展集团有限公司</w:t>
                </w:r>
              </w:p>
            </w:tc>
            <w:tc>
              <w:tcPr>
                <w:tcW w:w="1985" w:type="dxa"/>
                <w:tcBorders>
                  <w:top w:val="single" w:color="auto" w:sz="4" w:space="0"/>
                  <w:left w:val="single" w:color="auto" w:sz="4" w:space="0"/>
                  <w:bottom w:val="single" w:color="auto" w:sz="4" w:space="0"/>
                  <w:right w:val="single" w:color="auto" w:sz="4" w:space="0"/>
                </w:tcBorders>
              </w:tcPr>
              <w:p>
                <w:pPr>
                  <w:widowControl/>
                  <w:spacing w:line="400" w:lineRule="exact"/>
                  <w:ind w:firstLine="420" w:firstLineChars="200"/>
                  <w:jc w:val="center"/>
                  <w:rPr>
                    <w:rFonts w:ascii="Arial" w:hAnsi="Arial" w:eastAsia="宋体" w:cs="Arial"/>
                    <w:kern w:val="0"/>
                    <w:szCs w:val="21"/>
                  </w:rPr>
                </w:pPr>
                <w:r>
                  <w:rPr>
                    <w:rFonts w:hint="eastAsia" w:ascii="Arial" w:hAnsi="Arial" w:eastAsia="宋体" w:cs="Arial"/>
                    <w:kern w:val="0"/>
                    <w:szCs w:val="21"/>
                  </w:rPr>
                  <w:t>销售</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420" w:firstLineChars="200"/>
                  <w:jc w:val="right"/>
                  <w:rPr>
                    <w:rFonts w:ascii="Arial" w:hAnsi="Arial" w:eastAsia="宋体" w:cs="Arial"/>
                    <w:kern w:val="0"/>
                    <w:szCs w:val="21"/>
                  </w:rPr>
                </w:pPr>
                <w:r>
                  <w:rPr>
                    <w:rFonts w:hint="default" w:ascii="Times New Roman" w:hAnsi="Times New Roman" w:eastAsia="宋体" w:cs="Times New Roman"/>
                    <w:kern w:val="0"/>
                    <w:szCs w:val="21"/>
                  </w:rPr>
                  <w:t>1,765.48</w:t>
                </w:r>
              </w:p>
            </w:tc>
            <w:tc>
              <w:tcPr>
                <w:tcW w:w="1842"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420" w:firstLineChars="200"/>
                  <w:jc w:val="right"/>
                  <w:rPr>
                    <w:rFonts w:ascii="Arial" w:hAnsi="Arial" w:eastAsia="宋体" w:cs="Arial"/>
                    <w:kern w:val="0"/>
                    <w:szCs w:val="21"/>
                  </w:rPr>
                </w:pPr>
              </w:p>
            </w:tc>
          </w:tr>
        </w:tbl>
        <w:p>
          <w:pPr>
            <w:rPr>
              <w:rFonts w:cs="Cambria"/>
              <w:szCs w:val="21"/>
            </w:rPr>
          </w:pPr>
        </w:p>
      </w:sdtContent>
    </w:sdt>
    <w:p>
      <w:pPr>
        <w:rPr>
          <w:rFonts w:cs="Cambria"/>
          <w:szCs w:val="21"/>
        </w:rPr>
      </w:pPr>
    </w:p>
    <w:p>
      <w:pPr>
        <w:pStyle w:val="5"/>
        <w:numPr>
          <w:ilvl w:val="3"/>
          <w:numId w:val="117"/>
        </w:numPr>
        <w:ind w:left="424" w:hanging="426" w:hangingChars="202"/>
        <w:rPr>
          <w:rFonts w:hint="eastAsia"/>
        </w:rPr>
      </w:pPr>
      <w:r>
        <w:rPr>
          <w:rFonts w:hint="eastAsia"/>
        </w:rPr>
        <w:t>关联受托管理/承包及委托管理/出包情况</w:t>
      </w:r>
    </w:p>
    <w:p>
      <w:pPr>
        <w:rPr>
          <w:szCs w:val="21"/>
        </w:rPr>
      </w:pPr>
      <w:r>
        <w:rPr>
          <w:rFonts w:hint="eastAsia"/>
          <w:szCs w:val="21"/>
        </w:rPr>
        <w:t>本公司受托管理/承包情况表：</w:t>
      </w:r>
    </w:p>
    <w:sdt>
      <w:sdtPr>
        <w:rPr>
          <w:rFonts w:cs="Cambria"/>
          <w:szCs w:val="21"/>
        </w:rPr>
        <w:alias w:val="是否适用：本公司受托管理或承包情况表[双击切换]"/>
        <w:tag w:val="_GBC_30440fae2d7246f59be82c31d907217a"/>
        <w:id w:val="8014"/>
        <w:placeholder>
          <w:docPart w:val="GBC22222222222222222222222222222"/>
        </w:placeholder>
      </w:sdtPr>
      <w:sdtEndPr>
        <w:rPr>
          <w:rFonts w:cs="Cambria"/>
          <w:szCs w:val="21"/>
        </w:rPr>
      </w:sdtEndPr>
      <w:sdtContent>
        <w:p>
          <w:pPr>
            <w:rPr>
              <w:rFonts w:cs="Cambria"/>
              <w:szCs w:val="21"/>
            </w:rPr>
          </w:pPr>
          <w:r>
            <w:rPr>
              <w:rFonts w:ascii="宋体" w:hAnsi="宋体" w:cs="Cambria"/>
              <w:szCs w:val="21"/>
            </w:rPr>
            <w:fldChar w:fldCharType="begin"/>
          </w:r>
          <w:r>
            <w:rPr>
              <w:rFonts w:hint="eastAsia" w:ascii="宋体" w:hAnsi="宋体" w:cs="Cambria"/>
              <w:szCs w:val="21"/>
            </w:rPr>
            <w:instrText xml:space="preserve">MACROBUTTON  SnrToggleCheckbox □适用 </w:instrText>
          </w:r>
          <w:r>
            <w:rPr>
              <w:rFonts w:ascii="宋体" w:hAnsi="宋体" w:cs="Cambria"/>
              <w:szCs w:val="21"/>
            </w:rPr>
            <w:fldChar w:fldCharType="end"/>
          </w:r>
          <w:r>
            <w:rPr>
              <w:rFonts w:ascii="宋体" w:hAnsi="宋体" w:cs="Cambria"/>
              <w:szCs w:val="21"/>
            </w:rPr>
            <w:fldChar w:fldCharType="begin"/>
          </w:r>
          <w:r>
            <w:rPr>
              <w:rFonts w:ascii="宋体" w:hAnsi="宋体" w:cs="Cambria"/>
              <w:szCs w:val="21"/>
            </w:rPr>
            <w:instrText xml:space="preserve"> MACROBUTTON  SnrToggleCheckbox √不适用 </w:instrText>
          </w:r>
          <w:r>
            <w:rPr>
              <w:rFonts w:ascii="宋体" w:hAnsi="宋体" w:cs="Cambria"/>
              <w:szCs w:val="21"/>
            </w:rPr>
            <w:fldChar w:fldCharType="end"/>
          </w:r>
        </w:p>
      </w:sdtContent>
    </w:sdt>
    <w:p>
      <w:pPr>
        <w:rPr>
          <w:rFonts w:cs="Cambria"/>
          <w:szCs w:val="21"/>
        </w:rPr>
      </w:pPr>
    </w:p>
    <w:p>
      <w:pPr>
        <w:rPr>
          <w:rFonts w:cs="Cambria"/>
          <w:szCs w:val="21"/>
        </w:rPr>
      </w:pPr>
      <w:r>
        <w:rPr>
          <w:rFonts w:hint="eastAsia" w:cs="Cambria"/>
          <w:szCs w:val="21"/>
        </w:rPr>
        <w:t>关联托管/承包情况说明</w:t>
      </w:r>
    </w:p>
    <w:sdt>
      <w:sdtPr>
        <w:rPr>
          <w:rFonts w:cs="Cambria"/>
          <w:szCs w:val="21"/>
        </w:rPr>
        <w:alias w:val="是否适用：关联托管或承包情况说明[双击切换]"/>
        <w:tag w:val="_GBC_60aca51a92e545e9bbad9ba5228083c8"/>
        <w:id w:val="8015"/>
        <w:placeholder>
          <w:docPart w:val="GBC22222222222222222222222222222"/>
        </w:placeholder>
      </w:sdtPr>
      <w:sdtEndPr>
        <w:rPr>
          <w:rFonts w:cs="Cambria"/>
          <w:szCs w:val="21"/>
        </w:rPr>
      </w:sdtEndPr>
      <w:sdtContent>
        <w:p>
          <w:pPr>
            <w:rPr>
              <w:rFonts w:cs="Cambria"/>
              <w:szCs w:val="21"/>
            </w:rPr>
          </w:pPr>
          <w:r>
            <w:rPr>
              <w:rFonts w:ascii="宋体" w:hAnsi="宋体" w:cs="Cambria"/>
              <w:szCs w:val="21"/>
            </w:rPr>
            <w:fldChar w:fldCharType="begin"/>
          </w:r>
          <w:r>
            <w:rPr>
              <w:rFonts w:hint="eastAsia" w:ascii="宋体" w:hAnsi="宋体" w:cs="Cambria"/>
              <w:szCs w:val="21"/>
            </w:rPr>
            <w:instrText xml:space="preserve">MACROBUTTON  SnrToggleCheckbox □适用 </w:instrText>
          </w:r>
          <w:r>
            <w:rPr>
              <w:rFonts w:ascii="宋体" w:hAnsi="宋体" w:cs="Cambria"/>
              <w:szCs w:val="21"/>
            </w:rPr>
            <w:fldChar w:fldCharType="end"/>
          </w:r>
          <w:r>
            <w:rPr>
              <w:rFonts w:ascii="宋体" w:hAnsi="宋体" w:cs="Cambria"/>
              <w:szCs w:val="21"/>
            </w:rPr>
            <w:fldChar w:fldCharType="begin"/>
          </w:r>
          <w:r>
            <w:rPr>
              <w:rFonts w:ascii="宋体" w:hAnsi="宋体" w:cs="Cambria"/>
              <w:szCs w:val="21"/>
            </w:rPr>
            <w:instrText xml:space="preserve"> MACROBUTTON  SnrToggleCheckbox √不适用 </w:instrText>
          </w:r>
          <w:r>
            <w:rPr>
              <w:rFonts w:ascii="宋体" w:hAnsi="宋体" w:cs="Cambria"/>
              <w:szCs w:val="21"/>
            </w:rPr>
            <w:fldChar w:fldCharType="end"/>
          </w:r>
        </w:p>
      </w:sdtContent>
    </w:sdt>
    <w:p>
      <w:pPr>
        <w:rPr>
          <w:rFonts w:cs="Cambria"/>
          <w:szCs w:val="21"/>
        </w:rPr>
      </w:pPr>
    </w:p>
    <w:p>
      <w:pPr>
        <w:rPr>
          <w:rFonts w:cs="Cambria"/>
          <w:bCs/>
          <w:szCs w:val="21"/>
        </w:rPr>
      </w:pPr>
      <w:r>
        <w:rPr>
          <w:rFonts w:hint="eastAsia"/>
          <w:szCs w:val="21"/>
        </w:rPr>
        <w:t>本公司</w:t>
      </w:r>
      <w:r>
        <w:rPr>
          <w:rFonts w:hint="eastAsia" w:cs="Cambria"/>
          <w:bCs/>
          <w:szCs w:val="21"/>
        </w:rPr>
        <w:t>委托管理/出包情况表</w:t>
      </w:r>
    </w:p>
    <w:sdt>
      <w:sdtPr>
        <w:rPr>
          <w:rFonts w:cs="Cambria"/>
          <w:bCs/>
          <w:szCs w:val="21"/>
        </w:rPr>
        <w:alias w:val="是否适用：本公司委托管理或出包情况表[双击切换]"/>
        <w:tag w:val="_GBC_4655dfffa9a7464b8715035e819d5968"/>
        <w:id w:val="8016"/>
        <w:placeholder>
          <w:docPart w:val="GBC22222222222222222222222222222"/>
        </w:placeholder>
      </w:sdtPr>
      <w:sdtEndPr>
        <w:rPr>
          <w:rFonts w:cs="Cambria"/>
          <w:bCs/>
          <w:szCs w:val="21"/>
        </w:rPr>
      </w:sdtEndPr>
      <w:sdtContent>
        <w:p>
          <w:pPr>
            <w:rPr>
              <w:rFonts w:cs="Cambria"/>
              <w:bCs/>
              <w:szCs w:val="21"/>
            </w:rPr>
          </w:pPr>
          <w:r>
            <w:rPr>
              <w:rFonts w:ascii="宋体" w:hAnsi="宋体" w:cs="Cambria"/>
              <w:bCs/>
              <w:szCs w:val="21"/>
            </w:rPr>
            <w:fldChar w:fldCharType="begin"/>
          </w:r>
          <w:r>
            <w:rPr>
              <w:rFonts w:hint="eastAsia" w:ascii="宋体" w:hAnsi="宋体" w:cs="Cambria"/>
              <w:bCs/>
              <w:szCs w:val="21"/>
            </w:rPr>
            <w:instrText xml:space="preserve">MACROBUTTON  SnrToggleCheckbox □适用 </w:instrText>
          </w:r>
          <w:r>
            <w:rPr>
              <w:rFonts w:ascii="宋体" w:hAnsi="宋体" w:cs="Cambria"/>
              <w:bCs/>
              <w:szCs w:val="21"/>
            </w:rPr>
            <w:fldChar w:fldCharType="end"/>
          </w:r>
          <w:r>
            <w:rPr>
              <w:rFonts w:ascii="宋体" w:hAnsi="宋体" w:cs="Cambria"/>
              <w:bCs/>
              <w:szCs w:val="21"/>
            </w:rPr>
            <w:fldChar w:fldCharType="begin"/>
          </w:r>
          <w:r>
            <w:rPr>
              <w:rFonts w:ascii="宋体" w:hAnsi="宋体" w:cs="Cambria"/>
              <w:bCs/>
              <w:szCs w:val="21"/>
            </w:rPr>
            <w:instrText xml:space="preserve"> MACROBUTTON  SnrToggleCheckbox √不适用 </w:instrText>
          </w:r>
          <w:r>
            <w:rPr>
              <w:rFonts w:ascii="宋体" w:hAnsi="宋体" w:cs="Cambria"/>
              <w:bCs/>
              <w:szCs w:val="21"/>
            </w:rPr>
            <w:fldChar w:fldCharType="end"/>
          </w:r>
        </w:p>
      </w:sdtContent>
    </w:sdt>
    <w:p>
      <w:pPr>
        <w:rPr>
          <w:rFonts w:cs="Cambria"/>
          <w:bCs/>
          <w:szCs w:val="21"/>
        </w:rPr>
      </w:pPr>
    </w:p>
    <w:p>
      <w:pPr>
        <w:rPr>
          <w:rFonts w:cs="Cambria"/>
          <w:bCs/>
          <w:szCs w:val="21"/>
        </w:rPr>
      </w:pPr>
      <w:r>
        <w:rPr>
          <w:rFonts w:hint="eastAsia" w:cs="Cambria"/>
          <w:bCs/>
          <w:szCs w:val="21"/>
        </w:rPr>
        <w:t>关联管理/出包情况说明</w:t>
      </w:r>
    </w:p>
    <w:sdt>
      <w:sdtPr>
        <w:rPr>
          <w:rFonts w:cs="Cambria"/>
          <w:bCs/>
          <w:szCs w:val="21"/>
        </w:rPr>
        <w:alias w:val="是否适用：关联管理或出包情况说明[双击切换]"/>
        <w:tag w:val="_GBC_a21df8e7013c4b70bab4125cabda8c46"/>
        <w:id w:val="8017"/>
        <w:placeholder>
          <w:docPart w:val="GBC22222222222222222222222222222"/>
        </w:placeholder>
      </w:sdtPr>
      <w:sdtEndPr>
        <w:rPr>
          <w:rFonts w:cs="Cambria"/>
          <w:bCs/>
          <w:szCs w:val="21"/>
        </w:rPr>
      </w:sdtEndPr>
      <w:sdtContent>
        <w:p>
          <w:pPr>
            <w:rPr>
              <w:rFonts w:cs="Cambria"/>
              <w:bCs/>
              <w:szCs w:val="21"/>
            </w:rPr>
          </w:pPr>
          <w:r>
            <w:rPr>
              <w:rFonts w:ascii="宋体" w:hAnsi="宋体" w:cs="Cambria"/>
              <w:bCs/>
              <w:szCs w:val="21"/>
            </w:rPr>
            <w:fldChar w:fldCharType="begin"/>
          </w:r>
          <w:r>
            <w:rPr>
              <w:rFonts w:hint="eastAsia" w:ascii="宋体" w:hAnsi="宋体" w:cs="Cambria"/>
              <w:bCs/>
              <w:szCs w:val="21"/>
            </w:rPr>
            <w:instrText xml:space="preserve">MACROBUTTON  SnrToggleCheckbox □适用 </w:instrText>
          </w:r>
          <w:r>
            <w:rPr>
              <w:rFonts w:ascii="宋体" w:hAnsi="宋体" w:cs="Cambria"/>
              <w:bCs/>
              <w:szCs w:val="21"/>
            </w:rPr>
            <w:fldChar w:fldCharType="end"/>
          </w:r>
          <w:r>
            <w:rPr>
              <w:rFonts w:ascii="宋体" w:hAnsi="宋体" w:cs="Cambria"/>
              <w:bCs/>
              <w:szCs w:val="21"/>
            </w:rPr>
            <w:fldChar w:fldCharType="begin"/>
          </w:r>
          <w:r>
            <w:rPr>
              <w:rFonts w:ascii="宋体" w:hAnsi="宋体" w:cs="Cambria"/>
              <w:bCs/>
              <w:szCs w:val="21"/>
            </w:rPr>
            <w:instrText xml:space="preserve"> MACROBUTTON  SnrToggleCheckbox √不适用 </w:instrText>
          </w:r>
          <w:r>
            <w:rPr>
              <w:rFonts w:ascii="宋体" w:hAnsi="宋体" w:cs="Cambria"/>
              <w:bCs/>
              <w:szCs w:val="21"/>
            </w:rPr>
            <w:fldChar w:fldCharType="end"/>
          </w:r>
        </w:p>
      </w:sdtContent>
    </w:sdt>
    <w:p>
      <w:pPr>
        <w:rPr>
          <w:rFonts w:cs="Cambria"/>
          <w:szCs w:val="21"/>
        </w:rPr>
      </w:pPr>
    </w:p>
    <w:sdt>
      <w:sdtPr>
        <w:tag w:val="_PLD_577259088e7c4490b8642884af14cb50"/>
        <w:id w:val="8018"/>
      </w:sdtPr>
      <w:sdtEndPr>
        <w:rPr>
          <w:rFonts w:cs="Times New Roman" w:asciiTheme="minorEastAsia" w:hAnsiTheme="minorEastAsia" w:eastAsiaTheme="minorEastAsia"/>
          <w:b/>
          <w:bCs/>
          <w:kern w:val="2"/>
          <w:szCs w:val="28"/>
        </w:rPr>
      </w:sdtEndPr>
      <w:sdtContent>
        <w:p>
          <w:pPr>
            <w:pStyle w:val="5"/>
            <w:numPr>
              <w:ilvl w:val="3"/>
              <w:numId w:val="117"/>
            </w:numPr>
            <w:ind w:left="424" w:hanging="426" w:hangingChars="202"/>
            <w:rPr>
              <w:rFonts w:hint="eastAsia"/>
            </w:rPr>
          </w:pPr>
          <w:bookmarkStart w:id="370" w:name="_Hlk213680039"/>
          <w:r>
            <w:rPr>
              <w:rFonts w:hint="eastAsia"/>
            </w:rPr>
            <w:t>关联租赁情况</w:t>
          </w:r>
        </w:p>
      </w:sdtContent>
    </w:sdt>
    <w:p>
      <w:pPr>
        <w:rPr>
          <w:szCs w:val="21"/>
        </w:rPr>
      </w:pPr>
      <w:r>
        <w:rPr>
          <w:rFonts w:hint="eastAsia"/>
          <w:szCs w:val="21"/>
        </w:rPr>
        <w:t>本公司作为出租方：</w:t>
      </w:r>
    </w:p>
    <w:sdt>
      <w:sdtPr>
        <w:rPr>
          <w:szCs w:val="21"/>
        </w:rPr>
        <w:alias w:val="是否适用：本公司作为出租方的租赁情况表[双击切换]"/>
        <w:tag w:val="_GBC_b67e8ccf7ec147d698f9f192968e98bf"/>
        <w:id w:val="8019"/>
        <w:placeholder>
          <w:docPart w:val="GBC22222222222222222222222222222"/>
        </w:placeholder>
      </w:sdtPr>
      <w:sdtEndPr>
        <w:rPr>
          <w:szCs w:val="21"/>
        </w:rPr>
      </w:sdtEndPr>
      <w:sdtContent>
        <w:p>
          <w:pPr>
            <w:rPr>
              <w:rFonts w:ascii="宋体" w:hAnsi="宋体"/>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p>
          <w:pPr>
            <w:rPr>
              <w:szCs w:val="21"/>
            </w:rPr>
          </w:pPr>
        </w:p>
      </w:sdtContent>
    </w:sdt>
    <w:p>
      <w:pPr>
        <w:rPr>
          <w:szCs w:val="21"/>
        </w:rPr>
      </w:pPr>
      <w:r>
        <w:rPr>
          <w:rFonts w:hint="eastAsia"/>
          <w:szCs w:val="21"/>
        </w:rPr>
        <w:t>本公司作为承租方：</w:t>
      </w:r>
    </w:p>
    <w:sdt>
      <w:sdtPr>
        <w:rPr>
          <w:szCs w:val="21"/>
        </w:rPr>
        <w:alias w:val="是否适用：本公司作为承租方的租赁情况表[双击切换]"/>
        <w:tag w:val="_GBC_f8542afd84e2430aad299d7024543330"/>
        <w:id w:val="8020"/>
        <w:placeholder>
          <w:docPart w:val="GBC22222222222222222222222222222"/>
        </w:placeholder>
      </w:sdtPr>
      <w:sdtEndPr>
        <w:rPr>
          <w:szCs w:val="21"/>
        </w:rPr>
      </w:sdtEndPr>
      <w:sdtContent>
        <w:p>
          <w:pPr>
            <w:rPr>
              <w:rFonts w:ascii="宋体" w:hAnsi="宋体"/>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p>
          <w:pPr>
            <w:rPr>
              <w:szCs w:val="21"/>
            </w:rPr>
          </w:pPr>
        </w:p>
      </w:sdtContent>
    </w:sdt>
    <w:p>
      <w:pPr>
        <w:rPr>
          <w:szCs w:val="21"/>
        </w:rPr>
      </w:pPr>
      <w:r>
        <w:rPr>
          <w:rFonts w:hint="eastAsia"/>
          <w:szCs w:val="21"/>
        </w:rPr>
        <w:t>关联租赁情况说明</w:t>
      </w:r>
    </w:p>
    <w:sdt>
      <w:sdtPr>
        <w:rPr>
          <w:szCs w:val="21"/>
        </w:rPr>
        <w:alias w:val="是否适用：关联租赁情况说明[双击切换]"/>
        <w:tag w:val="_GBC_f11304240a9e46d8b340976a035205d3"/>
        <w:id w:val="8021"/>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bookmarkEnd w:id="370"/>
    <w:p>
      <w:pPr>
        <w:pStyle w:val="5"/>
        <w:numPr>
          <w:ilvl w:val="3"/>
          <w:numId w:val="117"/>
        </w:numPr>
        <w:ind w:left="424" w:hanging="426" w:hangingChars="202"/>
        <w:rPr>
          <w:rFonts w:hint="eastAsia"/>
        </w:rPr>
      </w:pPr>
      <w:r>
        <w:rPr>
          <w:rFonts w:hint="eastAsia"/>
        </w:rPr>
        <w:t>关联担保情况</w:t>
      </w:r>
    </w:p>
    <w:p>
      <w:r>
        <w:rPr>
          <w:rFonts w:hint="eastAsia"/>
        </w:rPr>
        <w:t>本公司作为担保方</w:t>
      </w:r>
    </w:p>
    <w:sdt>
      <w:sdtPr>
        <w:alias w:val="是否适用：本公司作为担保方的担保情况表[双击切换]"/>
        <w:tag w:val="_GBC_4ba390d56c0645788c7893af84ca2773"/>
        <w:id w:val="8022"/>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rPr>
          <w:rFonts w:ascii="Cambria" w:hAnsi="Cambria" w:cs="Cambria"/>
        </w:rPr>
      </w:pPr>
      <w:r>
        <w:rPr>
          <w:rFonts w:hint="eastAsia" w:ascii="Cambria" w:hAnsi="Cambria" w:cs="Cambria"/>
        </w:rPr>
        <w:t>本公司作为被担保方</w:t>
      </w:r>
    </w:p>
    <w:sdt>
      <w:sdtPr>
        <w:rPr>
          <w:rFonts w:ascii="Cambria" w:hAnsi="Cambria" w:cs="Cambria"/>
        </w:rPr>
        <w:alias w:val="是否适用：本公司作为被担保方的担保情况表[双击切换]"/>
        <w:tag w:val="_GBC_24ee28d66e214f089c669dca4a51a3a4"/>
        <w:id w:val="8023"/>
        <w:placeholder>
          <w:docPart w:val="GBC22222222222222222222222222222"/>
        </w:placeholder>
      </w:sdtPr>
      <w:sdtEndPr>
        <w:rPr>
          <w:rFonts w:ascii="Cambria" w:hAnsi="Cambria" w:cs="Cambria"/>
        </w:rPr>
      </w:sdtEndPr>
      <w:sdtContent>
        <w:p>
          <w:pPr>
            <w:rPr>
              <w:rFonts w:ascii="Cambria" w:hAnsi="Cambria" w:cs="Cambria"/>
            </w:rPr>
          </w:pPr>
          <w:r>
            <w:rPr>
              <w:rFonts w:ascii="宋体" w:hAnsi="宋体" w:cs="Cambria"/>
            </w:rPr>
            <w:fldChar w:fldCharType="begin"/>
          </w:r>
          <w:r>
            <w:rPr>
              <w:rFonts w:hint="eastAsia" w:ascii="宋体" w:hAnsi="宋体" w:cs="Cambria"/>
            </w:rPr>
            <w:instrText xml:space="preserve">MACROBUTTON  SnrToggleCheckbox □适用 </w:instrText>
          </w:r>
          <w:r>
            <w:rPr>
              <w:rFonts w:ascii="宋体" w:hAnsi="宋体" w:cs="Cambria"/>
            </w:rPr>
            <w:fldChar w:fldCharType="end"/>
          </w:r>
          <w:r>
            <w:rPr>
              <w:rFonts w:ascii="宋体" w:hAnsi="宋体" w:cs="Cambria"/>
            </w:rPr>
            <w:fldChar w:fldCharType="begin"/>
          </w:r>
          <w:r>
            <w:rPr>
              <w:rFonts w:ascii="宋体" w:hAnsi="宋体" w:cs="Cambria"/>
            </w:rPr>
            <w:instrText xml:space="preserve"> MACROBUTTON  SnrToggleCheckbox √不适用 </w:instrText>
          </w:r>
          <w:r>
            <w:rPr>
              <w:rFonts w:ascii="宋体" w:hAnsi="宋体" w:cs="Cambria"/>
            </w:rPr>
            <w:fldChar w:fldCharType="end"/>
          </w:r>
        </w:p>
      </w:sdtContent>
    </w:sdt>
    <w:p/>
    <w:p>
      <w:pPr>
        <w:rPr>
          <w:rFonts w:ascii="Cambria" w:hAnsi="Cambria" w:cs="Cambria"/>
        </w:rPr>
      </w:pPr>
      <w:r>
        <w:rPr>
          <w:rFonts w:hint="eastAsia" w:ascii="Cambria" w:hAnsi="Cambria" w:cs="Cambria"/>
        </w:rPr>
        <w:t>关联担保情况说明</w:t>
      </w:r>
    </w:p>
    <w:sdt>
      <w:sdtPr>
        <w:rPr>
          <w:rFonts w:ascii="Cambria" w:hAnsi="Cambria" w:cs="Cambria"/>
        </w:rPr>
        <w:alias w:val="是否适用：关联担保情况说明[双击切换]"/>
        <w:tag w:val="_GBC_455c21d6a2674726afee6a2386be7898"/>
        <w:id w:val="8024"/>
        <w:placeholder>
          <w:docPart w:val="GBC22222222222222222222222222222"/>
        </w:placeholder>
      </w:sdtPr>
      <w:sdtEndPr>
        <w:rPr>
          <w:rFonts w:ascii="Cambria" w:hAnsi="Cambria" w:cs="Cambria"/>
        </w:rPr>
      </w:sdtEndPr>
      <w:sdtContent>
        <w:p>
          <w:pPr>
            <w:rPr>
              <w:rFonts w:ascii="Cambria" w:hAnsi="Cambria" w:cs="Cambria"/>
            </w:rPr>
          </w:pPr>
          <w:r>
            <w:rPr>
              <w:rFonts w:ascii="宋体" w:hAnsi="宋体" w:cs="Cambria"/>
            </w:rPr>
            <w:fldChar w:fldCharType="begin"/>
          </w:r>
          <w:r>
            <w:rPr>
              <w:rFonts w:hint="eastAsia" w:ascii="宋体" w:hAnsi="宋体" w:cs="Cambria"/>
            </w:rPr>
            <w:instrText xml:space="preserve">MACROBUTTON  SnrToggleCheckbox □适用 </w:instrText>
          </w:r>
          <w:r>
            <w:rPr>
              <w:rFonts w:ascii="宋体" w:hAnsi="宋体" w:cs="Cambria"/>
            </w:rPr>
            <w:fldChar w:fldCharType="end"/>
          </w:r>
          <w:r>
            <w:rPr>
              <w:rFonts w:ascii="宋体" w:hAnsi="宋体" w:cs="Cambria"/>
            </w:rPr>
            <w:fldChar w:fldCharType="begin"/>
          </w:r>
          <w:r>
            <w:rPr>
              <w:rFonts w:ascii="宋体" w:hAnsi="宋体" w:cs="Cambria"/>
            </w:rPr>
            <w:instrText xml:space="preserve"> MACROBUTTON  SnrToggleCheckbox √不适用 </w:instrText>
          </w:r>
          <w:r>
            <w:rPr>
              <w:rFonts w:ascii="宋体" w:hAnsi="宋体" w:cs="Cambria"/>
            </w:rPr>
            <w:fldChar w:fldCharType="end"/>
          </w:r>
        </w:p>
      </w:sdtContent>
    </w:sdt>
    <w:p>
      <w:pPr>
        <w:rPr>
          <w:rFonts w:ascii="Cambria" w:hAnsi="Cambria" w:cs="Cambria"/>
          <w:sz w:val="20"/>
        </w:rPr>
      </w:pPr>
    </w:p>
    <w:p>
      <w:pPr>
        <w:pStyle w:val="5"/>
        <w:numPr>
          <w:ilvl w:val="3"/>
          <w:numId w:val="117"/>
        </w:numPr>
        <w:ind w:left="424" w:hanging="426" w:hangingChars="202"/>
        <w:rPr>
          <w:rFonts w:hint="eastAsia"/>
        </w:rPr>
      </w:pPr>
      <w:r>
        <w:rPr>
          <w:rFonts w:hint="eastAsia"/>
        </w:rPr>
        <w:t>关联方资金拆借</w:t>
      </w:r>
    </w:p>
    <w:sdt>
      <w:sdtPr>
        <w:alias w:val="是否适用：关联方资金拆借[双击切换]"/>
        <w:tag w:val="_GBC_9b5630a86e1e452494249106e2600b15"/>
        <w:id w:val="8025"/>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pStyle w:val="5"/>
        <w:numPr>
          <w:ilvl w:val="3"/>
          <w:numId w:val="117"/>
        </w:numPr>
        <w:ind w:left="424" w:hanging="426" w:hangingChars="202"/>
        <w:rPr>
          <w:rFonts w:hint="eastAsia"/>
        </w:rPr>
      </w:pPr>
      <w:r>
        <w:rPr>
          <w:rFonts w:hint="eastAsia"/>
        </w:rPr>
        <w:t>关联方资产转让、债务重组情况</w:t>
      </w:r>
    </w:p>
    <w:sdt>
      <w:sdtPr>
        <w:alias w:val="是否适用：关联方资产转让、债务重组情况[双击切换]"/>
        <w:tag w:val="_GBC_6f8fce72ce784c23aba8af28c51de336"/>
        <w:id w:val="8026"/>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
        <w:numPr>
          <w:ilvl w:val="3"/>
          <w:numId w:val="117"/>
        </w:numPr>
        <w:ind w:left="424" w:hanging="426" w:hangingChars="202"/>
        <w:rPr>
          <w:rFonts w:hint="eastAsia"/>
        </w:rPr>
      </w:pPr>
      <w:r>
        <w:rPr>
          <w:rFonts w:hint="eastAsia"/>
        </w:rPr>
        <w:t>关键管理人员报酬</w:t>
      </w:r>
    </w:p>
    <w:sdt>
      <w:sdtPr>
        <w:alias w:val="是否适用：关键管理人员报酬[双击切换]"/>
        <w:tag w:val="_GBC_4768ccd806f845f4b6f5f0ec038ec747"/>
        <w:id w:val="8027"/>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rFonts w:ascii="Cambria" w:hAnsi="Cambria" w:cs="Cambria"/>
        </w:rPr>
      </w:pPr>
      <w:r>
        <w:rPr>
          <w:rFonts w:hint="eastAsia" w:ascii="Cambria" w:hAnsi="Cambria" w:cs="Cambria"/>
        </w:rPr>
        <w:t>单位：</w:t>
      </w:r>
      <w:sdt>
        <w:sdtPr>
          <w:rPr>
            <w:rFonts w:hint="eastAsia" w:ascii="Cambria" w:hAnsi="Cambria" w:cs="Cambria"/>
          </w:rPr>
          <w:alias w:val="单位：财务附注：关键管理人员报酬"/>
          <w:tag w:val="_GBC_3dcac03c36954e5ab3dab539e6a2f735"/>
          <w:id w:val="802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ascii="Cambria" w:hAnsi="Cambria" w:cs="Cambria"/>
          </w:rPr>
        </w:sdtEndPr>
        <w:sdtContent>
          <w:r>
            <w:rPr>
              <w:rFonts w:hint="eastAsia" w:ascii="Cambria" w:hAnsi="Cambria" w:cs="Cambria"/>
            </w:rPr>
            <w:t>万元</w:t>
          </w:r>
        </w:sdtContent>
      </w:sdt>
      <w:r>
        <w:rPr>
          <w:rFonts w:hint="eastAsia" w:ascii="Cambria" w:hAnsi="Cambria" w:cs="Cambria"/>
        </w:rPr>
        <w:t xml:space="preserve">  币种：</w:t>
      </w:r>
      <w:sdt>
        <w:sdtPr>
          <w:rPr>
            <w:rFonts w:hint="eastAsia" w:ascii="Cambria" w:hAnsi="Cambria" w:cs="Cambria"/>
          </w:rPr>
          <w:alias w:val="币种：财务附注：关键管理人员报酬"/>
          <w:tag w:val="_GBC_9bf846a4da0046829fd7baa3fd1fe348"/>
          <w:id w:val="802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ascii="Cambria" w:hAnsi="Cambria" w:cs="Cambria"/>
          </w:rPr>
        </w:sdtEndPr>
        <w:sdtContent>
          <w:r>
            <w:rPr>
              <w:rFonts w:hint="eastAsia" w:ascii="Cambria" w:hAnsi="Cambria" w:cs="Cambr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73"/>
        <w:gridCol w:w="3273"/>
        <w:gridCol w:w="2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73" w:type="dxa"/>
            <w:tcBorders>
              <w:top w:val="single" w:color="auto" w:sz="4" w:space="0"/>
              <w:left w:val="single" w:color="auto" w:sz="4" w:space="0"/>
              <w:bottom w:val="single" w:color="auto" w:sz="4" w:space="0"/>
              <w:right w:val="single" w:color="auto" w:sz="4" w:space="0"/>
            </w:tcBorders>
            <w:vAlign w:val="center"/>
          </w:tcPr>
          <w:sdt>
            <w:sdtPr>
              <w:tag w:val="_PLD_3d38745be5c64397b1dab92289838da1"/>
              <w:id w:val="8030"/>
            </w:sdtPr>
            <w:sdtContent>
              <w:p>
                <w:pPr>
                  <w:jc w:val="center"/>
                  <w:rPr>
                    <w:rFonts w:cs="Cambria"/>
                  </w:rPr>
                </w:pPr>
                <w:r>
                  <w:rPr>
                    <w:rFonts w:hint="eastAsia" w:cs="Cambria"/>
                  </w:rPr>
                  <w:t>项目</w:t>
                </w:r>
              </w:p>
            </w:sdtContent>
          </w:sdt>
        </w:tc>
        <w:tc>
          <w:tcPr>
            <w:tcW w:w="3273" w:type="dxa"/>
            <w:tcBorders>
              <w:top w:val="single" w:color="auto" w:sz="4" w:space="0"/>
              <w:left w:val="single" w:color="auto" w:sz="4" w:space="0"/>
              <w:bottom w:val="single" w:color="auto" w:sz="4" w:space="0"/>
              <w:right w:val="single" w:color="auto" w:sz="4" w:space="0"/>
            </w:tcBorders>
            <w:vAlign w:val="center"/>
          </w:tcPr>
          <w:sdt>
            <w:sdtPr>
              <w:tag w:val="_PLD_31133ff59dcf4a7b93a7991d1f435b05"/>
              <w:id w:val="8031"/>
            </w:sdtPr>
            <w:sdtContent>
              <w:p>
                <w:pPr>
                  <w:jc w:val="center"/>
                  <w:rPr>
                    <w:rFonts w:cs="Cambria"/>
                  </w:rPr>
                </w:pPr>
                <w:r>
                  <w:rPr>
                    <w:rFonts w:hint="eastAsia" w:cs="Cambria"/>
                  </w:rPr>
                  <w:t>本期发生额</w:t>
                </w:r>
              </w:p>
            </w:sdtContent>
          </w:sdt>
        </w:tc>
        <w:tc>
          <w:tcPr>
            <w:tcW w:w="2501" w:type="dxa"/>
            <w:tcBorders>
              <w:top w:val="single" w:color="auto" w:sz="4" w:space="0"/>
              <w:left w:val="single" w:color="auto" w:sz="4" w:space="0"/>
              <w:bottom w:val="single" w:color="auto" w:sz="4" w:space="0"/>
              <w:right w:val="single" w:color="auto" w:sz="4" w:space="0"/>
            </w:tcBorders>
            <w:vAlign w:val="center"/>
          </w:tcPr>
          <w:sdt>
            <w:sdtPr>
              <w:tag w:val="_PLD_e08658a238f7419ca0d4ce3386ff565e"/>
              <w:id w:val="8032"/>
            </w:sdtPr>
            <w:sdtContent>
              <w:p>
                <w:pPr>
                  <w:jc w:val="center"/>
                  <w:rPr>
                    <w:rFonts w:cs="Cambria"/>
                  </w:rPr>
                </w:pPr>
                <w:r>
                  <w:rPr>
                    <w:rFonts w:hint="eastAsia" w:cs="Cambria"/>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73" w:type="dxa"/>
            <w:tcBorders>
              <w:top w:val="single" w:color="auto" w:sz="4" w:space="0"/>
              <w:left w:val="single" w:color="auto" w:sz="4" w:space="0"/>
              <w:bottom w:val="single" w:color="auto" w:sz="4" w:space="0"/>
              <w:right w:val="single" w:color="auto" w:sz="4" w:space="0"/>
            </w:tcBorders>
            <w:vAlign w:val="center"/>
          </w:tcPr>
          <w:p>
            <w:pPr>
              <w:rPr>
                <w:rFonts w:cs="Cambria"/>
              </w:rPr>
            </w:pPr>
            <w:r>
              <w:rPr>
                <w:rFonts w:hint="eastAsia" w:cs="Cambria"/>
              </w:rPr>
              <w:t>关键管理人员报酬</w:t>
            </w:r>
          </w:p>
        </w:tc>
        <w:tc>
          <w:tcPr>
            <w:tcW w:w="3273" w:type="dxa"/>
            <w:tcBorders>
              <w:top w:val="single" w:color="auto" w:sz="4" w:space="0"/>
              <w:left w:val="single" w:color="auto" w:sz="4" w:space="0"/>
              <w:bottom w:val="single" w:color="auto" w:sz="4" w:space="0"/>
              <w:right w:val="single" w:color="auto" w:sz="4" w:space="0"/>
            </w:tcBorders>
            <w:vAlign w:val="center"/>
          </w:tcPr>
          <w:p>
            <w:pPr>
              <w:jc w:val="right"/>
              <w:rPr>
                <w:rFonts w:cs="Cambria"/>
              </w:rPr>
            </w:pPr>
            <w:r>
              <w:rPr>
                <w:rFonts w:hint="eastAsia"/>
                <w:color w:val="auto"/>
              </w:rPr>
              <w:t>194.05</w:t>
            </w:r>
          </w:p>
        </w:tc>
        <w:tc>
          <w:tcPr>
            <w:tcW w:w="2501" w:type="dxa"/>
            <w:tcBorders>
              <w:top w:val="single" w:color="auto" w:sz="4" w:space="0"/>
              <w:left w:val="single" w:color="auto" w:sz="4" w:space="0"/>
              <w:bottom w:val="single" w:color="auto" w:sz="4" w:space="0"/>
              <w:right w:val="single" w:color="auto" w:sz="4" w:space="0"/>
            </w:tcBorders>
            <w:vAlign w:val="center"/>
          </w:tcPr>
          <w:p>
            <w:pPr>
              <w:jc w:val="right"/>
              <w:rPr>
                <w:rFonts w:cs="Cambria"/>
              </w:rPr>
            </w:pPr>
            <w:r>
              <w:rPr>
                <w:rFonts w:hint="eastAsia"/>
                <w:color w:val="auto"/>
              </w:rPr>
              <w:t>227.46</w:t>
            </w:r>
          </w:p>
        </w:tc>
      </w:tr>
    </w:tbl>
    <w:p/>
    <w:p>
      <w:pPr>
        <w:pStyle w:val="5"/>
        <w:numPr>
          <w:ilvl w:val="3"/>
          <w:numId w:val="117"/>
        </w:numPr>
        <w:ind w:left="424" w:hanging="426" w:hangingChars="202"/>
        <w:rPr>
          <w:rFonts w:hint="eastAsia"/>
        </w:rPr>
      </w:pPr>
      <w:r>
        <w:rPr>
          <w:rFonts w:hint="eastAsia"/>
        </w:rPr>
        <w:t>其他关联交易</w:t>
      </w:r>
    </w:p>
    <w:sdt>
      <w:sdtPr>
        <w:rPr>
          <w:rFonts w:hint="eastAsia"/>
          <w:szCs w:val="21"/>
        </w:rPr>
        <w:alias w:val="是否适用：其他关联交易[双击切换]"/>
        <w:tag w:val="_GBC_a1203a07d7684e08bdc2f1959f1cb9ae"/>
        <w:id w:val="8033"/>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4"/>
        <w:numPr>
          <w:ilvl w:val="0"/>
          <w:numId w:val="116"/>
        </w:numPr>
        <w:ind w:left="450" w:hanging="450"/>
        <w:rPr>
          <w:rFonts w:hint="eastAsia" w:ascii="宋体" w:hAnsi="宋体" w:cs="Arial"/>
          <w:szCs w:val="21"/>
        </w:rPr>
      </w:pPr>
      <w:r>
        <w:rPr>
          <w:rFonts w:hint="eastAsia" w:ascii="宋体" w:hAnsi="宋体" w:cs="Arial"/>
          <w:szCs w:val="21"/>
        </w:rPr>
        <w:t>应收、应付关联方等未结算项目情况</w:t>
      </w:r>
    </w:p>
    <w:p>
      <w:pPr>
        <w:pStyle w:val="5"/>
        <w:numPr>
          <w:ilvl w:val="3"/>
          <w:numId w:val="118"/>
        </w:numPr>
        <w:ind w:left="424" w:hanging="426" w:hangingChars="202"/>
        <w:rPr>
          <w:rFonts w:hint="eastAsia" w:ascii="宋体" w:hAnsi="宋体" w:cs="Arial"/>
          <w:szCs w:val="21"/>
        </w:rPr>
      </w:pPr>
      <w:r>
        <w:rPr>
          <w:rFonts w:hint="eastAsia"/>
        </w:rPr>
        <w:t>应收项目</w:t>
      </w:r>
    </w:p>
    <w:sdt>
      <w:sdtPr>
        <w:rPr>
          <w:rFonts w:hint="eastAsia"/>
          <w:szCs w:val="21"/>
        </w:rPr>
        <w:alias w:val="是否适用：应收项目[双击切换]"/>
        <w:tag w:val="_GBC_4ae94d538d2e44ae839d59a1751a6d01"/>
        <w:id w:val="8034"/>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jc w:val="right"/>
        <w:rPr>
          <w:szCs w:val="21"/>
        </w:rPr>
      </w:pPr>
      <w:r>
        <w:rPr>
          <w:rFonts w:hint="eastAsia"/>
          <w:szCs w:val="21"/>
        </w:rPr>
        <w:t>单位：</w:t>
      </w:r>
      <w:sdt>
        <w:sdtPr>
          <w:rPr>
            <w:rFonts w:hint="eastAsia"/>
            <w:szCs w:val="21"/>
          </w:rPr>
          <w:alias w:val="单位：上市公司应收关联方款项"/>
          <w:tag w:val="_GBC_83968b233566404db428b085bcb695b8"/>
          <w:id w:val="803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上市公司应收关联方款项"/>
          <w:tag w:val="_GBC_546206ef37784e9ca5284158e64b95dc"/>
          <w:id w:val="803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3"/>
        <w:gridCol w:w="1424"/>
        <w:gridCol w:w="1389"/>
        <w:gridCol w:w="1388"/>
        <w:gridCol w:w="1516"/>
        <w:gridCol w:w="1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3" w:type="dxa"/>
            <w:vMerge w:val="restart"/>
            <w:tcBorders>
              <w:top w:val="single" w:color="auto" w:sz="4" w:space="0"/>
              <w:left w:val="single" w:color="auto" w:sz="4" w:space="0"/>
              <w:right w:val="single" w:color="auto" w:sz="4" w:space="0"/>
            </w:tcBorders>
            <w:vAlign w:val="center"/>
          </w:tcPr>
          <w:sdt>
            <w:sdtPr>
              <w:tag w:val="_PLD_c0c6dc2d23f94f929199b42c584f57ca"/>
              <w:id w:val="8037"/>
            </w:sdtPr>
            <w:sdtContent>
              <w:p>
                <w:pPr>
                  <w:jc w:val="center"/>
                  <w:rPr>
                    <w:szCs w:val="21"/>
                  </w:rPr>
                </w:pPr>
                <w:r>
                  <w:rPr>
                    <w:rFonts w:hint="eastAsia"/>
                    <w:szCs w:val="21"/>
                  </w:rPr>
                  <w:t>项目名称</w:t>
                </w:r>
              </w:p>
            </w:sdtContent>
          </w:sdt>
        </w:tc>
        <w:tc>
          <w:tcPr>
            <w:tcW w:w="1424" w:type="dxa"/>
            <w:vMerge w:val="restart"/>
            <w:tcBorders>
              <w:top w:val="single" w:color="auto" w:sz="4" w:space="0"/>
              <w:left w:val="single" w:color="auto" w:sz="4" w:space="0"/>
              <w:right w:val="single" w:color="auto" w:sz="4" w:space="0"/>
            </w:tcBorders>
            <w:vAlign w:val="center"/>
          </w:tcPr>
          <w:sdt>
            <w:sdtPr>
              <w:tag w:val="_PLD_56aedf077d5c4d3b814d04d193f71af7"/>
              <w:id w:val="8038"/>
            </w:sdtPr>
            <w:sdtContent>
              <w:p>
                <w:pPr>
                  <w:jc w:val="center"/>
                  <w:rPr>
                    <w:szCs w:val="21"/>
                  </w:rPr>
                </w:pPr>
                <w:r>
                  <w:rPr>
                    <w:rFonts w:hint="eastAsia"/>
                    <w:szCs w:val="21"/>
                  </w:rPr>
                  <w:t>关联方</w:t>
                </w:r>
              </w:p>
            </w:sdtContent>
          </w:sdt>
        </w:tc>
        <w:tc>
          <w:tcPr>
            <w:tcW w:w="2777" w:type="dxa"/>
            <w:gridSpan w:val="2"/>
            <w:tcBorders>
              <w:top w:val="single" w:color="auto" w:sz="4" w:space="0"/>
              <w:left w:val="single" w:color="auto" w:sz="4" w:space="0"/>
              <w:bottom w:val="single" w:color="auto" w:sz="4" w:space="0"/>
              <w:right w:val="single" w:color="auto" w:sz="4" w:space="0"/>
            </w:tcBorders>
            <w:vAlign w:val="center"/>
          </w:tcPr>
          <w:sdt>
            <w:sdtPr>
              <w:tag w:val="_PLD_e8867e7b52fb42f4b447e445a20beebc"/>
              <w:id w:val="8039"/>
            </w:sdtPr>
            <w:sdtContent>
              <w:p>
                <w:pPr>
                  <w:jc w:val="center"/>
                  <w:rPr>
                    <w:szCs w:val="21"/>
                  </w:rPr>
                </w:pPr>
                <w:r>
                  <w:rPr>
                    <w:rFonts w:hint="eastAsia"/>
                    <w:szCs w:val="21"/>
                  </w:rPr>
                  <w:t>期末余额</w:t>
                </w:r>
              </w:p>
            </w:sdtContent>
          </w:sdt>
        </w:tc>
        <w:tc>
          <w:tcPr>
            <w:tcW w:w="3412" w:type="dxa"/>
            <w:gridSpan w:val="2"/>
            <w:tcBorders>
              <w:top w:val="single" w:color="auto" w:sz="4" w:space="0"/>
              <w:left w:val="single" w:color="auto" w:sz="4" w:space="0"/>
              <w:bottom w:val="single" w:color="auto" w:sz="4" w:space="0"/>
              <w:right w:val="single" w:color="auto" w:sz="4" w:space="0"/>
            </w:tcBorders>
            <w:vAlign w:val="center"/>
          </w:tcPr>
          <w:sdt>
            <w:sdtPr>
              <w:tag w:val="_PLD_6a4888e558004037a5faac678bea523c"/>
              <w:id w:val="8040"/>
            </w:sdtPr>
            <w:sdtContent>
              <w:p>
                <w:pPr>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3" w:type="dxa"/>
            <w:vMerge w:val="continue"/>
            <w:tcBorders>
              <w:left w:val="single" w:color="auto" w:sz="4" w:space="0"/>
              <w:bottom w:val="single" w:color="auto" w:sz="4" w:space="0"/>
              <w:right w:val="single" w:color="auto" w:sz="4" w:space="0"/>
            </w:tcBorders>
            <w:vAlign w:val="center"/>
          </w:tcPr>
          <w:p>
            <w:pPr>
              <w:jc w:val="center"/>
              <w:rPr>
                <w:szCs w:val="21"/>
              </w:rPr>
            </w:pPr>
          </w:p>
        </w:tc>
        <w:tc>
          <w:tcPr>
            <w:tcW w:w="1424" w:type="dxa"/>
            <w:vMerge w:val="continue"/>
            <w:tcBorders>
              <w:left w:val="single" w:color="auto" w:sz="4" w:space="0"/>
              <w:bottom w:val="single" w:color="auto" w:sz="4" w:space="0"/>
              <w:right w:val="single" w:color="auto" w:sz="4" w:space="0"/>
            </w:tcBorders>
            <w:vAlign w:val="center"/>
          </w:tcPr>
          <w:p>
            <w:pPr>
              <w:jc w:val="center"/>
              <w:rPr>
                <w:szCs w:val="21"/>
              </w:rPr>
            </w:pPr>
          </w:p>
        </w:tc>
        <w:tc>
          <w:tcPr>
            <w:tcW w:w="1389" w:type="dxa"/>
            <w:tcBorders>
              <w:top w:val="single" w:color="auto" w:sz="4" w:space="0"/>
              <w:left w:val="single" w:color="auto" w:sz="4" w:space="0"/>
              <w:bottom w:val="single" w:color="auto" w:sz="4" w:space="0"/>
              <w:right w:val="single" w:color="auto" w:sz="4" w:space="0"/>
            </w:tcBorders>
            <w:vAlign w:val="center"/>
          </w:tcPr>
          <w:sdt>
            <w:sdtPr>
              <w:tag w:val="_PLD_0545f54235344f978e1e8356e1b05042"/>
              <w:id w:val="8041"/>
            </w:sdtPr>
            <w:sdtContent>
              <w:p>
                <w:pPr>
                  <w:jc w:val="center"/>
                  <w:rPr>
                    <w:szCs w:val="21"/>
                  </w:rPr>
                </w:pPr>
                <w:r>
                  <w:rPr>
                    <w:rFonts w:hint="eastAsia"/>
                    <w:szCs w:val="21"/>
                  </w:rPr>
                  <w:t>账面余额</w:t>
                </w:r>
              </w:p>
            </w:sdtContent>
          </w:sdt>
        </w:tc>
        <w:tc>
          <w:tcPr>
            <w:tcW w:w="1388" w:type="dxa"/>
            <w:tcBorders>
              <w:top w:val="single" w:color="auto" w:sz="4" w:space="0"/>
              <w:left w:val="single" w:color="auto" w:sz="4" w:space="0"/>
              <w:bottom w:val="single" w:color="auto" w:sz="4" w:space="0"/>
              <w:right w:val="single" w:color="auto" w:sz="4" w:space="0"/>
            </w:tcBorders>
            <w:vAlign w:val="center"/>
          </w:tcPr>
          <w:sdt>
            <w:sdtPr>
              <w:tag w:val="_PLD_9e6982f3b5cd46e9b3be23eda364cd7a"/>
              <w:id w:val="8042"/>
            </w:sdtPr>
            <w:sdtContent>
              <w:p>
                <w:pPr>
                  <w:jc w:val="center"/>
                  <w:rPr>
                    <w:szCs w:val="21"/>
                  </w:rPr>
                </w:pPr>
                <w:r>
                  <w:rPr>
                    <w:rFonts w:hint="eastAsia"/>
                    <w:szCs w:val="21"/>
                  </w:rPr>
                  <w:t>坏账准备</w:t>
                </w:r>
              </w:p>
            </w:sdtContent>
          </w:sdt>
        </w:tc>
        <w:tc>
          <w:tcPr>
            <w:tcW w:w="1516" w:type="dxa"/>
            <w:tcBorders>
              <w:top w:val="single" w:color="auto" w:sz="4" w:space="0"/>
              <w:left w:val="single" w:color="auto" w:sz="4" w:space="0"/>
              <w:bottom w:val="single" w:color="auto" w:sz="4" w:space="0"/>
              <w:right w:val="single" w:color="auto" w:sz="4" w:space="0"/>
            </w:tcBorders>
            <w:vAlign w:val="center"/>
          </w:tcPr>
          <w:sdt>
            <w:sdtPr>
              <w:tag w:val="_PLD_5c8e0a4ac99e4539bea932f77317d8de"/>
              <w:id w:val="8043"/>
            </w:sdtPr>
            <w:sdtContent>
              <w:p>
                <w:pPr>
                  <w:jc w:val="center"/>
                  <w:rPr>
                    <w:szCs w:val="21"/>
                  </w:rPr>
                </w:pPr>
                <w:r>
                  <w:rPr>
                    <w:rFonts w:hint="eastAsia"/>
                    <w:szCs w:val="21"/>
                  </w:rPr>
                  <w:t>账面余额</w:t>
                </w:r>
              </w:p>
            </w:sdtContent>
          </w:sdt>
        </w:tc>
        <w:tc>
          <w:tcPr>
            <w:tcW w:w="1896" w:type="dxa"/>
            <w:tcBorders>
              <w:top w:val="single" w:color="auto" w:sz="4" w:space="0"/>
              <w:left w:val="single" w:color="auto" w:sz="4" w:space="0"/>
              <w:bottom w:val="single" w:color="auto" w:sz="4" w:space="0"/>
              <w:right w:val="single" w:color="auto" w:sz="4" w:space="0"/>
            </w:tcBorders>
            <w:vAlign w:val="center"/>
          </w:tcPr>
          <w:sdt>
            <w:sdtPr>
              <w:tag w:val="_PLD_c5afa9908d794831a4bc715802a1061d"/>
              <w:id w:val="8044"/>
            </w:sdtPr>
            <w:sdtContent>
              <w:p>
                <w:pPr>
                  <w:jc w:val="center"/>
                  <w:rPr>
                    <w:szCs w:val="21"/>
                  </w:rPr>
                </w:pPr>
                <w:r>
                  <w:rPr>
                    <w:rFonts w:hint="eastAsia"/>
                    <w:szCs w:val="21"/>
                  </w:rPr>
                  <w:t>坏账准备</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hint="eastAsia"/>
                <w:szCs w:val="21"/>
              </w:rPr>
            </w:pPr>
            <w:r>
              <w:rPr>
                <w:rFonts w:hint="eastAsia"/>
                <w:color w:val="auto"/>
                <w:szCs w:val="21"/>
              </w:rPr>
              <w:t>应收账款</w:t>
            </w:r>
          </w:p>
        </w:tc>
        <w:tc>
          <w:tcPr>
            <w:tcW w:w="142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szCs w:val="21"/>
              </w:rPr>
            </w:pPr>
            <w:r>
              <w:rPr>
                <w:rFonts w:hint="eastAsia"/>
                <w:color w:val="auto"/>
                <w:szCs w:val="21"/>
              </w:rPr>
              <w:t>成都同基医药有限公司</w:t>
            </w:r>
          </w:p>
        </w:tc>
        <w:tc>
          <w:tcPr>
            <w:tcW w:w="138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r>
              <w:rPr>
                <w:rFonts w:hint="eastAsia"/>
                <w:color w:val="auto"/>
                <w:szCs w:val="21"/>
              </w:rPr>
              <w:t>472,231.68</w:t>
            </w:r>
          </w:p>
        </w:tc>
        <w:tc>
          <w:tcPr>
            <w:tcW w:w="138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r>
              <w:rPr>
                <w:rFonts w:hint="eastAsia"/>
                <w:color w:val="auto"/>
                <w:szCs w:val="21"/>
              </w:rPr>
              <w:t>472,231.68</w:t>
            </w:r>
          </w:p>
        </w:tc>
        <w:tc>
          <w:tcPr>
            <w:tcW w:w="151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r>
              <w:rPr>
                <w:rFonts w:hint="eastAsia"/>
                <w:color w:val="auto"/>
                <w:szCs w:val="21"/>
              </w:rPr>
              <w:t>472,231.68</w:t>
            </w:r>
          </w:p>
        </w:tc>
        <w:tc>
          <w:tcPr>
            <w:tcW w:w="18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r>
              <w:rPr>
                <w:rFonts w:hint="eastAsia"/>
                <w:color w:val="auto"/>
                <w:szCs w:val="21"/>
              </w:rPr>
              <w:t>472,231.68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hint="eastAsia"/>
                <w:szCs w:val="21"/>
              </w:rPr>
            </w:pPr>
            <w:r>
              <w:rPr>
                <w:rFonts w:hint="eastAsia"/>
                <w:color w:val="auto"/>
                <w:szCs w:val="21"/>
              </w:rPr>
              <w:t>其他应收款</w:t>
            </w:r>
          </w:p>
        </w:tc>
        <w:tc>
          <w:tcPr>
            <w:tcW w:w="142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szCs w:val="21"/>
              </w:rPr>
            </w:pPr>
            <w:r>
              <w:rPr>
                <w:rFonts w:hint="eastAsia"/>
                <w:color w:val="auto"/>
                <w:szCs w:val="21"/>
              </w:rPr>
              <w:t>广西亿康南药药业种植有限责任公司</w:t>
            </w:r>
          </w:p>
        </w:tc>
        <w:tc>
          <w:tcPr>
            <w:tcW w:w="138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r>
              <w:rPr>
                <w:rFonts w:hint="eastAsia"/>
                <w:color w:val="auto"/>
                <w:szCs w:val="21"/>
              </w:rPr>
              <w:t>3,801,452.43</w:t>
            </w:r>
          </w:p>
        </w:tc>
        <w:tc>
          <w:tcPr>
            <w:tcW w:w="138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r>
              <w:rPr>
                <w:rFonts w:hint="eastAsia"/>
                <w:color w:val="auto"/>
                <w:szCs w:val="21"/>
              </w:rPr>
              <w:t>3,801,452.43</w:t>
            </w:r>
          </w:p>
        </w:tc>
        <w:tc>
          <w:tcPr>
            <w:tcW w:w="151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r>
              <w:rPr>
                <w:rFonts w:hint="eastAsia"/>
                <w:color w:val="auto"/>
                <w:szCs w:val="21"/>
              </w:rPr>
              <w:t>3,801,452.43</w:t>
            </w:r>
          </w:p>
        </w:tc>
        <w:tc>
          <w:tcPr>
            <w:tcW w:w="18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r>
              <w:rPr>
                <w:rFonts w:hint="eastAsia"/>
                <w:color w:val="auto"/>
                <w:szCs w:val="21"/>
              </w:rPr>
              <w:t>3,801,452.43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hint="eastAsia"/>
                <w:szCs w:val="21"/>
              </w:rPr>
            </w:pPr>
            <w:r>
              <w:rPr>
                <w:rFonts w:hint="eastAsia"/>
                <w:color w:val="auto"/>
                <w:szCs w:val="21"/>
              </w:rPr>
              <w:t>其他应收款</w:t>
            </w:r>
          </w:p>
        </w:tc>
        <w:tc>
          <w:tcPr>
            <w:tcW w:w="142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szCs w:val="21"/>
              </w:rPr>
            </w:pPr>
            <w:r>
              <w:rPr>
                <w:rFonts w:hint="eastAsia"/>
                <w:color w:val="auto"/>
                <w:szCs w:val="21"/>
              </w:rPr>
              <w:t>柳州市玉洁口腔卫生用品有限责任公司</w:t>
            </w:r>
          </w:p>
        </w:tc>
        <w:tc>
          <w:tcPr>
            <w:tcW w:w="138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r>
              <w:rPr>
                <w:rFonts w:hint="eastAsia"/>
                <w:color w:val="auto"/>
                <w:szCs w:val="21"/>
              </w:rPr>
              <w:t>379,755.30</w:t>
            </w:r>
          </w:p>
        </w:tc>
        <w:tc>
          <w:tcPr>
            <w:tcW w:w="138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r>
              <w:rPr>
                <w:rFonts w:hint="eastAsia"/>
                <w:color w:val="auto"/>
                <w:szCs w:val="21"/>
              </w:rPr>
              <w:t>379,755.30</w:t>
            </w:r>
          </w:p>
        </w:tc>
        <w:tc>
          <w:tcPr>
            <w:tcW w:w="151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r>
              <w:rPr>
                <w:rFonts w:hint="eastAsia"/>
                <w:color w:val="auto"/>
                <w:szCs w:val="21"/>
              </w:rPr>
              <w:t>379,755.30</w:t>
            </w:r>
          </w:p>
        </w:tc>
        <w:tc>
          <w:tcPr>
            <w:tcW w:w="18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r>
              <w:rPr>
                <w:rFonts w:hint="eastAsia"/>
                <w:color w:val="auto"/>
                <w:szCs w:val="21"/>
              </w:rPr>
              <w:t>379,755.30</w:t>
            </w:r>
          </w:p>
        </w:tc>
      </w:tr>
    </w:tbl>
    <w:p>
      <w:pPr>
        <w:rPr>
          <w:rFonts w:ascii="仿宋_GB2312" w:eastAsia="仿宋_GB2312"/>
          <w:szCs w:val="21"/>
        </w:rPr>
      </w:pPr>
    </w:p>
    <w:p>
      <w:pPr>
        <w:pStyle w:val="5"/>
        <w:numPr>
          <w:ilvl w:val="3"/>
          <w:numId w:val="118"/>
        </w:numPr>
        <w:ind w:left="424" w:hanging="426" w:hangingChars="202"/>
        <w:rPr>
          <w:rFonts w:hint="eastAsia"/>
        </w:rPr>
      </w:pPr>
      <w:r>
        <w:rPr>
          <w:rFonts w:hint="eastAsia"/>
        </w:rPr>
        <w:t>应付项目</w:t>
      </w:r>
    </w:p>
    <w:sdt>
      <w:sdtPr>
        <w:rPr>
          <w:rFonts w:hint="eastAsia"/>
          <w:szCs w:val="21"/>
        </w:rPr>
        <w:alias w:val="是否适用：应付项目[双击切换]"/>
        <w:tag w:val="_GBC_41bc31a1fefb4e25918c1ece7c27be62"/>
        <w:id w:val="8045"/>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jc w:val="right"/>
        <w:rPr>
          <w:szCs w:val="21"/>
        </w:rPr>
      </w:pPr>
      <w:r>
        <w:rPr>
          <w:rFonts w:hint="eastAsia"/>
          <w:szCs w:val="21"/>
        </w:rPr>
        <w:t>单位：</w:t>
      </w:r>
      <w:sdt>
        <w:sdtPr>
          <w:rPr>
            <w:rFonts w:hint="eastAsia"/>
            <w:szCs w:val="21"/>
          </w:rPr>
          <w:alias w:val="单位：上市公司应付关联方款项"/>
          <w:tag w:val="_GBC_dda5edeadff34e4f829b49a813d869a1"/>
          <w:id w:val="804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上市公司应付关联方款项"/>
          <w:tag w:val="_GBC_5830ef25ff41407f8d8b3fde33e4bdf1"/>
          <w:id w:val="804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3"/>
        <w:gridCol w:w="2364"/>
        <w:gridCol w:w="2084"/>
        <w:gridCol w:w="2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83" w:type="dxa"/>
            <w:tcBorders>
              <w:top w:val="single" w:color="auto" w:sz="4" w:space="0"/>
              <w:left w:val="single" w:color="auto" w:sz="4" w:space="0"/>
              <w:right w:val="single" w:color="auto" w:sz="4" w:space="0"/>
            </w:tcBorders>
            <w:vAlign w:val="center"/>
          </w:tcPr>
          <w:sdt>
            <w:sdtPr>
              <w:tag w:val="_PLD_e606617d378f48ec942565c9488249ee"/>
              <w:id w:val="8048"/>
            </w:sdtPr>
            <w:sdtContent>
              <w:p>
                <w:pPr>
                  <w:jc w:val="center"/>
                  <w:rPr>
                    <w:szCs w:val="21"/>
                  </w:rPr>
                </w:pPr>
                <w:r>
                  <w:rPr>
                    <w:rFonts w:hint="eastAsia"/>
                    <w:szCs w:val="21"/>
                  </w:rPr>
                  <w:t>项目名称</w:t>
                </w:r>
              </w:p>
            </w:sdtContent>
          </w:sdt>
        </w:tc>
        <w:tc>
          <w:tcPr>
            <w:tcW w:w="2364" w:type="dxa"/>
            <w:tcBorders>
              <w:top w:val="single" w:color="auto" w:sz="4" w:space="0"/>
              <w:left w:val="single" w:color="auto" w:sz="4" w:space="0"/>
              <w:right w:val="single" w:color="auto" w:sz="4" w:space="0"/>
            </w:tcBorders>
            <w:vAlign w:val="center"/>
          </w:tcPr>
          <w:sdt>
            <w:sdtPr>
              <w:tag w:val="_PLD_8c0f65fb9987497db9d8cb750665f14a"/>
              <w:id w:val="8049"/>
            </w:sdtPr>
            <w:sdtContent>
              <w:p>
                <w:pPr>
                  <w:jc w:val="center"/>
                  <w:rPr>
                    <w:szCs w:val="21"/>
                  </w:rPr>
                </w:pPr>
                <w:r>
                  <w:rPr>
                    <w:rFonts w:hint="eastAsia"/>
                    <w:szCs w:val="21"/>
                  </w:rPr>
                  <w:t>关联方</w:t>
                </w:r>
              </w:p>
            </w:sdtContent>
          </w:sdt>
        </w:tc>
        <w:tc>
          <w:tcPr>
            <w:tcW w:w="2084" w:type="dxa"/>
            <w:tcBorders>
              <w:top w:val="single" w:color="auto" w:sz="4" w:space="0"/>
              <w:left w:val="single" w:color="auto" w:sz="4" w:space="0"/>
              <w:bottom w:val="single" w:color="auto" w:sz="4" w:space="0"/>
              <w:right w:val="single" w:color="auto" w:sz="4" w:space="0"/>
            </w:tcBorders>
            <w:vAlign w:val="center"/>
          </w:tcPr>
          <w:sdt>
            <w:sdtPr>
              <w:tag w:val="_PLD_6abb3a201708442494b9fede0eddf518"/>
              <w:id w:val="8050"/>
            </w:sdtPr>
            <w:sdtContent>
              <w:p>
                <w:pPr>
                  <w:jc w:val="center"/>
                  <w:rPr>
                    <w:szCs w:val="21"/>
                  </w:rPr>
                </w:pPr>
                <w:r>
                  <w:rPr>
                    <w:rFonts w:hint="eastAsia"/>
                    <w:szCs w:val="21"/>
                  </w:rPr>
                  <w:t>期末账面余额</w:t>
                </w:r>
              </w:p>
            </w:sdtContent>
          </w:sdt>
        </w:tc>
        <w:tc>
          <w:tcPr>
            <w:tcW w:w="2716" w:type="dxa"/>
            <w:tcBorders>
              <w:top w:val="single" w:color="auto" w:sz="4" w:space="0"/>
              <w:left w:val="single" w:color="auto" w:sz="4" w:space="0"/>
              <w:bottom w:val="single" w:color="auto" w:sz="4" w:space="0"/>
              <w:right w:val="single" w:color="auto" w:sz="4" w:space="0"/>
            </w:tcBorders>
            <w:vAlign w:val="center"/>
          </w:tcPr>
          <w:sdt>
            <w:sdtPr>
              <w:tag w:val="_PLD_55efe2bab54445818fecaf16ed9366f9"/>
              <w:id w:val="8051"/>
            </w:sdtPr>
            <w:sdtContent>
              <w:p>
                <w:pPr>
                  <w:jc w:val="center"/>
                  <w:rPr>
                    <w:szCs w:val="21"/>
                  </w:rPr>
                </w:pPr>
                <w:r>
                  <w:rPr>
                    <w:rFonts w:hint="eastAsia"/>
                    <w:szCs w:val="21"/>
                  </w:rPr>
                  <w:t>期初账面余额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hint="eastAsia"/>
                <w:szCs w:val="21"/>
              </w:rPr>
            </w:pPr>
            <w:r>
              <w:rPr>
                <w:rFonts w:hint="eastAsia"/>
                <w:color w:val="auto"/>
                <w:szCs w:val="21"/>
              </w:rPr>
              <w:t>应付账款</w:t>
            </w:r>
          </w:p>
        </w:tc>
        <w:tc>
          <w:tcPr>
            <w:tcW w:w="236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szCs w:val="21"/>
              </w:rPr>
            </w:pPr>
            <w:r>
              <w:rPr>
                <w:rFonts w:hint="eastAsia"/>
                <w:color w:val="auto"/>
                <w:szCs w:val="21"/>
              </w:rPr>
              <w:t>柳州两面针洗涤用品厂</w:t>
            </w:r>
          </w:p>
        </w:tc>
        <w:tc>
          <w:tcPr>
            <w:tcW w:w="208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r>
              <w:rPr>
                <w:rFonts w:hint="eastAsia"/>
                <w:color w:val="auto"/>
                <w:szCs w:val="21"/>
              </w:rPr>
              <w:t>699,080.06</w:t>
            </w:r>
          </w:p>
        </w:tc>
        <w:tc>
          <w:tcPr>
            <w:tcW w:w="271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right"/>
              <w:rPr>
                <w:szCs w:val="21"/>
              </w:rPr>
            </w:pPr>
            <w:r>
              <w:rPr>
                <w:rFonts w:hint="eastAsia"/>
                <w:color w:val="auto"/>
                <w:szCs w:val="21"/>
              </w:rPr>
              <w:t>699,080.06</w:t>
            </w:r>
          </w:p>
        </w:tc>
      </w:tr>
    </w:tbl>
    <w:p>
      <w:pPr>
        <w:rPr>
          <w:rFonts w:ascii="仿宋_GB2312" w:eastAsia="仿宋_GB2312" w:hAnsiTheme="minorHAnsi" w:cstheme="minorBidi"/>
          <w:szCs w:val="21"/>
        </w:rPr>
      </w:pPr>
    </w:p>
    <w:p>
      <w:pPr>
        <w:pStyle w:val="5"/>
        <w:numPr>
          <w:ilvl w:val="3"/>
          <w:numId w:val="118"/>
        </w:numPr>
        <w:ind w:left="424" w:hanging="426" w:hangingChars="202"/>
        <w:rPr>
          <w:rFonts w:hint="eastAsia"/>
        </w:rPr>
      </w:pPr>
      <w:r>
        <w:rPr>
          <w:rFonts w:hint="eastAsia"/>
        </w:rPr>
        <w:t>其他项目</w:t>
      </w:r>
    </w:p>
    <w:sdt>
      <w:sdtPr>
        <w:rPr>
          <w:szCs w:val="21"/>
        </w:rPr>
        <w:alias w:val="是否适用：关联方其他未结算项目情况[双击切换]"/>
        <w:tag w:val="_GBC_61142f5ee3c54a58901e03781b59f5db"/>
        <w:id w:val="8052"/>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rFonts w:ascii="仿宋_GB2312" w:eastAsia="仿宋_GB2312"/>
          <w:szCs w:val="21"/>
        </w:rPr>
      </w:pPr>
    </w:p>
    <w:p>
      <w:pPr>
        <w:pStyle w:val="4"/>
        <w:numPr>
          <w:ilvl w:val="0"/>
          <w:numId w:val="116"/>
        </w:numPr>
      </w:pPr>
      <w:r>
        <w:rPr>
          <w:rFonts w:hint="eastAsia"/>
        </w:rPr>
        <w:t>关联方</w:t>
      </w:r>
      <w:r>
        <w:rPr>
          <w:rFonts w:hint="eastAsia" w:ascii="宋体" w:hAnsi="宋体" w:cs="Arial"/>
          <w:szCs w:val="21"/>
        </w:rPr>
        <w:t>承诺</w:t>
      </w:r>
    </w:p>
    <w:sdt>
      <w:sdtPr>
        <w:rPr>
          <w:rFonts w:hint="eastAsia"/>
          <w:szCs w:val="21"/>
        </w:rPr>
        <w:alias w:val="是否适用：关联方承诺[双击切换]"/>
        <w:tag w:val="_GBC_cf52a7b0760b4670b5fc5ea8d7363a6c"/>
        <w:id w:val="8053"/>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tabs>
          <w:tab w:val="left" w:pos="1134"/>
        </w:tabs>
        <w:rPr>
          <w:rFonts w:ascii="Cambria" w:hAnsi="Cambria" w:cs="Cambria" w:eastAsiaTheme="minorEastAsia"/>
          <w:sz w:val="20"/>
        </w:rPr>
      </w:pPr>
    </w:p>
    <w:p>
      <w:pPr>
        <w:pStyle w:val="4"/>
        <w:numPr>
          <w:ilvl w:val="0"/>
          <w:numId w:val="116"/>
        </w:numPr>
        <w:rPr>
          <w:rFonts w:ascii="Cambria" w:hAnsi="Cambria" w:cs="Cambria" w:eastAsiaTheme="minorEastAsia"/>
          <w:sz w:val="20"/>
          <w:szCs w:val="20"/>
        </w:rPr>
      </w:pPr>
      <w:r>
        <w:rPr>
          <w:rFonts w:hint="eastAsia" w:ascii="宋体" w:hAnsi="宋体" w:cs="Arial"/>
          <w:szCs w:val="21"/>
        </w:rPr>
        <w:t>其他</w:t>
      </w:r>
    </w:p>
    <w:sdt>
      <w:sdtPr>
        <w:rPr>
          <w:rFonts w:hint="eastAsia"/>
        </w:rPr>
        <w:alias w:val="是否适用：关联方及关联情况的其他说明[双击切换]"/>
        <w:tag w:val="_GBC_0fbd096440c645128adaffccb05f4e2f"/>
        <w:id w:val="8054"/>
        <w:placeholder>
          <w:docPart w:val="GBC22222222222222222222222222222"/>
        </w:placeholder>
      </w:sdtPr>
      <w:sdtEndPr>
        <w:rPr>
          <w:rFonts w:hint="eastAsia"/>
        </w:rPr>
      </w:sdtEndPr>
      <w:sdtContent>
        <w:p>
          <w:pPr>
            <w:tabs>
              <w:tab w:val="left" w:pos="1134"/>
            </w:tabs>
          </w:pPr>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tabs>
          <w:tab w:val="left" w:pos="1134"/>
        </w:tabs>
        <w:rPr>
          <w:rFonts w:cs="Cambria"/>
          <w:szCs w:val="21"/>
        </w:rPr>
      </w:pPr>
    </w:p>
    <w:sdt>
      <w:sdtPr>
        <w:tag w:val="_PLD_1778796c544a4b3f9604686d8cffbfcf"/>
        <w:id w:val="8055"/>
      </w:sdtPr>
      <w:sdtContent>
        <w:p>
          <w:pPr>
            <w:pStyle w:val="3"/>
            <w:numPr>
              <w:ilvl w:val="0"/>
              <w:numId w:val="52"/>
            </w:numPr>
          </w:pPr>
          <w:r>
            <w:rPr>
              <w:rFonts w:hint="eastAsia"/>
            </w:rPr>
            <w:t>股份支付</w:t>
          </w:r>
        </w:p>
      </w:sdtContent>
    </w:sdt>
    <w:p>
      <w:pPr>
        <w:pStyle w:val="4"/>
        <w:numPr>
          <w:ilvl w:val="0"/>
          <w:numId w:val="119"/>
        </w:numPr>
        <w:ind w:left="450" w:hanging="450"/>
        <w:rPr>
          <w:color w:val="000000" w:themeColor="text1"/>
          <w14:textFill>
            <w14:solidFill>
              <w14:schemeClr w14:val="tx1"/>
            </w14:solidFill>
          </w14:textFill>
        </w:rPr>
      </w:pPr>
      <w:bookmarkStart w:id="371" w:name="_Hlk40787153"/>
      <w:bookmarkStart w:id="372" w:name="_Hlk182486041"/>
      <w:bookmarkStart w:id="373" w:name="_Hlk151135509"/>
      <w:r>
        <w:rPr>
          <w:rFonts w:hint="eastAsia"/>
          <w:color w:val="000000" w:themeColor="text1"/>
          <w14:textFill>
            <w14:solidFill>
              <w14:schemeClr w14:val="tx1"/>
            </w14:solidFill>
          </w14:textFill>
        </w:rPr>
        <w:t>各项权益工具</w:t>
      </w:r>
    </w:p>
    <w:p>
      <w:pPr>
        <w:pStyle w:val="56"/>
        <w:numPr>
          <w:ilvl w:val="0"/>
          <w:numId w:val="120"/>
        </w:numPr>
        <w:ind w:firstLineChars="0"/>
        <w:rPr>
          <w:b/>
          <w:bCs/>
        </w:rPr>
      </w:pPr>
      <w:r>
        <w:rPr>
          <w:rFonts w:hint="eastAsia"/>
          <w:b/>
          <w:bCs/>
        </w:rPr>
        <w:t>明细情况</w:t>
      </w:r>
    </w:p>
    <w:sdt>
      <w:sdtPr>
        <w:rPr>
          <w:color w:val="000000" w:themeColor="text1"/>
          <w14:textFill>
            <w14:solidFill>
              <w14:schemeClr w14:val="tx1"/>
            </w14:solidFill>
          </w14:textFill>
        </w:rPr>
        <w:alias w:val="是否适用：各项权益工具[双击切换]"/>
        <w:tag w:val="_GBC_591f7158994b46b7adfcd7566ff3a5b8"/>
        <w:id w:val="8056"/>
        <w:placeholder>
          <w:docPart w:val="GBC22222222222222222222222222222"/>
        </w:placeholder>
      </w:sdtPr>
      <w:sdtEndPr>
        <w:rPr>
          <w:color w:val="000000" w:themeColor="text1"/>
          <w14:textFill>
            <w14:solidFill>
              <w14:schemeClr w14:val="tx1"/>
            </w14:solidFill>
          </w14:textFill>
        </w:rPr>
      </w:sdtEndPr>
      <w:sdtContent>
        <w:p>
          <w:pPr>
            <w:rPr>
              <w:color w:val="000000" w:themeColor="text1"/>
              <w14:textFill>
                <w14:solidFill>
                  <w14:schemeClr w14:val="tx1"/>
                </w14:solidFill>
              </w14:textFill>
            </w:rPr>
          </w:pPr>
          <w:bookmarkStart w:id="374" w:name="_Hlk168492989"/>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374"/>
    <w:p>
      <w:pPr>
        <w:pStyle w:val="56"/>
        <w:numPr>
          <w:ilvl w:val="0"/>
          <w:numId w:val="120"/>
        </w:numPr>
        <w:ind w:firstLineChars="0"/>
        <w:rPr>
          <w:b/>
          <w:bCs/>
        </w:rPr>
      </w:pPr>
      <w:bookmarkStart w:id="375" w:name="_Hlk168478628"/>
      <w:r>
        <w:rPr>
          <w:rFonts w:hint="eastAsia"/>
          <w:b/>
          <w:bCs/>
        </w:rPr>
        <w:t>期末发行在外的股票期权或其他权益工具</w:t>
      </w:r>
    </w:p>
    <w:sdt>
      <w:sdtPr>
        <w:rPr>
          <w:color w:val="000000" w:themeColor="text1"/>
          <w14:textFill>
            <w14:solidFill>
              <w14:schemeClr w14:val="tx1"/>
            </w14:solidFill>
          </w14:textFill>
        </w:rPr>
        <w:alias w:val="是否适用：期末发行在外的股票期权或其他权益工具[双击切换]"/>
        <w:tag w:val="_GBC_8f850d6c945b493292d68c3127f1182d"/>
        <w:id w:val="8057"/>
        <w:placeholder>
          <w:docPart w:val="GBC22222222222222222222222222222"/>
        </w:placeholder>
      </w:sdtPr>
      <w:sdtEndPr>
        <w:rPr>
          <w:color w:val="000000" w:themeColor="text1"/>
          <w14:textFill>
            <w14:solidFill>
              <w14:schemeClr w14:val="tx1"/>
            </w14:solidFill>
          </w14:textFill>
        </w:rPr>
      </w:sdtEndPr>
      <w:sdtContent>
        <w:p>
          <w:pPr>
            <w:rPr>
              <w:color w:val="000000" w:themeColor="text1"/>
              <w14:textFill>
                <w14:solidFill>
                  <w14:schemeClr w14:val="tx1"/>
                </w14:solidFill>
              </w14:textFill>
            </w:rPr>
          </w:pPr>
          <w:bookmarkStart w:id="376" w:name="_Hlk168493896"/>
          <w:bookmarkStart w:id="377" w:name="_Hlk168493917"/>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371"/>
    <w:bookmarkEnd w:id="372"/>
    <w:bookmarkEnd w:id="375"/>
    <w:bookmarkEnd w:id="376"/>
    <w:bookmarkEnd w:id="377"/>
    <w:p>
      <w:pPr>
        <w:pStyle w:val="4"/>
        <w:numPr>
          <w:ilvl w:val="0"/>
          <w:numId w:val="119"/>
        </w:numPr>
        <w:ind w:left="420" w:hanging="420"/>
        <w:rPr>
          <w:rFonts w:hint="eastAsia" w:ascii="宋体" w:hAnsi="宋体"/>
        </w:rPr>
      </w:pPr>
      <w:bookmarkStart w:id="378" w:name="_Hlk40787299"/>
      <w:r>
        <w:rPr>
          <w:rFonts w:hint="eastAsia" w:ascii="宋体" w:hAnsi="宋体"/>
        </w:rPr>
        <w:t>以权益结算的股份支付情况</w:t>
      </w:r>
    </w:p>
    <w:sdt>
      <w:sdtPr>
        <w:alias w:val="是否适用：以权益结算的股份支付情况[双击切换]"/>
        <w:tag w:val="_GBC_8723814961d6478ca2db4f04f2667fcd"/>
        <w:id w:val="8058"/>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373"/>
    <w:bookmarkEnd w:id="378"/>
    <w:p/>
    <w:p>
      <w:pPr>
        <w:pStyle w:val="4"/>
        <w:numPr>
          <w:ilvl w:val="0"/>
          <w:numId w:val="119"/>
        </w:numPr>
      </w:pPr>
      <w:r>
        <w:rPr>
          <w:rFonts w:hint="eastAsia"/>
        </w:rPr>
        <w:t>以现金结算的股份支付情况</w:t>
      </w:r>
    </w:p>
    <w:sdt>
      <w:sdtPr>
        <w:alias w:val="是否适用：以现金结算的股份支付情况[双击切换]"/>
        <w:tag w:val="_GBC_aa134f611909486bb3a2d6258058f88d"/>
        <w:id w:val="8059"/>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4"/>
        <w:numPr>
          <w:ilvl w:val="0"/>
          <w:numId w:val="119"/>
        </w:numPr>
        <w:ind w:left="420" w:hanging="420"/>
        <w:rPr>
          <w:color w:val="000000" w:themeColor="text1"/>
          <w14:textFill>
            <w14:solidFill>
              <w14:schemeClr w14:val="tx1"/>
            </w14:solidFill>
          </w14:textFill>
        </w:rPr>
      </w:pPr>
      <w:bookmarkStart w:id="379" w:name="_Hlk182486377"/>
      <w:r>
        <w:rPr>
          <w:color w:val="000000" w:themeColor="text1"/>
          <w14:textFill>
            <w14:solidFill>
              <w14:schemeClr w14:val="tx1"/>
            </w14:solidFill>
          </w14:textFill>
        </w:rPr>
        <w:t>本期</w:t>
      </w:r>
      <w:r>
        <w:rPr>
          <w:rFonts w:hint="eastAsia"/>
          <w:color w:val="000000" w:themeColor="text1"/>
          <w14:textFill>
            <w14:solidFill>
              <w14:schemeClr w14:val="tx1"/>
            </w14:solidFill>
          </w14:textFill>
        </w:rPr>
        <w:t>股份支付费用</w:t>
      </w:r>
    </w:p>
    <w:sdt>
      <w:sdtPr>
        <w:rPr>
          <w:color w:val="000000" w:themeColor="text1"/>
          <w14:textFill>
            <w14:solidFill>
              <w14:schemeClr w14:val="tx1"/>
            </w14:solidFill>
          </w14:textFill>
        </w:rPr>
        <w:alias w:val="是否适用：股份支付费用[双击切换]"/>
        <w:tag w:val="_GBC_1ce28477cfda4be8ba3dd9f6b49b5010"/>
        <w:id w:val="8060"/>
        <w:placeholder>
          <w:docPart w:val="GBC22222222222222222222222222222"/>
        </w:placeholder>
      </w:sdtPr>
      <w:sdtEndPr>
        <w:rPr>
          <w:color w:val="000000" w:themeColor="text1"/>
          <w14:textFill>
            <w14:solidFill>
              <w14:schemeClr w14:val="tx1"/>
            </w14:solidFill>
          </w14:textFill>
        </w:rPr>
      </w:sdtEndPr>
      <w:sdtContent>
        <w:p>
          <w:pPr>
            <w:rPr>
              <w:color w:val="000000" w:themeColor="text1"/>
              <w14:textFill>
                <w14:solidFill>
                  <w14:schemeClr w14:val="tx1"/>
                </w14:solidFill>
              </w14:textFill>
            </w:rPr>
          </w:pPr>
          <w:bookmarkStart w:id="380" w:name="_Hlk168494235"/>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□适用 </w:instrTex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MACROBUTTON  SnrToggleCheckbox √不适用 </w:instrText>
          </w:r>
          <w:r>
            <w:rPr>
              <w:rFonts w:ascii="宋体" w:hAnsi="宋体"/>
              <w:color w:val="000000" w:themeColor="text1"/>
              <w14:textFill>
                <w14:solidFill>
                  <w14:schemeClr w14:val="tx1"/>
                </w14:solidFill>
              </w14:textFill>
            </w:rPr>
            <w:fldChar w:fldCharType="end"/>
          </w:r>
        </w:p>
      </w:sdtContent>
    </w:sdt>
    <w:bookmarkEnd w:id="379"/>
    <w:bookmarkEnd w:id="380"/>
    <w:p>
      <w:pPr>
        <w:pStyle w:val="4"/>
        <w:numPr>
          <w:ilvl w:val="0"/>
          <w:numId w:val="119"/>
        </w:numPr>
      </w:pPr>
      <w:bookmarkStart w:id="381" w:name="_Hlk168494436"/>
      <w:bookmarkEnd w:id="381"/>
      <w:bookmarkStart w:id="382" w:name="_Hlk168494618"/>
      <w:bookmarkEnd w:id="382"/>
      <w:r>
        <w:rPr>
          <w:rFonts w:hint="eastAsia"/>
        </w:rPr>
        <w:t>股份支付的修改、终止情况</w:t>
      </w:r>
    </w:p>
    <w:sdt>
      <w:sdtPr>
        <w:rPr>
          <w:rFonts w:hint="eastAsia"/>
          <w:szCs w:val="21"/>
        </w:rPr>
        <w:alias w:val="是否适用：股份支付的修改、终止情况[双击切换]"/>
        <w:tag w:val="_GBC_6da986e9834d42b9bb7548673f325962"/>
        <w:id w:val="8061"/>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ind w:firstLine="210" w:firstLineChars="100"/>
        <w:rPr>
          <w:szCs w:val="21"/>
        </w:rPr>
      </w:pPr>
    </w:p>
    <w:p>
      <w:pPr>
        <w:pStyle w:val="4"/>
        <w:numPr>
          <w:ilvl w:val="0"/>
          <w:numId w:val="119"/>
        </w:numPr>
        <w:rPr>
          <w:szCs w:val="21"/>
        </w:rPr>
      </w:pPr>
      <w:r>
        <w:rPr>
          <w:rFonts w:hint="eastAsia"/>
          <w:szCs w:val="21"/>
        </w:rPr>
        <w:t>其他</w:t>
      </w:r>
    </w:p>
    <w:sdt>
      <w:sdtPr>
        <w:rPr>
          <w:rFonts w:hint="eastAsia"/>
          <w:szCs w:val="21"/>
        </w:rPr>
        <w:alias w:val="是否适用：股份支付的其他情况说明[双击切换]"/>
        <w:tag w:val="_GBC_d03d26e0d4844b798c3d4b87d2578ece"/>
        <w:id w:val="8062"/>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sdt>
      <w:sdtPr>
        <w:tag w:val="_PLD_241234676ba0409f811c92b46eb4d5b0"/>
        <w:id w:val="8063"/>
      </w:sdtPr>
      <w:sdtContent>
        <w:p>
          <w:pPr>
            <w:pStyle w:val="3"/>
            <w:numPr>
              <w:ilvl w:val="0"/>
              <w:numId w:val="52"/>
            </w:numPr>
          </w:pPr>
          <w:r>
            <w:rPr>
              <w:rFonts w:hint="eastAsia"/>
            </w:rPr>
            <w:t>承诺及或有事项</w:t>
          </w:r>
        </w:p>
      </w:sdtContent>
    </w:sdt>
    <w:p>
      <w:pPr>
        <w:pStyle w:val="4"/>
        <w:numPr>
          <w:ilvl w:val="0"/>
          <w:numId w:val="121"/>
        </w:numPr>
        <w:rPr>
          <w:rFonts w:hint="eastAsia" w:ascii="宋体" w:hAnsi="宋体"/>
        </w:rPr>
      </w:pPr>
      <w:r>
        <w:rPr>
          <w:rFonts w:hint="eastAsia" w:ascii="宋体" w:hAnsi="宋体"/>
        </w:rPr>
        <w:t>重要承诺事项</w:t>
      </w:r>
    </w:p>
    <w:sdt>
      <w:sdtPr>
        <w:alias w:val="是否适用：重要承诺事项[双击切换]"/>
        <w:tag w:val="_GBC_568be9a6805040a8b9fbd5c5d07b45dd"/>
        <w:id w:val="806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pStyle w:val="4"/>
        <w:numPr>
          <w:ilvl w:val="0"/>
          <w:numId w:val="121"/>
        </w:numPr>
      </w:pPr>
      <w:r>
        <w:rPr>
          <w:rFonts w:hint="eastAsia"/>
        </w:rPr>
        <w:t>或有事项</w:t>
      </w:r>
    </w:p>
    <w:p>
      <w:pPr>
        <w:pStyle w:val="5"/>
        <w:numPr>
          <w:ilvl w:val="3"/>
          <w:numId w:val="122"/>
        </w:numPr>
        <w:ind w:left="424" w:hanging="426" w:hangingChars="202"/>
        <w:rPr>
          <w:rFonts w:hint="eastAsia"/>
        </w:rPr>
      </w:pPr>
      <w:r>
        <w:rPr>
          <w:rFonts w:hint="eastAsia"/>
        </w:rPr>
        <w:t>资产负债表日存在的重要或有事项</w:t>
      </w:r>
    </w:p>
    <w:sdt>
      <w:sdtPr>
        <w:rPr>
          <w:rFonts w:hint="eastAsia"/>
        </w:rPr>
        <w:alias w:val="是否适用：资产负债表日存在的重要或有事项[双击切换]"/>
        <w:tag w:val="_GBC_d987504ad98e408986b4fc6f62089ffe"/>
        <w:id w:val="8065"/>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5"/>
        <w:numPr>
          <w:ilvl w:val="3"/>
          <w:numId w:val="122"/>
        </w:numPr>
        <w:ind w:left="424" w:hanging="426" w:hangingChars="202"/>
        <w:rPr>
          <w:rFonts w:hint="eastAsia"/>
        </w:rPr>
      </w:pPr>
      <w:r>
        <w:rPr>
          <w:rFonts w:hint="eastAsia"/>
        </w:rPr>
        <w:t>公司没有需要披露的重要或有事项，也应予以说明：</w:t>
      </w:r>
    </w:p>
    <w:sdt>
      <w:sdtPr>
        <w:rPr>
          <w:rFonts w:hint="eastAsia"/>
        </w:rPr>
        <w:alias w:val="是否适用：公司没有需要披露的重要或有事项，也应予以说明[双击切换]"/>
        <w:tag w:val="_GBC_07f7b2e649f24a948656f8714cbf5345"/>
        <w:id w:val="8066"/>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rFonts w:asciiTheme="minorHAnsi" w:hAnsiTheme="minorHAnsi" w:cstheme="minorBidi"/>
        </w:rPr>
      </w:pPr>
    </w:p>
    <w:p>
      <w:pPr>
        <w:pStyle w:val="4"/>
        <w:numPr>
          <w:ilvl w:val="0"/>
          <w:numId w:val="121"/>
        </w:numPr>
      </w:pPr>
      <w:r>
        <w:rPr>
          <w:rFonts w:hint="eastAsia"/>
        </w:rPr>
        <w:t>其他</w:t>
      </w:r>
    </w:p>
    <w:sdt>
      <w:sdtPr>
        <w:rPr>
          <w:rFonts w:hint="eastAsia"/>
        </w:rPr>
        <w:alias w:val="是否适用：承诺及或有事项的其他情况说明[双击切换]"/>
        <w:tag w:val="_GBC_cf5b3c02da904b4ea27843983d9a6248"/>
        <w:id w:val="8067"/>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sdt>
      <w:sdtPr>
        <w:tag w:val="_PLD_d03c2cb48dd448fd83f613661741b871"/>
        <w:id w:val="8068"/>
      </w:sdtPr>
      <w:sdtContent>
        <w:p>
          <w:pPr>
            <w:pStyle w:val="3"/>
            <w:numPr>
              <w:ilvl w:val="0"/>
              <w:numId w:val="52"/>
            </w:numPr>
          </w:pPr>
          <w:r>
            <w:rPr>
              <w:rFonts w:hint="eastAsia"/>
            </w:rPr>
            <w:t>资产负债表日后事项</w:t>
          </w:r>
        </w:p>
      </w:sdtContent>
    </w:sdt>
    <w:p>
      <w:pPr>
        <w:pStyle w:val="4"/>
        <w:numPr>
          <w:ilvl w:val="0"/>
          <w:numId w:val="123"/>
        </w:numPr>
      </w:pPr>
      <w:r>
        <w:rPr>
          <w:rFonts w:hint="eastAsia"/>
        </w:rPr>
        <w:t>重要的非调整事项</w:t>
      </w:r>
    </w:p>
    <w:sdt>
      <w:sdtPr>
        <w:alias w:val="是否适用：重要的非调整事项[双击切换]"/>
        <w:tag w:val="_GBC_5d94a9ce52454687be716014c1894fef"/>
        <w:id w:val="8069"/>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4"/>
        <w:numPr>
          <w:ilvl w:val="0"/>
          <w:numId w:val="123"/>
        </w:numPr>
      </w:pPr>
      <w:r>
        <w:rPr>
          <w:rFonts w:hint="eastAsia"/>
        </w:rPr>
        <w:t>利润分配情况</w:t>
      </w:r>
    </w:p>
    <w:sdt>
      <w:sdtPr>
        <w:alias w:val="是否适用：利润分配情况[双击切换]"/>
        <w:tag w:val="_GBC_9a91fb54a6c146e5b9ee1ecff3141237"/>
        <w:id w:val="807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财务附注：资产负债表日后利润分配情况说明"/>
          <w:tag w:val="_GBC_6424df7632ca4cf5ab9e9760e3119d62"/>
          <w:id w:val="807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财务附注：资产负债表日后利润分配情况说明"/>
          <w:tag w:val="_GBC_e75fd1607c614d249844c767ceffa84e"/>
          <w:id w:val="807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2"/>
        <w:gridCol w:w="5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拟分配的利润或股利</w:t>
            </w:r>
          </w:p>
        </w:tc>
        <w:tc>
          <w:tcPr>
            <w:tcW w:w="5326" w:type="dxa"/>
            <w:tcBorders>
              <w:top w:val="single" w:color="auto" w:sz="4" w:space="0"/>
              <w:left w:val="single" w:color="auto" w:sz="4" w:space="0"/>
              <w:bottom w:val="single" w:color="auto" w:sz="4" w:space="0"/>
              <w:right w:val="single" w:color="auto" w:sz="4" w:space="0"/>
            </w:tcBorders>
            <w:vAlign w:val="center"/>
          </w:tcPr>
          <w:sdt>
            <w:sdtPr>
              <w:rPr>
                <w:szCs w:val="21"/>
              </w:rPr>
              <w:alias w:val="资产负债表日后拟分配的利润或股利"/>
              <w:tag w:val="_GBC_3add72466c2e49709858581a726eb392"/>
              <w:id w:val="8074"/>
            </w:sdtPr>
            <w:sdtEndPr>
              <w:rPr>
                <w:szCs w:val="21"/>
              </w:rPr>
            </w:sdtEndPr>
            <w:sdtContent>
              <w:p>
                <w:pPr>
                  <w:jc w:val="right"/>
                  <w:rPr>
                    <w:szCs w:val="21"/>
                  </w:rPr>
                </w:pPr>
                <w:r>
                  <w:rPr>
                    <w:rFonts w:hint="eastAsia"/>
                    <w:szCs w:val="21"/>
                    <w:lang w:val="en-US" w:eastAsia="zh-CN"/>
                  </w:rPr>
                  <w:t>16,50</w:t>
                </w:r>
                <w:r>
                  <w:rPr>
                    <w:rFonts w:hint="eastAsia"/>
                    <w:szCs w:val="21"/>
                  </w:rPr>
                  <w:t>0,000.00</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经审议批准宣告发放的利润或股利</w:t>
            </w:r>
          </w:p>
        </w:tc>
        <w:tc>
          <w:tcPr>
            <w:tcW w:w="5326"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r>
    </w:tbl>
    <w:p/>
    <w:p>
      <w:pPr>
        <w:pStyle w:val="4"/>
        <w:numPr>
          <w:ilvl w:val="0"/>
          <w:numId w:val="123"/>
        </w:numPr>
      </w:pPr>
      <w:r>
        <w:rPr>
          <w:rFonts w:hint="eastAsia"/>
          <w:szCs w:val="21"/>
        </w:rPr>
        <w:t>销售</w:t>
      </w:r>
      <w:r>
        <w:rPr>
          <w:rFonts w:hint="eastAsia"/>
        </w:rPr>
        <w:t>退回</w:t>
      </w:r>
    </w:p>
    <w:sdt>
      <w:sdtPr>
        <w:alias w:val="是否适用：销售退回[双击切换]"/>
        <w:tag w:val="_GBC_7fb2ecaa1ffb494486f4a8b2e94240d2"/>
        <w:id w:val="8075"/>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pStyle w:val="4"/>
        <w:numPr>
          <w:ilvl w:val="0"/>
          <w:numId w:val="123"/>
        </w:numPr>
      </w:pPr>
      <w:r>
        <w:rPr>
          <w:rFonts w:hint="eastAsia"/>
        </w:rPr>
        <w:t>其他资产负债表日后事项说明</w:t>
      </w:r>
    </w:p>
    <w:sdt>
      <w:sdtPr>
        <w:rPr>
          <w:rFonts w:hint="eastAsia"/>
        </w:rPr>
        <w:alias w:val="是否适用：其他资产负债表日后事项说明[双击切换]"/>
        <w:tag w:val="_GBC_4fc0f824aaea4ed096cae3b9f97ff314"/>
        <w:id w:val="8076"/>
        <w:placeholder>
          <w:docPart w:val="GBC22222222222222222222222222222"/>
        </w:placeholder>
      </w:sdtPr>
      <w:sdtEndPr>
        <w:rPr>
          <w:rFonts w:hint="eastAsia"/>
        </w:rPr>
      </w:sdtEndPr>
      <w:sdtContent>
        <w:p>
          <w:r>
            <w:rPr>
              <w:rFonts w:ascii="宋体" w:hAnsi="宋体"/>
            </w:rPr>
            <w:fldChar w:fldCharType="begin"/>
          </w:r>
          <w:r>
            <w:rPr>
              <w:rFonts w:ascii="宋体" w:hAnsi="宋体"/>
            </w:rPr>
            <w:instrText xml:space="preserve"> </w:instrText>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资产负债表日后事项的说明"/>
        <w:tag w:val="_GBC_b4faff3f61de47eebe30bc0094d05a2f"/>
        <w:id w:val="8077"/>
        <w:placeholder>
          <w:docPart w:val="GBC22222222222222222222222222222"/>
        </w:placeholder>
      </w:sdtPr>
      <w:sdtEndPr>
        <w:rPr>
          <w:rFonts w:ascii="Times New Roman" w:hAnsi="Times New Roman"/>
          <w:sz w:val="21"/>
        </w:rPr>
      </w:sdtEndPr>
      <w:sdtContent>
        <w:p>
          <w:pPr>
            <w:keepNext w:val="0"/>
            <w:keepLines w:val="0"/>
            <w:pageBreakBefore w:val="0"/>
            <w:widowControl/>
            <w:kinsoku/>
            <w:wordWrap/>
            <w:overflowPunct/>
            <w:topLinePunct w:val="0"/>
            <w:autoSpaceDE/>
            <w:autoSpaceDN/>
            <w:bidi w:val="0"/>
            <w:adjustRightInd/>
            <w:snapToGrid/>
            <w:spacing w:line="400" w:lineRule="exact"/>
            <w:ind w:firstLine="317"/>
            <w:textAlignment w:val="auto"/>
            <w:rPr>
              <w:rFonts w:ascii="Times New Roman" w:hAnsi="Times New Roman"/>
              <w:sz w:val="21"/>
            </w:rPr>
          </w:pPr>
          <w:r>
            <w:rPr>
              <w:rFonts w:hint="eastAsia" w:ascii="Times New Roman" w:hAnsi="Times New Roman" w:eastAsia="宋体"/>
              <w:sz w:val="21"/>
              <w:szCs w:val="21"/>
            </w:rPr>
            <w:t>2026年3月25</w:t>
          </w:r>
          <w:r>
            <w:rPr>
              <w:rFonts w:ascii="Times New Roman" w:hAnsi="Times New Roman"/>
              <w:sz w:val="21"/>
              <w:szCs w:val="21"/>
            </w:rPr>
            <w:t>日，根据董事会建议的利润分配方案预案，</w:t>
          </w:r>
          <w:r>
            <w:rPr>
              <w:rFonts w:ascii="Times New Roman" w:hAnsi="Times New Roman"/>
              <w:sz w:val="21"/>
            </w:rPr>
            <w:t>拟以2025年12月31日公司总股本550,000,000股为基数</w:t>
          </w:r>
          <w:r>
            <w:rPr>
              <w:rFonts w:ascii="Times New Roman" w:hAnsi="Times New Roman"/>
              <w:sz w:val="21"/>
              <w:szCs w:val="21"/>
            </w:rPr>
            <w:t>，向全体股东每</w:t>
          </w:r>
          <w:r>
            <w:rPr>
              <w:rFonts w:hint="eastAsia" w:ascii="Times New Roman" w:hAnsi="Times New Roman" w:eastAsia="宋体"/>
              <w:sz w:val="21"/>
              <w:szCs w:val="21"/>
            </w:rPr>
            <w:t>10股派发0.3</w:t>
          </w:r>
          <w:r>
            <w:rPr>
              <w:rFonts w:hint="eastAsia"/>
              <w:sz w:val="21"/>
              <w:szCs w:val="21"/>
              <w:lang w:val="en-US" w:eastAsia="zh-CN"/>
            </w:rPr>
            <w:t>0</w:t>
          </w:r>
          <w:r>
            <w:rPr>
              <w:rFonts w:hint="eastAsia" w:ascii="Times New Roman" w:hAnsi="Times New Roman" w:eastAsia="宋体"/>
              <w:sz w:val="21"/>
              <w:szCs w:val="21"/>
            </w:rPr>
            <w:t>元人民币现金（含税）。公司剩余未分配利润结转以后年度，本年度不送股，也不进行资本公积金转增股本。上述事项需提交股东会审议批准。</w:t>
          </w:r>
        </w:p>
      </w:sdtContent>
    </w:sdt>
    <w:p>
      <w:pPr>
        <w:rPr>
          <w:szCs w:val="21"/>
        </w:rPr>
      </w:pPr>
    </w:p>
    <w:sdt>
      <w:sdtPr>
        <w:tag w:val="_PLD_afaff7a07bf2401aad61cf3f77351ed3"/>
        <w:id w:val="8078"/>
      </w:sdtPr>
      <w:sdtContent>
        <w:p>
          <w:pPr>
            <w:pStyle w:val="3"/>
            <w:numPr>
              <w:ilvl w:val="0"/>
              <w:numId w:val="52"/>
            </w:numPr>
          </w:pPr>
          <w:r>
            <w:rPr>
              <w:rFonts w:hint="eastAsia"/>
            </w:rPr>
            <w:t>其他重要事项</w:t>
          </w:r>
        </w:p>
      </w:sdtContent>
    </w:sdt>
    <w:p>
      <w:pPr>
        <w:pStyle w:val="4"/>
        <w:numPr>
          <w:ilvl w:val="0"/>
          <w:numId w:val="124"/>
        </w:numPr>
      </w:pPr>
      <w:r>
        <w:rPr>
          <w:rFonts w:hint="eastAsia"/>
        </w:rPr>
        <w:t>前期会计差错更正</w:t>
      </w:r>
    </w:p>
    <w:p>
      <w:pPr>
        <w:keepNext w:val="0"/>
        <w:keepLines w:val="0"/>
        <w:pageBreakBefore w:val="0"/>
        <w:widowControl/>
        <w:kinsoku/>
        <w:wordWrap/>
        <w:overflowPunct/>
        <w:topLinePunct w:val="0"/>
        <w:autoSpaceDE/>
        <w:autoSpaceDN/>
        <w:bidi w:val="0"/>
        <w:adjustRightInd/>
        <w:snapToGrid/>
        <w:spacing w:line="400" w:lineRule="exact"/>
        <w:ind w:firstLine="317"/>
        <w:textAlignment w:val="auto"/>
        <w:rPr>
          <w:rFonts w:hint="eastAsia" w:ascii="Times New Roman" w:hAnsi="Times New Roman" w:eastAsia="宋体"/>
          <w:sz w:val="21"/>
          <w:szCs w:val="21"/>
        </w:rPr>
      </w:pPr>
      <w:r>
        <w:rPr>
          <w:rFonts w:hint="eastAsia" w:ascii="Times New Roman" w:hAnsi="Times New Roman" w:eastAsia="宋体"/>
          <w:sz w:val="21"/>
          <w:szCs w:val="21"/>
        </w:rPr>
        <w:t>详见“重要事项”的“公司对会计政策、会计估计变更或重大会计差错更正原因和影响的分析说明”</w:t>
      </w:r>
    </w:p>
    <w:p>
      <w:pPr>
        <w:pStyle w:val="4"/>
        <w:numPr>
          <w:ilvl w:val="0"/>
          <w:numId w:val="124"/>
        </w:numPr>
      </w:pPr>
      <w:r>
        <w:rPr>
          <w:rFonts w:hint="eastAsia" w:ascii="宋体" w:hAnsi="宋体" w:cs="宋体"/>
          <w:kern w:val="0"/>
          <w:szCs w:val="24"/>
        </w:rPr>
        <w:t>重要</w:t>
      </w:r>
      <w:r>
        <w:rPr>
          <w:rFonts w:hint="eastAsia"/>
        </w:rPr>
        <w:t>债务重组</w:t>
      </w:r>
    </w:p>
    <w:sdt>
      <w:sdtPr>
        <w:alias w:val="是否适用：重要债务重组[双击切换]"/>
        <w:tag w:val="_GBC_6b3631222f074ee0b23297cdcd94685f"/>
        <w:id w:val="8079"/>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pStyle w:val="4"/>
        <w:numPr>
          <w:ilvl w:val="0"/>
          <w:numId w:val="124"/>
        </w:numPr>
      </w:pPr>
      <w:r>
        <w:rPr>
          <w:rFonts w:hint="eastAsia"/>
        </w:rPr>
        <w:t>资产置换</w:t>
      </w:r>
    </w:p>
    <w:p>
      <w:pPr>
        <w:pStyle w:val="5"/>
        <w:numPr>
          <w:ilvl w:val="3"/>
          <w:numId w:val="125"/>
        </w:numPr>
        <w:ind w:left="424" w:hanging="426" w:hangingChars="202"/>
        <w:rPr>
          <w:rFonts w:hint="eastAsia"/>
        </w:rPr>
      </w:pPr>
      <w:r>
        <w:rPr>
          <w:rFonts w:hint="eastAsia"/>
        </w:rPr>
        <w:t>非货币性资产交换</w:t>
      </w:r>
    </w:p>
    <w:sdt>
      <w:sdtPr>
        <w:rPr>
          <w:rFonts w:hint="eastAsia"/>
          <w:szCs w:val="21"/>
        </w:rPr>
        <w:alias w:val="是否适用：非货币性资产交换[双击切换]"/>
        <w:tag w:val="_GBC_480975ada702478dae8a1468d6e0c3cd"/>
        <w:id w:val="8080"/>
        <w:placeholder>
          <w:docPart w:val="GBC22222222222222222222222222222"/>
        </w:placeholder>
      </w:sdtPr>
      <w:sdtEndPr>
        <w:rPr>
          <w:rFonts w:hint="eastAsia"/>
          <w:szCs w:val="21"/>
        </w:rPr>
      </w:sdtEndPr>
      <w:sdtContent>
        <w:p>
          <w:pPr>
            <w:spacing w:line="360" w:lineRule="exact"/>
            <w:ind w:right="5"/>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5"/>
        <w:numPr>
          <w:ilvl w:val="3"/>
          <w:numId w:val="125"/>
        </w:numPr>
        <w:ind w:left="424" w:hanging="426" w:hangingChars="202"/>
        <w:rPr>
          <w:rFonts w:hint="eastAsia"/>
        </w:rPr>
      </w:pPr>
      <w:r>
        <w:rPr>
          <w:rFonts w:hint="eastAsia"/>
        </w:rPr>
        <w:t>其他资产置换</w:t>
      </w:r>
    </w:p>
    <w:sdt>
      <w:sdtPr>
        <w:rPr>
          <w:rFonts w:hint="eastAsia"/>
          <w:szCs w:val="21"/>
        </w:rPr>
        <w:alias w:val="是否适用：其他资产置换[双击切换]"/>
        <w:tag w:val="_GBC_d4d75cf02549483681739e6eb10910ff"/>
        <w:id w:val="8081"/>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Pr>
        <w:pStyle w:val="4"/>
        <w:numPr>
          <w:ilvl w:val="0"/>
          <w:numId w:val="124"/>
        </w:numPr>
      </w:pPr>
      <w:r>
        <w:rPr>
          <w:rFonts w:hint="eastAsia"/>
        </w:rPr>
        <w:t>年金计划</w:t>
      </w:r>
    </w:p>
    <w:sdt>
      <w:sdtPr>
        <w:alias w:val="是否适用：年金计划[双击切换]"/>
        <w:tag w:val="_GBC_7abcd6901bc848d8b58391e0ddd63034"/>
        <w:id w:val="8082"/>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pStyle w:val="4"/>
        <w:numPr>
          <w:ilvl w:val="0"/>
          <w:numId w:val="124"/>
        </w:numPr>
        <w:rPr>
          <w:rFonts w:hint="eastAsia" w:ascii="宋体" w:hAnsi="宋体"/>
          <w:szCs w:val="21"/>
        </w:rPr>
      </w:pPr>
      <w:r>
        <w:rPr>
          <w:rFonts w:hint="eastAsia" w:ascii="宋体" w:hAnsi="宋体"/>
          <w:szCs w:val="21"/>
        </w:rPr>
        <w:t>终止经营</w:t>
      </w:r>
    </w:p>
    <w:p>
      <w:sdt>
        <w:sdtPr>
          <w:alias w:val="是否适用：终止经营[双击切换]"/>
          <w:tag w:val="_GBC_667e81a5639a48488e957a55e45c7763"/>
          <w:id w:val="8083"/>
          <w:placeholder>
            <w:docPart w:val="GBC22222222222222222222222222222"/>
          </w:placeholder>
        </w:sdtPr>
        <w:sdtContent>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pPr>
        <w:rPr>
          <w:szCs w:val="21"/>
        </w:rPr>
      </w:pPr>
    </w:p>
    <w:p>
      <w:pPr>
        <w:pStyle w:val="4"/>
        <w:numPr>
          <w:ilvl w:val="0"/>
          <w:numId w:val="124"/>
        </w:numPr>
        <w:rPr>
          <w:rFonts w:hint="eastAsia" w:ascii="宋体" w:hAnsi="宋体"/>
          <w:szCs w:val="21"/>
        </w:rPr>
      </w:pPr>
      <w:r>
        <w:rPr>
          <w:rFonts w:hint="eastAsia" w:ascii="宋体" w:hAnsi="宋体"/>
          <w:szCs w:val="21"/>
        </w:rPr>
        <w:t>分部信息</w:t>
      </w:r>
    </w:p>
    <w:p>
      <w:pPr>
        <w:pStyle w:val="5"/>
        <w:numPr>
          <w:ilvl w:val="3"/>
          <w:numId w:val="126"/>
        </w:numPr>
        <w:ind w:left="424" w:hanging="426" w:hangingChars="202"/>
        <w:rPr>
          <w:rFonts w:hint="eastAsia"/>
        </w:rPr>
      </w:pPr>
      <w:r>
        <w:rPr>
          <w:rFonts w:hint="eastAsia"/>
        </w:rPr>
        <w:t>报告分部的确定依据与会计政策</w:t>
      </w:r>
    </w:p>
    <w:sdt>
      <w:sdtPr>
        <w:rPr>
          <w:rFonts w:hint="eastAsia"/>
          <w:szCs w:val="21"/>
        </w:rPr>
        <w:alias w:val="是否适用：报告分部的确定依据与会计政策[双击切换]"/>
        <w:tag w:val="_GBC_b3cac5485321452cadb6e7ec2be5d907"/>
        <w:id w:val="8084"/>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5"/>
        <w:numPr>
          <w:ilvl w:val="3"/>
          <w:numId w:val="126"/>
        </w:numPr>
        <w:ind w:left="424" w:hanging="426" w:hangingChars="202"/>
        <w:rPr>
          <w:rFonts w:hint="eastAsia"/>
        </w:rPr>
      </w:pPr>
      <w:r>
        <w:rPr>
          <w:rFonts w:hint="eastAsia"/>
        </w:rPr>
        <w:t>报告分部的财务信息</w:t>
      </w:r>
    </w:p>
    <w:sdt>
      <w:sdtPr>
        <w:rPr>
          <w:rFonts w:hint="eastAsia" w:ascii="宋体" w:hAnsi="宋体"/>
          <w:szCs w:val="21"/>
        </w:rPr>
        <w:alias w:val="是否适用：报告分部的财务信息[双击切换]"/>
        <w:tag w:val="_GBC_560c7b592f324714b8c87339e43684af"/>
        <w:id w:val="8085"/>
        <w:placeholder>
          <w:docPart w:val="GBC22222222222222222222222222222"/>
        </w:placeholder>
      </w:sdtPr>
      <w:sdtEndPr>
        <w:rPr>
          <w:rFonts w:hint="eastAsia" w:ascii="宋体" w:hAnsi="宋体"/>
          <w:szCs w:val="21"/>
        </w:rPr>
      </w:sdtEndPr>
      <w:sdtContent>
        <w:p>
          <w:pPr>
            <w:pStyle w:val="56"/>
            <w:ind w:firstLine="0" w:firstLineChars="0"/>
            <w:jc w:val="left"/>
            <w:rPr>
              <w:rFonts w:hint="eastAsia" w:ascii="宋体" w:hAnsi="宋体"/>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Pr>
        <w:pStyle w:val="5"/>
        <w:numPr>
          <w:ilvl w:val="3"/>
          <w:numId w:val="126"/>
        </w:numPr>
        <w:ind w:left="424" w:hanging="426" w:hangingChars="202"/>
        <w:rPr>
          <w:rFonts w:hint="eastAsia"/>
        </w:rPr>
      </w:pPr>
      <w:r>
        <w:t>公司无报告分部的，或者不能披露各报告分部的资产总额和负债总额的，应说明原因</w:t>
      </w:r>
    </w:p>
    <w:sdt>
      <w:sdtPr>
        <w:rPr>
          <w:rFonts w:hint="eastAsia"/>
          <w:szCs w:val="21"/>
        </w:rPr>
        <w:alias w:val="是否适用：公司无报告分部的，或者不能披露各报告分部的资产总额和负债总额的，应说明原因[双击切换]"/>
        <w:tag w:val="_GBC_bcab2070d3744848a3b9d7010db71172"/>
        <w:id w:val="8086"/>
        <w:placeholder>
          <w:docPart w:val="GBC22222222222222222222222222222"/>
        </w:placeholder>
      </w:sdtPr>
      <w:sdtEndPr>
        <w:rPr>
          <w:rFonts w:hint="eastAsia"/>
          <w:szCs w:val="21"/>
        </w:rPr>
      </w:sdtEndPr>
      <w:sdtContent>
        <w:p>
          <w:pPr>
            <w:jc w:val="both"/>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5"/>
        <w:numPr>
          <w:ilvl w:val="3"/>
          <w:numId w:val="126"/>
        </w:numPr>
        <w:ind w:left="424" w:hanging="426" w:hangingChars="202"/>
        <w:rPr>
          <w:rFonts w:hint="eastAsia"/>
        </w:rPr>
      </w:pPr>
      <w:r>
        <w:rPr>
          <w:rFonts w:hint="eastAsia"/>
        </w:rPr>
        <w:t>其他说明</w:t>
      </w:r>
    </w:p>
    <w:sdt>
      <w:sdtPr>
        <w:rPr>
          <w:rFonts w:hint="eastAsia"/>
          <w:szCs w:val="21"/>
        </w:rPr>
        <w:alias w:val="是否适用：分部信息的其他说明[双击切换]"/>
        <w:tag w:val="_GBC_a7173613038248df8d31b8ffe91e1e27"/>
        <w:id w:val="8087"/>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4"/>
        <w:numPr>
          <w:ilvl w:val="0"/>
          <w:numId w:val="124"/>
        </w:numPr>
      </w:pPr>
      <w:r>
        <w:rPr>
          <w:rFonts w:hint="eastAsia" w:ascii="宋体" w:hAnsi="宋体" w:cs="宋体"/>
          <w:bCs w:val="0"/>
          <w:kern w:val="0"/>
          <w:szCs w:val="21"/>
        </w:rPr>
        <w:t>其他对投资者决策有影响的重要交易和事项</w:t>
      </w:r>
    </w:p>
    <w:sdt>
      <w:sdtPr>
        <w:rPr>
          <w:rFonts w:hint="eastAsia"/>
          <w:szCs w:val="21"/>
        </w:rPr>
        <w:alias w:val="是否适用：其他对投资者决策有影响的重要交易和事项[双击切换]"/>
        <w:tag w:val="_GBC_fb50fde0c1774b5b8ae2688488649ea7"/>
        <w:id w:val="8088"/>
        <w:placeholder>
          <w:docPart w:val="GBC22222222222222222222222222222"/>
        </w:placeholder>
      </w:sdtPr>
      <w:sdtEndPr>
        <w:rPr>
          <w:rFonts w:hint="eastAsia"/>
          <w:szCs w:val="21"/>
        </w:rPr>
      </w:sdtEndPr>
      <w:sdtContent>
        <w:p>
          <w:pPr>
            <w:spacing w:line="360" w:lineRule="exact"/>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pStyle w:val="4"/>
        <w:numPr>
          <w:ilvl w:val="0"/>
          <w:numId w:val="124"/>
        </w:numPr>
        <w:rPr>
          <w:szCs w:val="21"/>
        </w:rPr>
      </w:pPr>
      <w:r>
        <w:rPr>
          <w:rFonts w:hint="eastAsia" w:ascii="宋体" w:hAnsi="宋体"/>
          <w:szCs w:val="21"/>
        </w:rPr>
        <w:t>其他</w:t>
      </w:r>
    </w:p>
    <w:sdt>
      <w:sdtPr>
        <w:rPr>
          <w:rFonts w:hint="eastAsia"/>
          <w:szCs w:val="21"/>
        </w:rPr>
        <w:alias w:val="是否适用：其他重要事项的说明[双击切换]"/>
        <w:tag w:val="_GBC_fb43f52ac5bc49a4b33e34d6b1758f09"/>
        <w:id w:val="8089"/>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sdt>
      <w:sdtPr>
        <w:tag w:val="_PLD_afcfbf5d417b493990d732b3779eca69"/>
        <w:id w:val="8090"/>
      </w:sdtPr>
      <w:sdtContent>
        <w:p>
          <w:pPr>
            <w:pStyle w:val="3"/>
            <w:numPr>
              <w:ilvl w:val="0"/>
              <w:numId w:val="52"/>
            </w:numPr>
            <w:rPr>
              <w:rFonts w:hint="eastAsia" w:ascii="宋体" w:hAnsi="宋体"/>
            </w:rPr>
          </w:pPr>
          <w:r>
            <w:rPr>
              <w:rFonts w:hint="eastAsia" w:ascii="宋体" w:hAnsi="宋体"/>
            </w:rPr>
            <w:t>母公司财务报表主要项目注释</w:t>
          </w:r>
        </w:p>
      </w:sdtContent>
    </w:sdt>
    <w:p>
      <w:pPr>
        <w:pStyle w:val="4"/>
        <w:numPr>
          <w:ilvl w:val="0"/>
          <w:numId w:val="127"/>
        </w:numPr>
      </w:pPr>
      <w:r>
        <w:rPr>
          <w:rFonts w:hint="eastAsia" w:ascii="宋体" w:hAnsi="宋体"/>
          <w:szCs w:val="21"/>
        </w:rPr>
        <w:t>应收账款</w:t>
      </w:r>
    </w:p>
    <w:p>
      <w:pPr>
        <w:pStyle w:val="5"/>
        <w:numPr>
          <w:ilvl w:val="3"/>
          <w:numId w:val="128"/>
        </w:numPr>
        <w:ind w:left="424" w:hanging="426" w:hangingChars="202"/>
        <w:rPr>
          <w:rFonts w:hint="eastAsia"/>
        </w:rPr>
      </w:pPr>
      <w:bookmarkStart w:id="383" w:name="_Hlk533796665"/>
      <w:r>
        <w:rPr>
          <w:rFonts w:hint="eastAsia"/>
        </w:rPr>
        <w:t>按账龄披露</w:t>
      </w:r>
    </w:p>
    <w:sdt>
      <w:sdtPr>
        <w:alias w:val="是否适用：母公司应收账款按账龄披露[双击切换]"/>
        <w:tag w:val="_GBC_dafcd7d733014c4a8aaa9a9a4b6c92f1"/>
        <w:id w:val="147460593"/>
        <w:placeholder>
          <w:docPart w:val="{938d025e-689c-4f98-96ea-31562c9fc58b}"/>
        </w:placeholder>
      </w:sdtPr>
      <w:sdtContent>
        <w:p>
          <w:r>
            <w:rPr>
              <w:rFonts w:ascii="宋体" w:hAnsi="宋体"/>
            </w:rPr>
            <w:fldChar w:fldCharType="begin"/>
          </w:r>
          <w:r>
            <w:rPr>
              <w:rFonts w:hint="eastAsia" w:ascii="宋体" w:hAnsi="宋体"/>
              <w:lang w:eastAsia="zh-CN"/>
            </w:rPr>
            <w:instrText xml:space="preserve"> MACROBUTTON  SnrToggleCheckbox √适用 </w:instrText>
          </w:r>
          <w:r>
            <w:rPr>
              <w:rFonts w:ascii="宋体" w:hAnsi="宋体"/>
            </w:rPr>
            <w:fldChar w:fldCharType="end"/>
          </w:r>
          <w:r>
            <w:rPr>
              <w:rFonts w:ascii="宋体" w:hAnsi="宋体"/>
            </w:rPr>
            <w:fldChar w:fldCharType="begin"/>
          </w:r>
          <w:r>
            <w:rPr>
              <w:rFonts w:hint="eastAsia" w:ascii="宋体" w:hAnsi="宋体"/>
              <w:lang w:eastAsia="zh-CN"/>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母公司应收账款按账龄披露"/>
          <w:tag w:val="_GBC_6f3238355b1f4a02b89a4d1aa10b0026"/>
          <w:id w:val="147454126"/>
          <w:placeholder>
            <w:docPart w:val="{938d025e-689c-4f98-96ea-31562c9fc58b}"/>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szCs w:val="21"/>
        </w:rPr>
        <w:t xml:space="preserve"> </w:t>
      </w:r>
      <w:r>
        <w:rPr>
          <w:rFonts w:hint="eastAsia"/>
          <w:szCs w:val="21"/>
        </w:rPr>
        <w:t>币种：</w:t>
      </w:r>
      <w:sdt>
        <w:sdtPr>
          <w:rPr>
            <w:rFonts w:hint="eastAsia"/>
            <w:szCs w:val="21"/>
          </w:rPr>
          <w:alias w:val="币种：母公司应收账款按账龄披露"/>
          <w:tag w:val="_GBC_c255ef872ced4f4ba9701062491ddd60"/>
          <w:id w:val="147483368"/>
          <w:placeholder>
            <w:docPart w:val="{938d025e-689c-4f98-96ea-31562c9fc58b}"/>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6"/>
        <w:gridCol w:w="3051"/>
        <w:gridCol w:w="3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91f1d8bffa9649c89e109fe838d32207"/>
            <w:id w:val="2762"/>
          </w:sdtPr>
          <w:sdtContent>
            <w:tc>
              <w:tcPr>
                <w:tcW w:w="294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账龄</w:t>
                </w:r>
              </w:p>
            </w:tc>
          </w:sdtContent>
        </w:sdt>
        <w:sdt>
          <w:sdtPr>
            <w:tag w:val="_PLD_6b7aa27e99b34e1eb61af3bd12c578d2"/>
            <w:id w:val="2763"/>
          </w:sdtPr>
          <w:sdtContent>
            <w:tc>
              <w:tcPr>
                <w:tcW w:w="3051"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期末账面余额</w:t>
                </w:r>
              </w:p>
            </w:tc>
          </w:sdtContent>
        </w:sdt>
        <w:sdt>
          <w:sdtPr>
            <w:tag w:val="_PLD_0e2d3c046f184578857e4606189d40ef"/>
            <w:id w:val="2764"/>
          </w:sdtPr>
          <w:sdtContent>
            <w:tc>
              <w:tcPr>
                <w:tcW w:w="3051"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期初账面余额</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12bbe8e17abf436ea88dfd2c1fa58d3a"/>
            <w:id w:val="2765"/>
          </w:sdtPr>
          <w:sdtContent>
            <w:tc>
              <w:tcPr>
                <w:tcW w:w="294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1年以内（含1年）</w:t>
                </w:r>
              </w:p>
            </w:tc>
          </w:sdtContent>
        </w:sdt>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25,476,267.05</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31,193,745.05</w:t>
            </w:r>
          </w:p>
        </w:tc>
      </w:tr>
      <w:sdt>
        <w:sdtPr>
          <w:rPr>
            <w:szCs w:val="21"/>
          </w:rPr>
          <w:alias w:val="一年以内应收账款金额明细"/>
          <w:tag w:val="_TUP_996c2530a23c47409c4612e531bfae1d"/>
          <w:id w:val="2766"/>
          <w:placeholder>
            <w:docPart w:val="{217548bc-6e9f-47fd-b8b4-231e90d9f3ab}"/>
          </w:placeholder>
        </w:sdtPr>
        <w:sdtEndPr>
          <w:rPr>
            <w:szCs w:val="21"/>
          </w:rPr>
        </w:sdtEndPr>
        <w:sdtContent>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946" w:type="dxa"/>
                <w:tcBorders>
                  <w:top w:val="single" w:color="auto" w:sz="4" w:space="0"/>
                  <w:left w:val="single" w:color="auto" w:sz="4" w:space="0"/>
                  <w:bottom w:val="single" w:color="auto" w:sz="4" w:space="0"/>
                  <w:right w:val="single" w:color="auto" w:sz="4" w:space="0"/>
                </w:tcBorders>
                <w:vAlign w:val="center"/>
              </w:tcPr>
              <w:p>
                <w:pPr>
                  <w:rPr>
                    <w:szCs w:val="21"/>
                  </w:rPr>
                </w:pPr>
                <w:r>
                  <w:t>0.5年以内</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25,061,669.16</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30,322,371.67</w:t>
                </w:r>
              </w:p>
            </w:tc>
          </w:tr>
        </w:sdtContent>
      </w:sdt>
      <w:sdt>
        <w:sdtPr>
          <w:rPr>
            <w:szCs w:val="21"/>
          </w:rPr>
          <w:alias w:val="一年以内应收账款金额明细"/>
          <w:tag w:val="_TUP_996c2530a23c47409c4612e531bfae1d"/>
          <w:id w:val="2767"/>
          <w:placeholder>
            <w:docPart w:val="{217548bc-6e9f-47fd-b8b4-231e90d9f3ab}"/>
          </w:placeholder>
        </w:sdtPr>
        <w:sdtEndPr>
          <w:rPr>
            <w:szCs w:val="21"/>
          </w:rPr>
        </w:sdtEndPr>
        <w:sdtContent>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946" w:type="dxa"/>
                <w:tcBorders>
                  <w:top w:val="single" w:color="auto" w:sz="4" w:space="0"/>
                  <w:left w:val="single" w:color="auto" w:sz="4" w:space="0"/>
                  <w:bottom w:val="single" w:color="auto" w:sz="4" w:space="0"/>
                  <w:right w:val="single" w:color="auto" w:sz="4" w:space="0"/>
                </w:tcBorders>
                <w:vAlign w:val="center"/>
              </w:tcPr>
              <w:p>
                <w:pPr>
                  <w:rPr>
                    <w:szCs w:val="21"/>
                  </w:rPr>
                </w:pPr>
                <w:r>
                  <w:t>0.5年至1年</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414,597.89</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871,373.38</w:t>
                </w:r>
              </w:p>
            </w:tc>
          </w:tr>
        </w:sdtContent>
      </w:sdt>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770311c9e2414ee5bfe8ce496ed8934e"/>
            <w:id w:val="2768"/>
          </w:sdtPr>
          <w:sdtContent>
            <w:tc>
              <w:tcPr>
                <w:tcW w:w="294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1至2年</w:t>
                </w:r>
              </w:p>
            </w:tc>
          </w:sdtContent>
        </w:sdt>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27,212.37</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143,688.63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d4549a61d17e484fa031071f1a709d42"/>
            <w:id w:val="2769"/>
          </w:sdtPr>
          <w:sdtContent>
            <w:tc>
              <w:tcPr>
                <w:tcW w:w="294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2至3年</w:t>
                </w:r>
              </w:p>
            </w:tc>
          </w:sdtContent>
        </w:sdt>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141,359.16</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3,483,810.23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52511f8f7dbb433cb0b535c4f79f2a0c"/>
            <w:id w:val="2770"/>
          </w:sdtPr>
          <w:sdtContent>
            <w:tc>
              <w:tcPr>
                <w:tcW w:w="294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3至</w:t>
                </w:r>
                <w:r>
                  <w:rPr>
                    <w:rFonts w:hint="eastAsia"/>
                    <w:szCs w:val="21"/>
                    <w:lang w:val="en-US" w:eastAsia="zh-CN"/>
                  </w:rPr>
                  <w:t>5</w:t>
                </w:r>
                <w:r>
                  <w:rPr>
                    <w:rFonts w:hint="eastAsia"/>
                    <w:szCs w:val="21"/>
                  </w:rPr>
                  <w:t>年</w:t>
                </w:r>
              </w:p>
            </w:tc>
          </w:sdtContent>
        </w:sdt>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2,322,081.36</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1,281,158.22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b95f8699bfb74f6ca6bc34d75d8d09c4"/>
            <w:id w:val="2771"/>
          </w:sdtPr>
          <w:sdtContent>
            <w:tc>
              <w:tcPr>
                <w:tcW w:w="294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5年以上</w:t>
                </w:r>
              </w:p>
            </w:tc>
          </w:sdtContent>
        </w:sdt>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31,090,805.54</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30,889,625.60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946" w:type="dxa"/>
            <w:tcBorders>
              <w:top w:val="single" w:color="auto" w:sz="4" w:space="0"/>
              <w:left w:val="single" w:color="auto" w:sz="4" w:space="0"/>
              <w:bottom w:val="single" w:color="auto" w:sz="4" w:space="0"/>
              <w:right w:val="single" w:color="auto" w:sz="4" w:space="0"/>
            </w:tcBorders>
            <w:vAlign w:val="center"/>
          </w:tcPr>
          <w:p>
            <w:r>
              <w:t>小计</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pPr>
            <w:r>
              <w:t>59,057,725.48</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pPr>
            <w:r>
              <w:t>66,992,027.73</w:t>
            </w:r>
          </w:p>
        </w:tc>
      </w:tr>
      <w:sdt>
        <w:sdtPr>
          <w:alias w:val="按账龄分析法计提坏账准备的应收账款明细"/>
          <w:tag w:val="_TUP_2bb30de1e00a4309b81cc9e8668b6ce9"/>
          <w:id w:val="2772"/>
          <w:placeholder>
            <w:docPart w:val="{217548bc-6e9f-47fd-b8b4-231e90d9f3ab}"/>
          </w:placeholder>
        </w:sdtPr>
        <w:sdtEndPr>
          <w:rPr>
            <w:szCs w:val="21"/>
          </w:rPr>
        </w:sdtEndPr>
        <w:sdtContent>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946" w:type="dxa"/>
                <w:tcBorders>
                  <w:top w:val="single" w:color="auto" w:sz="4" w:space="0"/>
                  <w:left w:val="single" w:color="auto" w:sz="4" w:space="0"/>
                  <w:bottom w:val="single" w:color="auto" w:sz="4" w:space="0"/>
                  <w:right w:val="single" w:color="auto" w:sz="4" w:space="0"/>
                </w:tcBorders>
                <w:vAlign w:val="center"/>
              </w:tcPr>
              <w:p>
                <w:r>
                  <w:t>减：坏账准备</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31,716,801.30</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32,156,788.46</w:t>
                </w:r>
              </w:p>
            </w:tc>
          </w:tr>
        </w:sdtContent>
      </w:sdt>
      <w:sdt>
        <w:sdtPr>
          <w:alias w:val="按账龄分析法计提坏账准备的应收账款明细"/>
          <w:tag w:val="_TUP_2bb30de1e00a4309b81cc9e8668b6ce9"/>
          <w:id w:val="2773"/>
          <w:placeholder>
            <w:docPart w:val="{217548bc-6e9f-47fd-b8b4-231e90d9f3ab}"/>
          </w:placeholder>
        </w:sdtPr>
        <w:sdtContent>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650b2e3c1b454a1892402dcf793c6c03"/>
                <w:id w:val="2774"/>
              </w:sdtPr>
              <w:sdtContent>
                <w:tc>
                  <w:tcPr>
                    <w:tcW w:w="294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合计</w:t>
                    </w:r>
                  </w:p>
                </w:tc>
              </w:sdtContent>
            </w:sdt>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27,340,924.18</w:t>
                </w:r>
              </w:p>
            </w:tc>
            <w:tc>
              <w:tcPr>
                <w:tcW w:w="3051" w:type="dxa"/>
                <w:tcBorders>
                  <w:top w:val="single" w:color="auto" w:sz="4" w:space="0"/>
                  <w:left w:val="single" w:color="auto" w:sz="4" w:space="0"/>
                  <w:bottom w:val="single" w:color="auto" w:sz="4" w:space="0"/>
                  <w:right w:val="single" w:color="auto" w:sz="4" w:space="0"/>
                </w:tcBorders>
                <w:vAlign w:val="center"/>
              </w:tcPr>
              <w:p>
                <w:pPr>
                  <w:jc w:val="right"/>
                  <w:rPr>
                    <w:szCs w:val="21"/>
                  </w:rPr>
                </w:pPr>
                <w:r>
                  <w:t>34,835,239.27</w:t>
                </w:r>
              </w:p>
            </w:tc>
          </w:tr>
        </w:sdtContent>
      </w:sdt>
    </w:tbl>
    <w:p/>
    <w:p/>
    <w:p/>
    <w:p/>
    <w:p/>
    <w:p/>
    <w:p/>
    <w:p/>
    <w:p/>
    <w:p/>
    <w:p/>
    <w:p/>
    <w:p>
      <w:pPr>
        <w:sectPr>
          <w:pgSz w:w="11906" w:h="16838"/>
          <w:pgMar w:top="1525" w:right="1276" w:bottom="1440" w:left="1797" w:header="856" w:footer="992" w:gutter="0"/>
          <w:cols w:space="425" w:num="1"/>
          <w:docGrid w:linePitch="312" w:charSpace="0"/>
        </w:sectPr>
      </w:pPr>
    </w:p>
    <w:p>
      <w:pPr>
        <w:pStyle w:val="17"/>
      </w:pPr>
    </w:p>
    <w:bookmarkEnd w:id="383"/>
    <w:p>
      <w:pPr>
        <w:pStyle w:val="5"/>
        <w:numPr>
          <w:ilvl w:val="3"/>
          <w:numId w:val="128"/>
        </w:numPr>
        <w:ind w:left="424" w:hanging="426" w:hangingChars="202"/>
        <w:rPr>
          <w:rFonts w:hint="eastAsia"/>
        </w:rPr>
      </w:pPr>
      <w:bookmarkStart w:id="384" w:name="_Hlk533796703"/>
      <w:r>
        <w:rPr>
          <w:rFonts w:hint="eastAsia"/>
        </w:rPr>
        <w:t>按坏账计提方法分类披露</w:t>
      </w:r>
    </w:p>
    <w:sdt>
      <w:sdtPr>
        <w:alias w:val="是否适用：母公司应收账款按坏账计提方法分类披露[双击切换]"/>
        <w:tag w:val="_GBC_7881b37ba62844928bb3a0f84fa1312c"/>
        <w:id w:val="8102"/>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pStyle w:val="56"/>
        <w:autoSpaceDE w:val="0"/>
        <w:autoSpaceDN w:val="0"/>
        <w:adjustRightInd w:val="0"/>
        <w:ind w:left="425" w:right="105" w:firstLine="0" w:firstLineChars="0"/>
        <w:jc w:val="right"/>
        <w:rPr>
          <w:szCs w:val="21"/>
        </w:rPr>
      </w:pPr>
      <w:r>
        <w:rPr>
          <w:rFonts w:hint="eastAsia"/>
          <w:szCs w:val="21"/>
        </w:rPr>
        <w:t>单位：</w:t>
      </w:r>
      <w:sdt>
        <w:sdtPr>
          <w:rPr>
            <w:rFonts w:hint="eastAsia"/>
            <w:szCs w:val="21"/>
          </w:rPr>
          <w:alias w:val="单位：母公司应收账款按坏账计提方法分类披露"/>
          <w:tag w:val="_GBC_57cfa95657c1492d995c84aaa01cd7a5"/>
          <w:id w:val="810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母公司应收账款按坏账计提方法分类披露"/>
          <w:tag w:val="_GBC_b8d2fec8e15e43c8b9a141c04cb5fea0"/>
          <w:id w:val="810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4"/>
        <w:gridCol w:w="1497"/>
        <w:gridCol w:w="785"/>
        <w:gridCol w:w="1549"/>
        <w:gridCol w:w="884"/>
        <w:gridCol w:w="1484"/>
        <w:gridCol w:w="1549"/>
        <w:gridCol w:w="862"/>
        <w:gridCol w:w="1494"/>
        <w:gridCol w:w="1015"/>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1404" w:type="dxa"/>
            <w:vMerge w:val="restart"/>
            <w:tcBorders>
              <w:top w:val="single" w:color="auto" w:sz="4" w:space="0"/>
              <w:left w:val="single" w:color="auto" w:sz="4" w:space="0"/>
              <w:right w:val="single" w:color="auto" w:sz="4" w:space="0"/>
            </w:tcBorders>
            <w:vAlign w:val="center"/>
          </w:tcPr>
          <w:sdt>
            <w:sdtPr>
              <w:tag w:val="_PLD_0b6f94bf734a49f28ff9eb2211eccc4e"/>
              <w:id w:val="8105"/>
            </w:sdtPr>
            <w:sdtContent>
              <w:p>
                <w:pPr>
                  <w:jc w:val="center"/>
                  <w:rPr>
                    <w:szCs w:val="21"/>
                  </w:rPr>
                </w:pPr>
                <w:r>
                  <w:rPr>
                    <w:rFonts w:hint="eastAsia"/>
                    <w:szCs w:val="21"/>
                  </w:rPr>
                  <w:t>类别</w:t>
                </w:r>
              </w:p>
            </w:sdtContent>
          </w:sdt>
        </w:tc>
        <w:tc>
          <w:tcPr>
            <w:tcW w:w="6199" w:type="dxa"/>
            <w:gridSpan w:val="5"/>
            <w:tcBorders>
              <w:top w:val="single" w:color="auto" w:sz="4" w:space="0"/>
              <w:left w:val="single" w:color="auto" w:sz="4" w:space="0"/>
              <w:right w:val="single" w:color="auto" w:sz="4" w:space="0"/>
            </w:tcBorders>
            <w:vAlign w:val="center"/>
          </w:tcPr>
          <w:sdt>
            <w:sdtPr>
              <w:tag w:val="_PLD_cadda055920649559b4578dc73b6f05e"/>
              <w:id w:val="8106"/>
            </w:sdtPr>
            <w:sdtContent>
              <w:p>
                <w:pPr>
                  <w:autoSpaceDE w:val="0"/>
                  <w:autoSpaceDN w:val="0"/>
                  <w:adjustRightInd w:val="0"/>
                  <w:snapToGrid w:val="0"/>
                  <w:spacing w:line="240" w:lineRule="atLeast"/>
                  <w:jc w:val="center"/>
                  <w:rPr>
                    <w:szCs w:val="21"/>
                  </w:rPr>
                </w:pPr>
                <w:r>
                  <w:rPr>
                    <w:rFonts w:hint="eastAsia"/>
                    <w:szCs w:val="21"/>
                  </w:rPr>
                  <w:t>期末余额</w:t>
                </w:r>
              </w:p>
            </w:sdtContent>
          </w:sdt>
        </w:tc>
        <w:tc>
          <w:tcPr>
            <w:tcW w:w="6403" w:type="dxa"/>
            <w:gridSpan w:val="5"/>
            <w:tcBorders>
              <w:top w:val="single" w:color="auto" w:sz="4" w:space="0"/>
              <w:left w:val="single" w:color="auto" w:sz="4" w:space="0"/>
              <w:right w:val="single" w:color="auto" w:sz="4" w:space="0"/>
            </w:tcBorders>
            <w:vAlign w:val="center"/>
          </w:tcPr>
          <w:sdt>
            <w:sdtPr>
              <w:tag w:val="_PLD_28a8aaa48276458aa987282704951cc5"/>
              <w:id w:val="8107"/>
            </w:sdtPr>
            <w:sdtContent>
              <w:p>
                <w:pPr>
                  <w:autoSpaceDE w:val="0"/>
                  <w:autoSpaceDN w:val="0"/>
                  <w:adjustRightInd w:val="0"/>
                  <w:snapToGrid w:val="0"/>
                  <w:spacing w:line="240" w:lineRule="atLeast"/>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1404" w:type="dxa"/>
            <w:vMerge w:val="continue"/>
            <w:tcBorders>
              <w:left w:val="single" w:color="auto" w:sz="4" w:space="0"/>
              <w:right w:val="single" w:color="auto" w:sz="4" w:space="0"/>
            </w:tcBorders>
            <w:vAlign w:val="center"/>
          </w:tcPr>
          <w:p>
            <w:pPr>
              <w:rPr>
                <w:szCs w:val="21"/>
              </w:rPr>
            </w:pPr>
          </w:p>
        </w:tc>
        <w:tc>
          <w:tcPr>
            <w:tcW w:w="2282" w:type="dxa"/>
            <w:gridSpan w:val="2"/>
            <w:tcBorders>
              <w:top w:val="single" w:color="auto" w:sz="4" w:space="0"/>
              <w:left w:val="single" w:color="auto" w:sz="4" w:space="0"/>
              <w:bottom w:val="single" w:color="auto" w:sz="4" w:space="0"/>
              <w:right w:val="single" w:color="auto" w:sz="4" w:space="0"/>
            </w:tcBorders>
            <w:vAlign w:val="center"/>
          </w:tcPr>
          <w:sdt>
            <w:sdtPr>
              <w:tag w:val="_PLD_b6e4cad360f948d68bd5af2c3f52e83a"/>
              <w:id w:val="8108"/>
            </w:sdtPr>
            <w:sdtContent>
              <w:p>
                <w:pPr>
                  <w:jc w:val="center"/>
                  <w:rPr>
                    <w:szCs w:val="21"/>
                  </w:rPr>
                </w:pPr>
                <w:r>
                  <w:rPr>
                    <w:rFonts w:hint="eastAsia"/>
                    <w:szCs w:val="21"/>
                  </w:rPr>
                  <w:t>账面余额</w:t>
                </w:r>
              </w:p>
            </w:sdtContent>
          </w:sdt>
        </w:tc>
        <w:tc>
          <w:tcPr>
            <w:tcW w:w="2433" w:type="dxa"/>
            <w:gridSpan w:val="2"/>
            <w:tcBorders>
              <w:top w:val="single" w:color="auto" w:sz="4" w:space="0"/>
              <w:left w:val="single" w:color="auto" w:sz="4" w:space="0"/>
              <w:bottom w:val="single" w:color="auto" w:sz="4" w:space="0"/>
              <w:right w:val="single" w:color="auto" w:sz="4" w:space="0"/>
            </w:tcBorders>
            <w:vAlign w:val="center"/>
          </w:tcPr>
          <w:sdt>
            <w:sdtPr>
              <w:tag w:val="_PLD_1812a70770914fa4b8145f493ad4c468"/>
              <w:id w:val="8109"/>
            </w:sdtPr>
            <w:sdtContent>
              <w:p>
                <w:pPr>
                  <w:jc w:val="center"/>
                  <w:rPr>
                    <w:szCs w:val="21"/>
                  </w:rPr>
                </w:pPr>
                <w:r>
                  <w:rPr>
                    <w:rFonts w:hint="eastAsia"/>
                    <w:szCs w:val="21"/>
                  </w:rPr>
                  <w:t>坏账准备</w:t>
                </w:r>
              </w:p>
            </w:sdtContent>
          </w:sdt>
        </w:tc>
        <w:tc>
          <w:tcPr>
            <w:tcW w:w="1484" w:type="dxa"/>
            <w:vMerge w:val="restart"/>
            <w:tcBorders>
              <w:top w:val="single" w:color="auto" w:sz="4" w:space="0"/>
              <w:left w:val="single" w:color="auto" w:sz="4" w:space="0"/>
              <w:right w:val="single" w:color="auto" w:sz="4" w:space="0"/>
            </w:tcBorders>
            <w:vAlign w:val="center"/>
          </w:tcPr>
          <w:sdt>
            <w:sdtPr>
              <w:tag w:val="_PLD_970be2ae3a84456bb0feb4eb360d2b2f"/>
              <w:id w:val="8110"/>
            </w:sdtPr>
            <w:sdtContent>
              <w:p>
                <w:pPr>
                  <w:jc w:val="center"/>
                  <w:rPr>
                    <w:szCs w:val="21"/>
                  </w:rPr>
                </w:pPr>
                <w:r>
                  <w:rPr>
                    <w:rFonts w:hint="eastAsia"/>
                    <w:szCs w:val="21"/>
                  </w:rPr>
                  <w:t>账面</w:t>
                </w:r>
              </w:p>
              <w:p>
                <w:pPr>
                  <w:jc w:val="center"/>
                  <w:rPr>
                    <w:szCs w:val="21"/>
                  </w:rPr>
                </w:pPr>
                <w:r>
                  <w:rPr>
                    <w:rFonts w:hint="eastAsia"/>
                    <w:szCs w:val="21"/>
                  </w:rPr>
                  <w:t>价值</w:t>
                </w:r>
              </w:p>
            </w:sdtContent>
          </w:sdt>
        </w:tc>
        <w:tc>
          <w:tcPr>
            <w:tcW w:w="2411" w:type="dxa"/>
            <w:gridSpan w:val="2"/>
            <w:tcBorders>
              <w:top w:val="single" w:color="auto" w:sz="4" w:space="0"/>
              <w:left w:val="single" w:color="auto" w:sz="4" w:space="0"/>
              <w:right w:val="single" w:color="auto" w:sz="4" w:space="0"/>
            </w:tcBorders>
            <w:vAlign w:val="center"/>
          </w:tcPr>
          <w:sdt>
            <w:sdtPr>
              <w:tag w:val="_PLD_be04f05fbfa341e1a7546ee304164c92"/>
              <w:id w:val="8111"/>
            </w:sdtPr>
            <w:sdtContent>
              <w:p>
                <w:pPr>
                  <w:jc w:val="center"/>
                  <w:rPr>
                    <w:szCs w:val="21"/>
                  </w:rPr>
                </w:pPr>
                <w:r>
                  <w:rPr>
                    <w:rFonts w:hint="eastAsia"/>
                    <w:szCs w:val="21"/>
                  </w:rPr>
                  <w:t>账面余额</w:t>
                </w:r>
              </w:p>
            </w:sdtContent>
          </w:sdt>
        </w:tc>
        <w:tc>
          <w:tcPr>
            <w:tcW w:w="2509" w:type="dxa"/>
            <w:gridSpan w:val="2"/>
            <w:tcBorders>
              <w:top w:val="single" w:color="auto" w:sz="4" w:space="0"/>
              <w:left w:val="single" w:color="auto" w:sz="4" w:space="0"/>
              <w:right w:val="single" w:color="auto" w:sz="4" w:space="0"/>
            </w:tcBorders>
            <w:vAlign w:val="center"/>
          </w:tcPr>
          <w:sdt>
            <w:sdtPr>
              <w:tag w:val="_PLD_708baf88b6ab4f6ca208582ef2033d3e"/>
              <w:id w:val="8112"/>
            </w:sdtPr>
            <w:sdtContent>
              <w:p>
                <w:pPr>
                  <w:jc w:val="center"/>
                  <w:rPr>
                    <w:szCs w:val="21"/>
                  </w:rPr>
                </w:pPr>
                <w:r>
                  <w:rPr>
                    <w:rFonts w:hint="eastAsia"/>
                    <w:szCs w:val="21"/>
                  </w:rPr>
                  <w:t>坏账准备</w:t>
                </w:r>
              </w:p>
            </w:sdtContent>
          </w:sdt>
        </w:tc>
        <w:tc>
          <w:tcPr>
            <w:tcW w:w="1483" w:type="dxa"/>
            <w:vMerge w:val="restart"/>
            <w:tcBorders>
              <w:top w:val="single" w:color="auto" w:sz="4" w:space="0"/>
              <w:left w:val="single" w:color="auto" w:sz="4" w:space="0"/>
              <w:right w:val="single" w:color="auto" w:sz="4" w:space="0"/>
            </w:tcBorders>
            <w:vAlign w:val="center"/>
          </w:tcPr>
          <w:sdt>
            <w:sdtPr>
              <w:tag w:val="_PLD_7c2453d3d43547428eaaafae8df8b7d0"/>
              <w:id w:val="8113"/>
            </w:sdtPr>
            <w:sdtContent>
              <w:p>
                <w:pPr>
                  <w:jc w:val="center"/>
                  <w:rPr>
                    <w:szCs w:val="21"/>
                  </w:rPr>
                </w:pPr>
                <w:r>
                  <w:rPr>
                    <w:rFonts w:hint="eastAsia"/>
                    <w:szCs w:val="21"/>
                  </w:rPr>
                  <w:t>账面</w:t>
                </w:r>
              </w:p>
              <w:p>
                <w:pPr>
                  <w:jc w:val="center"/>
                  <w:rPr>
                    <w:szCs w:val="21"/>
                  </w:rPr>
                </w:pPr>
                <w:r>
                  <w:rPr>
                    <w:rFonts w:hint="eastAsia"/>
                    <w:szCs w:val="21"/>
                  </w:rPr>
                  <w:t>价值</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1404" w:type="dxa"/>
            <w:vMerge w:val="continue"/>
            <w:tcBorders>
              <w:left w:val="single" w:color="auto" w:sz="4" w:space="0"/>
              <w:bottom w:val="single" w:color="auto" w:sz="4" w:space="0"/>
              <w:right w:val="single" w:color="auto" w:sz="4" w:space="0"/>
            </w:tcBorders>
            <w:vAlign w:val="center"/>
          </w:tcPr>
          <w:p>
            <w:pPr>
              <w:rPr>
                <w:szCs w:val="21"/>
              </w:rPr>
            </w:pPr>
          </w:p>
        </w:tc>
        <w:tc>
          <w:tcPr>
            <w:tcW w:w="1497" w:type="dxa"/>
            <w:tcBorders>
              <w:left w:val="single" w:color="auto" w:sz="4" w:space="0"/>
              <w:bottom w:val="single" w:color="auto" w:sz="4" w:space="0"/>
              <w:right w:val="single" w:color="auto" w:sz="4" w:space="0"/>
            </w:tcBorders>
            <w:vAlign w:val="center"/>
          </w:tcPr>
          <w:sdt>
            <w:sdtPr>
              <w:tag w:val="_PLD_c5c981ae53b144af90139d228c5285af"/>
              <w:id w:val="8114"/>
            </w:sdtPr>
            <w:sdtContent>
              <w:p>
                <w:pPr>
                  <w:jc w:val="center"/>
                  <w:rPr>
                    <w:szCs w:val="21"/>
                  </w:rPr>
                </w:pPr>
                <w:r>
                  <w:rPr>
                    <w:rFonts w:hint="eastAsia"/>
                    <w:szCs w:val="21"/>
                  </w:rPr>
                  <w:t>金额</w:t>
                </w:r>
              </w:p>
            </w:sdtContent>
          </w:sdt>
        </w:tc>
        <w:tc>
          <w:tcPr>
            <w:tcW w:w="785" w:type="dxa"/>
            <w:tcBorders>
              <w:left w:val="single" w:color="auto" w:sz="4" w:space="0"/>
              <w:bottom w:val="single" w:color="auto" w:sz="4" w:space="0"/>
              <w:right w:val="single" w:color="auto" w:sz="4" w:space="0"/>
            </w:tcBorders>
            <w:vAlign w:val="center"/>
          </w:tcPr>
          <w:sdt>
            <w:sdtPr>
              <w:tag w:val="_PLD_c62cdb22fba648808acfebda9f29289b"/>
              <w:id w:val="8115"/>
            </w:sdtPr>
            <w:sdtContent>
              <w:p>
                <w:pPr>
                  <w:jc w:val="center"/>
                  <w:rPr>
                    <w:szCs w:val="21"/>
                  </w:rPr>
                </w:pPr>
                <w:r>
                  <w:rPr>
                    <w:rFonts w:hint="eastAsia"/>
                    <w:szCs w:val="21"/>
                  </w:rPr>
                  <w:t>比例</w:t>
                </w:r>
                <w:r>
                  <w:rPr>
                    <w:szCs w:val="21"/>
                  </w:rPr>
                  <w:t>(%)</w:t>
                </w:r>
              </w:p>
            </w:sdtContent>
          </w:sdt>
        </w:tc>
        <w:tc>
          <w:tcPr>
            <w:tcW w:w="1549" w:type="dxa"/>
            <w:tcBorders>
              <w:left w:val="single" w:color="auto" w:sz="4" w:space="0"/>
              <w:bottom w:val="single" w:color="auto" w:sz="4" w:space="0"/>
              <w:right w:val="single" w:color="auto" w:sz="4" w:space="0"/>
            </w:tcBorders>
            <w:vAlign w:val="center"/>
          </w:tcPr>
          <w:sdt>
            <w:sdtPr>
              <w:tag w:val="_PLD_d259a31756a946a6a441328cc78413fc"/>
              <w:id w:val="8116"/>
            </w:sdtPr>
            <w:sdtContent>
              <w:p>
                <w:pPr>
                  <w:jc w:val="center"/>
                  <w:rPr>
                    <w:szCs w:val="21"/>
                  </w:rPr>
                </w:pPr>
                <w:r>
                  <w:rPr>
                    <w:rFonts w:hint="eastAsia"/>
                    <w:szCs w:val="21"/>
                  </w:rPr>
                  <w:t>金额</w:t>
                </w:r>
              </w:p>
            </w:sdtContent>
          </w:sdt>
        </w:tc>
        <w:tc>
          <w:tcPr>
            <w:tcW w:w="884" w:type="dxa"/>
            <w:tcBorders>
              <w:left w:val="single" w:color="auto" w:sz="4" w:space="0"/>
              <w:bottom w:val="single" w:color="auto" w:sz="4" w:space="0"/>
              <w:right w:val="single" w:color="auto" w:sz="4" w:space="0"/>
            </w:tcBorders>
            <w:vAlign w:val="center"/>
          </w:tcPr>
          <w:sdt>
            <w:sdtPr>
              <w:tag w:val="_PLD_f74078100e7348efb6fa93b2ac934809"/>
              <w:id w:val="8117"/>
            </w:sdtPr>
            <w:sdtContent>
              <w:p>
                <w:pPr>
                  <w:jc w:val="center"/>
                  <w:rPr>
                    <w:szCs w:val="21"/>
                  </w:rPr>
                </w:pPr>
                <w:r>
                  <w:rPr>
                    <w:rFonts w:hint="eastAsia"/>
                    <w:szCs w:val="21"/>
                  </w:rPr>
                  <w:t>计提比例</w:t>
                </w:r>
                <w:r>
                  <w:rPr>
                    <w:szCs w:val="21"/>
                  </w:rPr>
                  <w:t>(%)</w:t>
                </w:r>
              </w:p>
            </w:sdtContent>
          </w:sdt>
        </w:tc>
        <w:tc>
          <w:tcPr>
            <w:tcW w:w="1484" w:type="dxa"/>
            <w:vMerge w:val="continue"/>
            <w:tcBorders>
              <w:left w:val="single" w:color="auto" w:sz="4" w:space="0"/>
              <w:bottom w:val="single" w:color="auto" w:sz="4" w:space="0"/>
              <w:right w:val="single" w:color="auto" w:sz="4" w:space="0"/>
            </w:tcBorders>
            <w:vAlign w:val="center"/>
          </w:tcPr>
          <w:p>
            <w:pPr>
              <w:jc w:val="center"/>
              <w:rPr>
                <w:szCs w:val="21"/>
              </w:rPr>
            </w:pPr>
          </w:p>
        </w:tc>
        <w:tc>
          <w:tcPr>
            <w:tcW w:w="1549" w:type="dxa"/>
            <w:tcBorders>
              <w:left w:val="single" w:color="auto" w:sz="4" w:space="0"/>
              <w:bottom w:val="single" w:color="auto" w:sz="4" w:space="0"/>
              <w:right w:val="single" w:color="auto" w:sz="4" w:space="0"/>
            </w:tcBorders>
            <w:vAlign w:val="center"/>
          </w:tcPr>
          <w:sdt>
            <w:sdtPr>
              <w:tag w:val="_PLD_4b188b463cd04b5f935c04bb97091ad7"/>
              <w:id w:val="8118"/>
            </w:sdtPr>
            <w:sdtContent>
              <w:p>
                <w:pPr>
                  <w:jc w:val="center"/>
                  <w:rPr>
                    <w:szCs w:val="21"/>
                  </w:rPr>
                </w:pPr>
                <w:r>
                  <w:rPr>
                    <w:rFonts w:hint="eastAsia"/>
                    <w:szCs w:val="21"/>
                  </w:rPr>
                  <w:t>金额</w:t>
                </w:r>
              </w:p>
            </w:sdtContent>
          </w:sdt>
        </w:tc>
        <w:tc>
          <w:tcPr>
            <w:tcW w:w="862" w:type="dxa"/>
            <w:tcBorders>
              <w:left w:val="single" w:color="auto" w:sz="4" w:space="0"/>
              <w:bottom w:val="single" w:color="auto" w:sz="4" w:space="0"/>
              <w:right w:val="single" w:color="auto" w:sz="4" w:space="0"/>
            </w:tcBorders>
            <w:vAlign w:val="center"/>
          </w:tcPr>
          <w:sdt>
            <w:sdtPr>
              <w:tag w:val="_PLD_0eb49b8077f24050b883fe1c83156c6a"/>
              <w:id w:val="8119"/>
            </w:sdtPr>
            <w:sdtContent>
              <w:p>
                <w:pPr>
                  <w:jc w:val="center"/>
                  <w:rPr>
                    <w:szCs w:val="21"/>
                  </w:rPr>
                </w:pPr>
                <w:r>
                  <w:rPr>
                    <w:rFonts w:hint="eastAsia"/>
                    <w:szCs w:val="21"/>
                  </w:rPr>
                  <w:t>比例</w:t>
                </w:r>
                <w:r>
                  <w:rPr>
                    <w:szCs w:val="21"/>
                  </w:rPr>
                  <w:t>(%)</w:t>
                </w:r>
              </w:p>
            </w:sdtContent>
          </w:sdt>
        </w:tc>
        <w:tc>
          <w:tcPr>
            <w:tcW w:w="1494" w:type="dxa"/>
            <w:tcBorders>
              <w:left w:val="single" w:color="auto" w:sz="4" w:space="0"/>
              <w:bottom w:val="single" w:color="auto" w:sz="4" w:space="0"/>
              <w:right w:val="single" w:color="auto" w:sz="4" w:space="0"/>
            </w:tcBorders>
            <w:vAlign w:val="center"/>
          </w:tcPr>
          <w:sdt>
            <w:sdtPr>
              <w:tag w:val="_PLD_97b959dafb2649fe9097ba91d4d77a2f"/>
              <w:id w:val="8120"/>
            </w:sdtPr>
            <w:sdtContent>
              <w:p>
                <w:pPr>
                  <w:jc w:val="center"/>
                  <w:rPr>
                    <w:szCs w:val="21"/>
                  </w:rPr>
                </w:pPr>
                <w:r>
                  <w:rPr>
                    <w:rFonts w:hint="eastAsia"/>
                    <w:szCs w:val="21"/>
                  </w:rPr>
                  <w:t>金额</w:t>
                </w:r>
              </w:p>
            </w:sdtContent>
          </w:sdt>
        </w:tc>
        <w:tc>
          <w:tcPr>
            <w:tcW w:w="1015" w:type="dxa"/>
            <w:tcBorders>
              <w:left w:val="single" w:color="auto" w:sz="4" w:space="0"/>
              <w:bottom w:val="single" w:color="auto" w:sz="4" w:space="0"/>
              <w:right w:val="single" w:color="auto" w:sz="4" w:space="0"/>
            </w:tcBorders>
            <w:vAlign w:val="center"/>
          </w:tcPr>
          <w:sdt>
            <w:sdtPr>
              <w:tag w:val="_PLD_99dda048c2a04725a5d8bfac8b356378"/>
              <w:id w:val="8121"/>
            </w:sdtPr>
            <w:sdtContent>
              <w:p>
                <w:pPr>
                  <w:jc w:val="center"/>
                  <w:rPr>
                    <w:szCs w:val="21"/>
                  </w:rPr>
                </w:pPr>
                <w:r>
                  <w:rPr>
                    <w:rFonts w:hint="eastAsia"/>
                    <w:szCs w:val="21"/>
                  </w:rPr>
                  <w:t>计提比例</w:t>
                </w:r>
                <w:r>
                  <w:rPr>
                    <w:szCs w:val="21"/>
                  </w:rPr>
                  <w:t>(%)</w:t>
                </w:r>
              </w:p>
            </w:sdtContent>
          </w:sdt>
        </w:tc>
        <w:tc>
          <w:tcPr>
            <w:tcW w:w="1483" w:type="dxa"/>
            <w:vMerge w:val="continue"/>
            <w:tcBorders>
              <w:left w:val="single" w:color="auto" w:sz="4" w:space="0"/>
              <w:bottom w:val="single" w:color="auto" w:sz="4" w:space="0"/>
              <w:right w:val="single"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04"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按单项计提坏账准备</w:t>
            </w:r>
          </w:p>
        </w:tc>
        <w:tc>
          <w:tcPr>
            <w:tcW w:w="149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21,248,025.39</w:t>
            </w:r>
          </w:p>
        </w:tc>
        <w:tc>
          <w:tcPr>
            <w:tcW w:w="78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35.98</w:t>
            </w:r>
          </w:p>
        </w:tc>
        <w:tc>
          <w:tcPr>
            <w:tcW w:w="154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21,248,025.39</w:t>
            </w:r>
          </w:p>
        </w:tc>
        <w:tc>
          <w:tcPr>
            <w:tcW w:w="88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100.00</w:t>
            </w:r>
          </w:p>
        </w:tc>
        <w:tc>
          <w:tcPr>
            <w:tcW w:w="148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　</w:t>
            </w:r>
          </w:p>
        </w:tc>
        <w:tc>
          <w:tcPr>
            <w:tcW w:w="154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21,255,466.33</w:t>
            </w:r>
          </w:p>
        </w:tc>
        <w:tc>
          <w:tcPr>
            <w:tcW w:w="86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31.73</w:t>
            </w:r>
          </w:p>
        </w:tc>
        <w:tc>
          <w:tcPr>
            <w:tcW w:w="149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21,255,466.33</w:t>
            </w:r>
          </w:p>
        </w:tc>
        <w:tc>
          <w:tcPr>
            <w:tcW w:w="101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100.00</w:t>
            </w:r>
          </w:p>
        </w:tc>
        <w:tc>
          <w:tcPr>
            <w:tcW w:w="1483"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006" w:type="dxa"/>
            <w:gridSpan w:val="11"/>
            <w:tcBorders>
              <w:top w:val="single" w:color="auto" w:sz="4" w:space="0"/>
              <w:left w:val="single" w:color="auto" w:sz="4" w:space="0"/>
              <w:bottom w:val="single" w:color="auto" w:sz="4" w:space="0"/>
              <w:right w:val="single" w:color="auto" w:sz="4" w:space="0"/>
            </w:tcBorders>
            <w:vAlign w:val="center"/>
          </w:tcPr>
          <w:sdt>
            <w:sdtPr>
              <w:tag w:val="_PLD_b482c2c63c82442b8be7b0cffa7694c4"/>
              <w:id w:val="8122"/>
            </w:sdtPr>
            <w:sdtContent>
              <w:p>
                <w:pPr>
                  <w:rPr>
                    <w:szCs w:val="21"/>
                  </w:rPr>
                </w:pPr>
                <w:r>
                  <w:rPr>
                    <w:rFonts w:hint="eastAsia"/>
                    <w:szCs w:val="21"/>
                  </w:rPr>
                  <w:t>其中：</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04"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按组合计提坏账准备</w:t>
            </w:r>
          </w:p>
        </w:tc>
        <w:tc>
          <w:tcPr>
            <w:tcW w:w="149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37,809,700.09</w:t>
            </w:r>
          </w:p>
        </w:tc>
        <w:tc>
          <w:tcPr>
            <w:tcW w:w="78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64.02</w:t>
            </w:r>
          </w:p>
        </w:tc>
        <w:tc>
          <w:tcPr>
            <w:tcW w:w="154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10,468,775.91</w:t>
            </w:r>
          </w:p>
        </w:tc>
        <w:tc>
          <w:tcPr>
            <w:tcW w:w="88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50.35</w:t>
            </w:r>
          </w:p>
        </w:tc>
        <w:tc>
          <w:tcPr>
            <w:tcW w:w="148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27,340,924.18</w:t>
            </w:r>
          </w:p>
        </w:tc>
        <w:tc>
          <w:tcPr>
            <w:tcW w:w="154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45,736,561.40</w:t>
            </w:r>
          </w:p>
        </w:tc>
        <w:tc>
          <w:tcPr>
            <w:tcW w:w="86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68.27</w:t>
            </w:r>
          </w:p>
        </w:tc>
        <w:tc>
          <w:tcPr>
            <w:tcW w:w="149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10,901,322.13</w:t>
            </w:r>
          </w:p>
        </w:tc>
        <w:tc>
          <w:tcPr>
            <w:tcW w:w="101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69.32</w:t>
            </w:r>
          </w:p>
        </w:tc>
        <w:tc>
          <w:tcPr>
            <w:tcW w:w="148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34,835,239.27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006" w:type="dxa"/>
            <w:gridSpan w:val="11"/>
            <w:tcBorders>
              <w:top w:val="single" w:color="auto" w:sz="4" w:space="0"/>
              <w:left w:val="single" w:color="auto" w:sz="4" w:space="0"/>
              <w:bottom w:val="single" w:color="auto" w:sz="4" w:space="0"/>
              <w:right w:val="single" w:color="auto" w:sz="4" w:space="0"/>
            </w:tcBorders>
            <w:vAlign w:val="center"/>
          </w:tcPr>
          <w:sdt>
            <w:sdtPr>
              <w:tag w:val="_PLD_3e90aa50b20c494dafda2d9726e46570"/>
              <w:id w:val="8123"/>
            </w:sdtPr>
            <w:sdtContent>
              <w:p>
                <w:pPr>
                  <w:rPr>
                    <w:szCs w:val="21"/>
                  </w:rPr>
                </w:pPr>
                <w:r>
                  <w:rPr>
                    <w:rFonts w:hint="eastAsia"/>
                    <w:szCs w:val="21"/>
                  </w:rPr>
                  <w:t>其中：</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04" w:type="dxa"/>
            <w:tcBorders>
              <w:top w:val="single" w:color="auto" w:sz="4" w:space="0"/>
              <w:left w:val="single" w:color="auto" w:sz="4" w:space="0"/>
              <w:bottom w:val="single" w:color="auto" w:sz="4" w:space="0"/>
              <w:right w:val="single" w:color="auto" w:sz="4" w:space="0"/>
            </w:tcBorders>
            <w:vAlign w:val="center"/>
          </w:tcPr>
          <w:p>
            <w:pPr>
              <w:jc w:val="both"/>
              <w:rPr>
                <w:color w:val="808080"/>
                <w:szCs w:val="21"/>
              </w:rPr>
            </w:pPr>
            <w:r>
              <w:rPr>
                <w:rFonts w:hint="eastAsia"/>
                <w:szCs w:val="21"/>
              </w:rPr>
              <w:t>[组合1]账龄组合</w:t>
            </w:r>
          </w:p>
        </w:tc>
        <w:tc>
          <w:tcPr>
            <w:tcW w:w="149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20,792,252.26</w:t>
            </w:r>
          </w:p>
        </w:tc>
        <w:tc>
          <w:tcPr>
            <w:tcW w:w="78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35.21</w:t>
            </w:r>
          </w:p>
        </w:tc>
        <w:tc>
          <w:tcPr>
            <w:tcW w:w="154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10,468,775.91</w:t>
            </w:r>
          </w:p>
        </w:tc>
        <w:tc>
          <w:tcPr>
            <w:tcW w:w="88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50.35</w:t>
            </w:r>
          </w:p>
        </w:tc>
        <w:tc>
          <w:tcPr>
            <w:tcW w:w="148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10,323,476.35</w:t>
            </w:r>
          </w:p>
        </w:tc>
        <w:tc>
          <w:tcPr>
            <w:tcW w:w="154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15,726,832.32</w:t>
            </w:r>
          </w:p>
        </w:tc>
        <w:tc>
          <w:tcPr>
            <w:tcW w:w="86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23.47</w:t>
            </w:r>
          </w:p>
        </w:tc>
        <w:tc>
          <w:tcPr>
            <w:tcW w:w="149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10,901,322.13</w:t>
            </w:r>
          </w:p>
        </w:tc>
        <w:tc>
          <w:tcPr>
            <w:tcW w:w="101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69.32</w:t>
            </w:r>
          </w:p>
        </w:tc>
        <w:tc>
          <w:tcPr>
            <w:tcW w:w="148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4,825,510.19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04" w:type="dxa"/>
            <w:tcBorders>
              <w:top w:val="single" w:color="auto" w:sz="4" w:space="0"/>
              <w:left w:val="single" w:color="auto" w:sz="4" w:space="0"/>
              <w:bottom w:val="single" w:color="auto" w:sz="4" w:space="0"/>
              <w:right w:val="single" w:color="auto" w:sz="4" w:space="0"/>
            </w:tcBorders>
            <w:vAlign w:val="center"/>
          </w:tcPr>
          <w:p>
            <w:pPr>
              <w:jc w:val="both"/>
              <w:rPr>
                <w:color w:val="808080"/>
                <w:szCs w:val="21"/>
              </w:rPr>
            </w:pPr>
            <w:r>
              <w:rPr>
                <w:rFonts w:hint="eastAsia"/>
                <w:szCs w:val="21"/>
              </w:rPr>
              <w:t>[组合2]关联方组合</w:t>
            </w:r>
          </w:p>
        </w:tc>
        <w:tc>
          <w:tcPr>
            <w:tcW w:w="149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17,017,447.83</w:t>
            </w:r>
          </w:p>
        </w:tc>
        <w:tc>
          <w:tcPr>
            <w:tcW w:w="78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28.81</w:t>
            </w:r>
          </w:p>
        </w:tc>
        <w:tc>
          <w:tcPr>
            <w:tcW w:w="154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　</w:t>
            </w:r>
          </w:p>
        </w:tc>
        <w:tc>
          <w:tcPr>
            <w:tcW w:w="88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　</w:t>
            </w:r>
          </w:p>
        </w:tc>
        <w:tc>
          <w:tcPr>
            <w:tcW w:w="148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17,017,447.83</w:t>
            </w:r>
          </w:p>
        </w:tc>
        <w:tc>
          <w:tcPr>
            <w:tcW w:w="154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30,009,729.08</w:t>
            </w:r>
          </w:p>
        </w:tc>
        <w:tc>
          <w:tcPr>
            <w:tcW w:w="862"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44.80</w:t>
            </w:r>
          </w:p>
        </w:tc>
        <w:tc>
          <w:tcPr>
            <w:tcW w:w="149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 </w:t>
            </w:r>
          </w:p>
        </w:tc>
        <w:tc>
          <w:tcPr>
            <w:tcW w:w="101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 </w:t>
            </w:r>
          </w:p>
        </w:tc>
        <w:tc>
          <w:tcPr>
            <w:tcW w:w="148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30,009,729.08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0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szCs w:val="21"/>
              </w:rPr>
            </w:pPr>
            <w:r>
              <w:rPr>
                <w:rFonts w:hint="eastAsia"/>
                <w:szCs w:val="21"/>
              </w:rPr>
              <w:t>合计</w:t>
            </w:r>
          </w:p>
        </w:tc>
        <w:tc>
          <w:tcPr>
            <w:tcW w:w="149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59,057,725.48</w:t>
            </w:r>
          </w:p>
        </w:tc>
        <w:tc>
          <w:tcPr>
            <w:tcW w:w="785"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w:t>
            </w:r>
          </w:p>
        </w:tc>
        <w:tc>
          <w:tcPr>
            <w:tcW w:w="1549" w:type="dxa"/>
            <w:tcBorders>
              <w:top w:val="single" w:color="auto" w:sz="4" w:space="0"/>
              <w:left w:val="single" w:color="auto" w:sz="4" w:space="0"/>
              <w:bottom w:val="single" w:color="auto" w:sz="4" w:space="0"/>
              <w:right w:val="single" w:color="auto" w:sz="4" w:space="0"/>
            </w:tcBorders>
            <w:vAlign w:val="center"/>
          </w:tcPr>
          <w:p>
            <w:pPr>
              <w:jc w:val="right"/>
              <w:rPr>
                <w:rFonts w:hint="eastAsia" w:eastAsia="宋体"/>
                <w:szCs w:val="21"/>
                <w:lang w:eastAsia="zh-CN"/>
              </w:rPr>
            </w:pPr>
            <w:r>
              <w:rPr>
                <w:rFonts w:hint="eastAsia"/>
                <w:color w:val="auto"/>
                <w:lang w:eastAsia="zh-CN"/>
              </w:rPr>
              <w:t>31,716,801.30</w:t>
            </w:r>
          </w:p>
        </w:tc>
        <w:tc>
          <w:tcPr>
            <w:tcW w:w="884"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w:t>
            </w:r>
          </w:p>
        </w:tc>
        <w:tc>
          <w:tcPr>
            <w:tcW w:w="1484" w:type="dxa"/>
            <w:tcBorders>
              <w:top w:val="single" w:color="auto" w:sz="4" w:space="0"/>
              <w:left w:val="single" w:color="auto" w:sz="4" w:space="0"/>
              <w:bottom w:val="single" w:color="auto" w:sz="4" w:space="0"/>
              <w:right w:val="single" w:color="auto" w:sz="4" w:space="0"/>
            </w:tcBorders>
            <w:vAlign w:val="center"/>
          </w:tcPr>
          <w:p>
            <w:pPr>
              <w:jc w:val="right"/>
              <w:rPr>
                <w:rFonts w:hint="eastAsia" w:eastAsia="宋体"/>
                <w:szCs w:val="21"/>
                <w:lang w:eastAsia="zh-CN"/>
              </w:rPr>
            </w:pPr>
            <w:r>
              <w:rPr>
                <w:rFonts w:hint="eastAsia"/>
                <w:color w:val="auto"/>
                <w:lang w:eastAsia="zh-CN"/>
              </w:rPr>
              <w:t>27,340,924.18</w:t>
            </w:r>
          </w:p>
        </w:tc>
        <w:tc>
          <w:tcPr>
            <w:tcW w:w="1549"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66,992,027.73</w:t>
            </w:r>
          </w:p>
        </w:tc>
        <w:tc>
          <w:tcPr>
            <w:tcW w:w="862"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w:t>
            </w:r>
          </w:p>
        </w:tc>
        <w:tc>
          <w:tcPr>
            <w:tcW w:w="1494" w:type="dxa"/>
            <w:tcBorders>
              <w:top w:val="single" w:color="auto" w:sz="4" w:space="0"/>
              <w:left w:val="single" w:color="auto" w:sz="4" w:space="0"/>
              <w:bottom w:val="single" w:color="auto" w:sz="4" w:space="0"/>
              <w:right w:val="single" w:color="auto" w:sz="4" w:space="0"/>
            </w:tcBorders>
            <w:vAlign w:val="center"/>
          </w:tcPr>
          <w:p>
            <w:pPr>
              <w:jc w:val="right"/>
              <w:rPr>
                <w:rFonts w:hint="eastAsia" w:eastAsia="宋体"/>
                <w:szCs w:val="21"/>
                <w:lang w:eastAsia="zh-CN"/>
              </w:rPr>
            </w:pPr>
            <w:r>
              <w:rPr>
                <w:rFonts w:hint="eastAsia"/>
                <w:color w:val="auto"/>
                <w:lang w:eastAsia="zh-CN"/>
              </w:rPr>
              <w:t>32,156,788.46</w:t>
            </w:r>
          </w:p>
        </w:tc>
        <w:tc>
          <w:tcPr>
            <w:tcW w:w="1015"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w:t>
            </w:r>
          </w:p>
        </w:tc>
        <w:tc>
          <w:tcPr>
            <w:tcW w:w="1483" w:type="dxa"/>
            <w:tcBorders>
              <w:top w:val="single" w:color="auto" w:sz="4" w:space="0"/>
              <w:left w:val="single" w:color="auto" w:sz="4" w:space="0"/>
              <w:bottom w:val="single" w:color="auto" w:sz="4" w:space="0"/>
              <w:right w:val="single" w:color="auto" w:sz="4" w:space="0"/>
            </w:tcBorders>
            <w:vAlign w:val="center"/>
          </w:tcPr>
          <w:p>
            <w:pPr>
              <w:jc w:val="right"/>
              <w:rPr>
                <w:rFonts w:hint="eastAsia" w:eastAsia="宋体"/>
                <w:szCs w:val="21"/>
                <w:lang w:eastAsia="zh-CN"/>
              </w:rPr>
            </w:pPr>
            <w:r>
              <w:rPr>
                <w:rFonts w:hint="eastAsia"/>
                <w:color w:val="auto"/>
                <w:lang w:eastAsia="zh-CN"/>
              </w:rPr>
              <w:t>34,835,239.27</w:t>
            </w:r>
          </w:p>
        </w:tc>
      </w:tr>
    </w:tbl>
    <w:p>
      <w:pPr>
        <w:sectPr>
          <w:pgSz w:w="16838" w:h="11906" w:orient="landscape"/>
          <w:pgMar w:top="1797" w:right="1525" w:bottom="1276" w:left="1440" w:header="856" w:footer="992" w:gutter="0"/>
          <w:cols w:space="425" w:num="1"/>
          <w:docGrid w:linePitch="312" w:charSpace="0"/>
        </w:sectPr>
      </w:pPr>
    </w:p>
    <w:p>
      <w:pPr>
        <w:pStyle w:val="17"/>
      </w:pPr>
    </w:p>
    <w:bookmarkEnd w:id="384"/>
    <w:p>
      <w:pPr>
        <w:rPr>
          <w:szCs w:val="21"/>
        </w:rPr>
      </w:pPr>
      <w:r>
        <w:rPr>
          <w:rFonts w:hint="eastAsia"/>
          <w:szCs w:val="21"/>
        </w:rPr>
        <w:t>按单项计提坏账准备：</w:t>
      </w:r>
    </w:p>
    <w:sdt>
      <w:sdtPr>
        <w:alias w:val="是否适用：母公司应收账款按单项计提坏账准备[双击切换]"/>
        <w:tag w:val="_GBC_1cd34dae0bf14ebba3d99534844e7d95"/>
        <w:id w:val="8124"/>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autoSpaceDE w:val="0"/>
        <w:autoSpaceDN w:val="0"/>
        <w:adjustRightInd w:val="0"/>
        <w:ind w:left="5880" w:right="105"/>
        <w:jc w:val="right"/>
        <w:rPr>
          <w:szCs w:val="21"/>
        </w:rPr>
      </w:pPr>
      <w:bookmarkStart w:id="385" w:name="_Hlk533796752"/>
      <w:r>
        <w:rPr>
          <w:rFonts w:hint="eastAsia"/>
          <w:szCs w:val="21"/>
          <w:lang w:val="en-US" w:eastAsia="zh-CN"/>
        </w:rPr>
        <w:t>单</w:t>
      </w:r>
      <w:r>
        <w:rPr>
          <w:rFonts w:hint="eastAsia"/>
          <w:szCs w:val="21"/>
        </w:rPr>
        <w:t>位：</w:t>
      </w:r>
      <w:sdt>
        <w:sdtPr>
          <w:rPr>
            <w:rFonts w:hint="eastAsia"/>
            <w:szCs w:val="21"/>
          </w:rPr>
          <w:alias w:val="单位：母公司应收账款按单项计提坏账准备"/>
          <w:tag w:val="_GBC_92bc20ad98a2451daf91a5a49b199fd6"/>
          <w:id w:val="812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母公司应收账款按单项计提坏账准备"/>
          <w:tag w:val="_GBC_0a6db35d2d144335a2ac2dfe3b629ff1"/>
          <w:id w:val="812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9"/>
        <w:gridCol w:w="1699"/>
        <w:gridCol w:w="1701"/>
        <w:gridCol w:w="1368"/>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vMerge w:val="restart"/>
            <w:vAlign w:val="center"/>
          </w:tcPr>
          <w:sdt>
            <w:sdtPr>
              <w:tag w:val="_PLD_bf06f48741cf4f8683629bc86fe4253a"/>
              <w:id w:val="8127"/>
            </w:sdtPr>
            <w:sdtContent>
              <w:p>
                <w:pPr>
                  <w:jc w:val="center"/>
                  <w:rPr>
                    <w:szCs w:val="21"/>
                  </w:rPr>
                </w:pPr>
                <w:r>
                  <w:rPr>
                    <w:rFonts w:hint="eastAsia"/>
                    <w:szCs w:val="21"/>
                  </w:rPr>
                  <w:t>名称</w:t>
                </w:r>
              </w:p>
            </w:sdtContent>
          </w:sdt>
        </w:tc>
        <w:tc>
          <w:tcPr>
            <w:tcW w:w="6950" w:type="dxa"/>
            <w:gridSpan w:val="4"/>
            <w:vAlign w:val="center"/>
          </w:tcPr>
          <w:sdt>
            <w:sdtPr>
              <w:tag w:val="_PLD_e8eabae632cb4a738dba30bece28c3a8"/>
              <w:id w:val="8128"/>
            </w:sdtPr>
            <w:sdtContent>
              <w:p>
                <w:pPr>
                  <w:jc w:val="center"/>
                  <w:rPr>
                    <w:szCs w:val="21"/>
                  </w:rPr>
                </w:pPr>
                <w:r>
                  <w:rPr>
                    <w:rFonts w:hint="eastAsia"/>
                    <w:szCs w:val="21"/>
                  </w:rPr>
                  <w:t>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vMerge w:val="continue"/>
            <w:vAlign w:val="center"/>
          </w:tcPr>
          <w:p>
            <w:pPr>
              <w:jc w:val="center"/>
              <w:rPr>
                <w:szCs w:val="21"/>
              </w:rPr>
            </w:pPr>
          </w:p>
        </w:tc>
        <w:tc>
          <w:tcPr>
            <w:tcW w:w="1699" w:type="dxa"/>
            <w:vAlign w:val="center"/>
          </w:tcPr>
          <w:sdt>
            <w:sdtPr>
              <w:tag w:val="_PLD_0ea49c9284ac4750b9c5ffe19ec4732c"/>
              <w:id w:val="8129"/>
            </w:sdtPr>
            <w:sdtContent>
              <w:p>
                <w:pPr>
                  <w:jc w:val="center"/>
                  <w:rPr>
                    <w:szCs w:val="21"/>
                  </w:rPr>
                </w:pPr>
                <w:r>
                  <w:rPr>
                    <w:rFonts w:hint="eastAsia"/>
                    <w:szCs w:val="21"/>
                  </w:rPr>
                  <w:t>账面余额</w:t>
                </w:r>
              </w:p>
            </w:sdtContent>
          </w:sdt>
        </w:tc>
        <w:tc>
          <w:tcPr>
            <w:tcW w:w="1701" w:type="dxa"/>
            <w:vAlign w:val="center"/>
          </w:tcPr>
          <w:sdt>
            <w:sdtPr>
              <w:tag w:val="_PLD_4e5b035254d34ab286177f908a392849"/>
              <w:id w:val="8130"/>
            </w:sdtPr>
            <w:sdtContent>
              <w:p>
                <w:pPr>
                  <w:jc w:val="center"/>
                  <w:rPr>
                    <w:szCs w:val="21"/>
                  </w:rPr>
                </w:pPr>
                <w:r>
                  <w:rPr>
                    <w:rFonts w:hint="eastAsia"/>
                    <w:szCs w:val="21"/>
                  </w:rPr>
                  <w:t>坏账准备</w:t>
                </w:r>
              </w:p>
            </w:sdtContent>
          </w:sdt>
        </w:tc>
        <w:tc>
          <w:tcPr>
            <w:tcW w:w="1368" w:type="dxa"/>
            <w:vAlign w:val="center"/>
          </w:tcPr>
          <w:sdt>
            <w:sdtPr>
              <w:tag w:val="_PLD_9316156bac3c45f593fc5f35e8e28833"/>
              <w:id w:val="8131"/>
            </w:sdtPr>
            <w:sdtContent>
              <w:p>
                <w:pPr>
                  <w:jc w:val="center"/>
                  <w:rPr>
                    <w:szCs w:val="21"/>
                  </w:rPr>
                </w:pPr>
                <w:r>
                  <w:rPr>
                    <w:szCs w:val="21"/>
                  </w:rPr>
                  <w:t>计提比例</w:t>
                </w:r>
                <w:r>
                  <w:rPr>
                    <w:rFonts w:hint="eastAsia"/>
                    <w:szCs w:val="21"/>
                  </w:rPr>
                  <w:t>（%）</w:t>
                </w:r>
              </w:p>
            </w:sdtContent>
          </w:sdt>
        </w:tc>
        <w:tc>
          <w:tcPr>
            <w:tcW w:w="2182" w:type="dxa"/>
            <w:vAlign w:val="center"/>
          </w:tcPr>
          <w:sdt>
            <w:sdtPr>
              <w:tag w:val="_PLD_20dce80930bd4c9eb9bd96af960a880b"/>
              <w:id w:val="8132"/>
            </w:sdtPr>
            <w:sdtContent>
              <w:p>
                <w:pPr>
                  <w:jc w:val="center"/>
                  <w:rPr>
                    <w:szCs w:val="21"/>
                  </w:rPr>
                </w:pPr>
                <w:r>
                  <w:rPr>
                    <w:rFonts w:hint="eastAsia"/>
                    <w:szCs w:val="21"/>
                  </w:rPr>
                  <w:t>计提理由</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vAlign w:val="center"/>
          </w:tcPr>
          <w:p>
            <w:pPr>
              <w:rPr>
                <w:szCs w:val="21"/>
              </w:rPr>
            </w:pPr>
            <w:r>
              <w:rPr>
                <w:rFonts w:hint="eastAsia"/>
                <w:color w:val="auto"/>
              </w:rPr>
              <w:t>上海诗玛尔家居用品有限公司</w:t>
            </w:r>
          </w:p>
        </w:tc>
        <w:tc>
          <w:tcPr>
            <w:tcW w:w="1699" w:type="dxa"/>
            <w:vAlign w:val="center"/>
          </w:tcPr>
          <w:p>
            <w:pPr>
              <w:jc w:val="right"/>
              <w:rPr>
                <w:szCs w:val="21"/>
              </w:rPr>
            </w:pPr>
            <w:r>
              <w:rPr>
                <w:rFonts w:hint="eastAsia"/>
                <w:color w:val="auto"/>
              </w:rPr>
              <w:t>15,609,244.47</w:t>
            </w:r>
          </w:p>
        </w:tc>
        <w:tc>
          <w:tcPr>
            <w:tcW w:w="1701" w:type="dxa"/>
            <w:vAlign w:val="center"/>
          </w:tcPr>
          <w:p>
            <w:pPr>
              <w:jc w:val="right"/>
              <w:rPr>
                <w:szCs w:val="21"/>
              </w:rPr>
            </w:pPr>
            <w:r>
              <w:rPr>
                <w:rFonts w:hint="eastAsia"/>
                <w:color w:val="auto"/>
              </w:rPr>
              <w:t>15,609,244.47</w:t>
            </w:r>
          </w:p>
        </w:tc>
        <w:tc>
          <w:tcPr>
            <w:tcW w:w="1368" w:type="dxa"/>
            <w:vAlign w:val="center"/>
          </w:tcPr>
          <w:p>
            <w:pPr>
              <w:jc w:val="right"/>
              <w:rPr>
                <w:szCs w:val="21"/>
              </w:rPr>
            </w:pPr>
            <w:r>
              <w:rPr>
                <w:rFonts w:hint="eastAsia"/>
                <w:color w:val="auto"/>
              </w:rPr>
              <w:t>100</w:t>
            </w:r>
          </w:p>
        </w:tc>
        <w:tc>
          <w:tcPr>
            <w:tcW w:w="2182" w:type="dxa"/>
            <w:vAlign w:val="center"/>
          </w:tcPr>
          <w:p>
            <w:pPr>
              <w:rPr>
                <w:szCs w:val="21"/>
                <w:highlight w:val="yellow"/>
              </w:rPr>
            </w:pPr>
            <w:r>
              <w:rPr>
                <w:rFonts w:hint="eastAsia"/>
                <w:color w:val="auto"/>
              </w:rPr>
              <w:t>预计收回可能性较小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vAlign w:val="center"/>
          </w:tcPr>
          <w:p>
            <w:pPr>
              <w:rPr>
                <w:szCs w:val="21"/>
              </w:rPr>
            </w:pPr>
            <w:r>
              <w:rPr>
                <w:rFonts w:hint="eastAsia"/>
                <w:color w:val="auto"/>
              </w:rPr>
              <w:t>广西民族印刷厂</w:t>
            </w:r>
          </w:p>
        </w:tc>
        <w:tc>
          <w:tcPr>
            <w:tcW w:w="1699" w:type="dxa"/>
            <w:vAlign w:val="center"/>
          </w:tcPr>
          <w:p>
            <w:pPr>
              <w:jc w:val="right"/>
              <w:rPr>
                <w:szCs w:val="21"/>
              </w:rPr>
            </w:pPr>
            <w:r>
              <w:rPr>
                <w:rFonts w:hint="eastAsia"/>
                <w:color w:val="auto"/>
              </w:rPr>
              <w:t>2,079,197.55</w:t>
            </w:r>
          </w:p>
        </w:tc>
        <w:tc>
          <w:tcPr>
            <w:tcW w:w="1701" w:type="dxa"/>
            <w:vAlign w:val="center"/>
          </w:tcPr>
          <w:p>
            <w:pPr>
              <w:jc w:val="right"/>
              <w:rPr>
                <w:szCs w:val="21"/>
              </w:rPr>
            </w:pPr>
            <w:r>
              <w:rPr>
                <w:rFonts w:hint="eastAsia"/>
                <w:color w:val="auto"/>
              </w:rPr>
              <w:t>2,079,197.55</w:t>
            </w:r>
          </w:p>
        </w:tc>
        <w:tc>
          <w:tcPr>
            <w:tcW w:w="1368" w:type="dxa"/>
            <w:vAlign w:val="center"/>
          </w:tcPr>
          <w:p>
            <w:pPr>
              <w:jc w:val="right"/>
              <w:rPr>
                <w:szCs w:val="21"/>
              </w:rPr>
            </w:pPr>
            <w:r>
              <w:rPr>
                <w:rFonts w:hint="eastAsia"/>
                <w:color w:val="auto"/>
              </w:rPr>
              <w:t>100</w:t>
            </w:r>
          </w:p>
        </w:tc>
        <w:tc>
          <w:tcPr>
            <w:tcW w:w="2182" w:type="dxa"/>
            <w:vAlign w:val="center"/>
          </w:tcPr>
          <w:p>
            <w:pPr>
              <w:rPr>
                <w:szCs w:val="21"/>
                <w:highlight w:val="yellow"/>
              </w:rPr>
            </w:pPr>
            <w:r>
              <w:rPr>
                <w:rFonts w:hint="eastAsia"/>
                <w:color w:val="auto"/>
              </w:rPr>
              <w:t>预计收回可能性较小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vAlign w:val="center"/>
          </w:tcPr>
          <w:p>
            <w:pPr>
              <w:rPr>
                <w:szCs w:val="21"/>
              </w:rPr>
            </w:pPr>
            <w:r>
              <w:rPr>
                <w:rFonts w:hint="eastAsia"/>
                <w:color w:val="auto"/>
              </w:rPr>
              <w:t>柳州市泓博纸业有限公司</w:t>
            </w:r>
          </w:p>
        </w:tc>
        <w:tc>
          <w:tcPr>
            <w:tcW w:w="1699" w:type="dxa"/>
            <w:vAlign w:val="center"/>
          </w:tcPr>
          <w:p>
            <w:pPr>
              <w:jc w:val="right"/>
              <w:rPr>
                <w:szCs w:val="21"/>
              </w:rPr>
            </w:pPr>
            <w:r>
              <w:rPr>
                <w:rFonts w:hint="eastAsia"/>
                <w:color w:val="auto"/>
              </w:rPr>
              <w:t>727,457.93</w:t>
            </w:r>
          </w:p>
        </w:tc>
        <w:tc>
          <w:tcPr>
            <w:tcW w:w="1701" w:type="dxa"/>
            <w:vAlign w:val="center"/>
          </w:tcPr>
          <w:p>
            <w:pPr>
              <w:jc w:val="right"/>
              <w:rPr>
                <w:szCs w:val="21"/>
              </w:rPr>
            </w:pPr>
            <w:r>
              <w:rPr>
                <w:rFonts w:hint="eastAsia"/>
                <w:color w:val="auto"/>
              </w:rPr>
              <w:t>727,457.93</w:t>
            </w:r>
          </w:p>
        </w:tc>
        <w:tc>
          <w:tcPr>
            <w:tcW w:w="1368" w:type="dxa"/>
            <w:vAlign w:val="center"/>
          </w:tcPr>
          <w:p>
            <w:pPr>
              <w:jc w:val="right"/>
              <w:rPr>
                <w:szCs w:val="21"/>
              </w:rPr>
            </w:pPr>
            <w:r>
              <w:rPr>
                <w:rFonts w:hint="eastAsia"/>
                <w:color w:val="auto"/>
              </w:rPr>
              <w:t>100</w:t>
            </w:r>
          </w:p>
        </w:tc>
        <w:tc>
          <w:tcPr>
            <w:tcW w:w="2182" w:type="dxa"/>
            <w:vAlign w:val="center"/>
          </w:tcPr>
          <w:p>
            <w:pPr>
              <w:rPr>
                <w:szCs w:val="21"/>
                <w:highlight w:val="yellow"/>
              </w:rPr>
            </w:pPr>
            <w:r>
              <w:rPr>
                <w:rFonts w:hint="eastAsia"/>
                <w:color w:val="auto"/>
              </w:rPr>
              <w:t>预计收回可能性较小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vAlign w:val="center"/>
          </w:tcPr>
          <w:p>
            <w:pPr>
              <w:rPr>
                <w:szCs w:val="21"/>
              </w:rPr>
            </w:pPr>
            <w:r>
              <w:rPr>
                <w:rFonts w:hint="eastAsia"/>
                <w:color w:val="auto"/>
              </w:rPr>
              <w:t>玉林日用品经营部</w:t>
            </w:r>
          </w:p>
        </w:tc>
        <w:tc>
          <w:tcPr>
            <w:tcW w:w="1699" w:type="dxa"/>
            <w:vAlign w:val="center"/>
          </w:tcPr>
          <w:p>
            <w:pPr>
              <w:jc w:val="right"/>
              <w:rPr>
                <w:szCs w:val="21"/>
              </w:rPr>
            </w:pPr>
            <w:r>
              <w:rPr>
                <w:rFonts w:hint="eastAsia"/>
                <w:color w:val="auto"/>
              </w:rPr>
              <w:t>616,115.30</w:t>
            </w:r>
          </w:p>
        </w:tc>
        <w:tc>
          <w:tcPr>
            <w:tcW w:w="1701" w:type="dxa"/>
            <w:vAlign w:val="center"/>
          </w:tcPr>
          <w:p>
            <w:pPr>
              <w:jc w:val="right"/>
              <w:rPr>
                <w:szCs w:val="21"/>
              </w:rPr>
            </w:pPr>
            <w:r>
              <w:rPr>
                <w:rFonts w:hint="eastAsia"/>
                <w:color w:val="auto"/>
              </w:rPr>
              <w:t>616,115.30</w:t>
            </w:r>
          </w:p>
        </w:tc>
        <w:tc>
          <w:tcPr>
            <w:tcW w:w="1368" w:type="dxa"/>
            <w:vAlign w:val="center"/>
          </w:tcPr>
          <w:p>
            <w:pPr>
              <w:jc w:val="right"/>
              <w:rPr>
                <w:szCs w:val="21"/>
              </w:rPr>
            </w:pPr>
            <w:r>
              <w:rPr>
                <w:rFonts w:hint="eastAsia"/>
                <w:color w:val="auto"/>
              </w:rPr>
              <w:t>100</w:t>
            </w:r>
          </w:p>
        </w:tc>
        <w:tc>
          <w:tcPr>
            <w:tcW w:w="2182" w:type="dxa"/>
            <w:vAlign w:val="center"/>
          </w:tcPr>
          <w:p>
            <w:pPr>
              <w:rPr>
                <w:szCs w:val="21"/>
                <w:highlight w:val="yellow"/>
              </w:rPr>
            </w:pPr>
            <w:r>
              <w:rPr>
                <w:rFonts w:hint="eastAsia"/>
                <w:color w:val="auto"/>
              </w:rPr>
              <w:t>预计收回可能性较小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vAlign w:val="center"/>
          </w:tcPr>
          <w:p>
            <w:pPr>
              <w:rPr>
                <w:szCs w:val="21"/>
              </w:rPr>
            </w:pPr>
            <w:r>
              <w:rPr>
                <w:rFonts w:hint="eastAsia"/>
                <w:color w:val="auto"/>
              </w:rPr>
              <w:t>长春市粤惠洗涤化妆品公司</w:t>
            </w:r>
          </w:p>
        </w:tc>
        <w:tc>
          <w:tcPr>
            <w:tcW w:w="1699" w:type="dxa"/>
            <w:vAlign w:val="center"/>
          </w:tcPr>
          <w:p>
            <w:pPr>
              <w:jc w:val="right"/>
              <w:rPr>
                <w:szCs w:val="21"/>
              </w:rPr>
            </w:pPr>
            <w:r>
              <w:rPr>
                <w:rFonts w:hint="eastAsia"/>
                <w:color w:val="auto"/>
              </w:rPr>
              <w:t>554,277.71</w:t>
            </w:r>
          </w:p>
        </w:tc>
        <w:tc>
          <w:tcPr>
            <w:tcW w:w="1701" w:type="dxa"/>
            <w:vAlign w:val="center"/>
          </w:tcPr>
          <w:p>
            <w:pPr>
              <w:jc w:val="right"/>
              <w:rPr>
                <w:szCs w:val="21"/>
              </w:rPr>
            </w:pPr>
            <w:r>
              <w:rPr>
                <w:rFonts w:hint="eastAsia"/>
                <w:color w:val="auto"/>
              </w:rPr>
              <w:t>554,277.71</w:t>
            </w:r>
          </w:p>
        </w:tc>
        <w:tc>
          <w:tcPr>
            <w:tcW w:w="1368" w:type="dxa"/>
            <w:vAlign w:val="center"/>
          </w:tcPr>
          <w:p>
            <w:pPr>
              <w:jc w:val="right"/>
              <w:rPr>
                <w:szCs w:val="21"/>
              </w:rPr>
            </w:pPr>
            <w:r>
              <w:rPr>
                <w:rFonts w:hint="eastAsia"/>
                <w:color w:val="auto"/>
              </w:rPr>
              <w:t>100</w:t>
            </w:r>
          </w:p>
        </w:tc>
        <w:tc>
          <w:tcPr>
            <w:tcW w:w="2182" w:type="dxa"/>
            <w:vAlign w:val="center"/>
          </w:tcPr>
          <w:p>
            <w:pPr>
              <w:rPr>
                <w:szCs w:val="21"/>
                <w:highlight w:val="yellow"/>
              </w:rPr>
            </w:pPr>
            <w:r>
              <w:rPr>
                <w:rFonts w:hint="eastAsia"/>
                <w:color w:val="auto"/>
              </w:rPr>
              <w:t>预计收回可能性较小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vAlign w:val="center"/>
          </w:tcPr>
          <w:p>
            <w:pPr>
              <w:rPr>
                <w:szCs w:val="21"/>
              </w:rPr>
            </w:pPr>
            <w:r>
              <w:rPr>
                <w:rFonts w:hint="eastAsia"/>
                <w:color w:val="auto"/>
              </w:rPr>
              <w:t>其他客户汇总</w:t>
            </w:r>
          </w:p>
        </w:tc>
        <w:tc>
          <w:tcPr>
            <w:tcW w:w="1699" w:type="dxa"/>
            <w:vAlign w:val="center"/>
          </w:tcPr>
          <w:p>
            <w:pPr>
              <w:jc w:val="right"/>
              <w:rPr>
                <w:szCs w:val="21"/>
              </w:rPr>
            </w:pPr>
            <w:r>
              <w:rPr>
                <w:rFonts w:hint="eastAsia"/>
                <w:color w:val="auto"/>
              </w:rPr>
              <w:t>1,661,732.43</w:t>
            </w:r>
          </w:p>
        </w:tc>
        <w:tc>
          <w:tcPr>
            <w:tcW w:w="1701" w:type="dxa"/>
            <w:vAlign w:val="center"/>
          </w:tcPr>
          <w:p>
            <w:pPr>
              <w:jc w:val="right"/>
              <w:rPr>
                <w:szCs w:val="21"/>
              </w:rPr>
            </w:pPr>
            <w:r>
              <w:rPr>
                <w:rFonts w:hint="eastAsia"/>
                <w:color w:val="auto"/>
              </w:rPr>
              <w:t>1,661,732.43</w:t>
            </w:r>
          </w:p>
        </w:tc>
        <w:tc>
          <w:tcPr>
            <w:tcW w:w="1368" w:type="dxa"/>
            <w:vAlign w:val="center"/>
          </w:tcPr>
          <w:p>
            <w:pPr>
              <w:jc w:val="right"/>
              <w:rPr>
                <w:szCs w:val="21"/>
              </w:rPr>
            </w:pPr>
            <w:r>
              <w:rPr>
                <w:rFonts w:hint="eastAsia"/>
                <w:color w:val="auto"/>
              </w:rPr>
              <w:t>100</w:t>
            </w:r>
          </w:p>
        </w:tc>
        <w:tc>
          <w:tcPr>
            <w:tcW w:w="2182" w:type="dxa"/>
            <w:vAlign w:val="center"/>
          </w:tcPr>
          <w:p>
            <w:pPr>
              <w:rPr>
                <w:szCs w:val="21"/>
                <w:highlight w:val="yellow"/>
              </w:rPr>
            </w:pPr>
            <w:r>
              <w:rPr>
                <w:rFonts w:hint="eastAsia"/>
                <w:color w:val="auto"/>
              </w:rPr>
              <w:t>预计收回可能性较小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vAlign w:val="center"/>
          </w:tcPr>
          <w:p>
            <w:pPr>
              <w:jc w:val="center"/>
              <w:rPr>
                <w:szCs w:val="21"/>
              </w:rPr>
            </w:pPr>
            <w:r>
              <w:rPr>
                <w:rFonts w:hint="eastAsia"/>
                <w:szCs w:val="21"/>
              </w:rPr>
              <w:t>合计</w:t>
            </w:r>
          </w:p>
        </w:tc>
        <w:tc>
          <w:tcPr>
            <w:tcW w:w="1699" w:type="dxa"/>
            <w:vAlign w:val="center"/>
          </w:tcPr>
          <w:p>
            <w:pPr>
              <w:jc w:val="right"/>
              <w:rPr>
                <w:szCs w:val="21"/>
              </w:rPr>
            </w:pPr>
            <w:r>
              <w:rPr>
                <w:rFonts w:hint="eastAsia"/>
                <w:color w:val="auto"/>
              </w:rPr>
              <w:t>21,248,025.39</w:t>
            </w:r>
          </w:p>
        </w:tc>
        <w:tc>
          <w:tcPr>
            <w:tcW w:w="1701" w:type="dxa"/>
            <w:vAlign w:val="center"/>
          </w:tcPr>
          <w:p>
            <w:pPr>
              <w:jc w:val="right"/>
              <w:rPr>
                <w:szCs w:val="21"/>
              </w:rPr>
            </w:pPr>
            <w:r>
              <w:rPr>
                <w:rFonts w:hint="eastAsia"/>
                <w:color w:val="auto"/>
              </w:rPr>
              <w:t>21,248,025.39</w:t>
            </w:r>
          </w:p>
        </w:tc>
        <w:tc>
          <w:tcPr>
            <w:tcW w:w="1368" w:type="dxa"/>
            <w:vAlign w:val="center"/>
          </w:tcPr>
          <w:p>
            <w:pPr>
              <w:jc w:val="right"/>
              <w:rPr>
                <w:szCs w:val="21"/>
              </w:rPr>
            </w:pPr>
            <w:r>
              <w:rPr>
                <w:rFonts w:hint="eastAsia"/>
                <w:color w:val="auto"/>
              </w:rPr>
              <w:t>100</w:t>
            </w:r>
          </w:p>
        </w:tc>
        <w:tc>
          <w:tcPr>
            <w:tcW w:w="2182" w:type="dxa"/>
            <w:vAlign w:val="center"/>
          </w:tcPr>
          <w:p>
            <w:pPr>
              <w:jc w:val="center"/>
              <w:rPr>
                <w:szCs w:val="21"/>
              </w:rPr>
            </w:pPr>
            <w:r>
              <w:rPr>
                <w:rFonts w:hint="eastAsia"/>
                <w:szCs w:val="21"/>
              </w:rPr>
              <w:t>/</w:t>
            </w:r>
          </w:p>
        </w:tc>
      </w:tr>
    </w:tbl>
    <w:p>
      <w:pPr>
        <w:keepNext w:val="0"/>
        <w:keepLines w:val="0"/>
        <w:pageBreakBefore w:val="0"/>
        <w:kinsoku/>
        <w:wordWrap/>
        <w:overflowPunct/>
        <w:topLinePunct w:val="0"/>
        <w:bidi w:val="0"/>
        <w:snapToGrid/>
        <w:spacing w:line="400" w:lineRule="exact"/>
        <w:textAlignment w:val="auto"/>
        <w:rPr>
          <w:szCs w:val="21"/>
        </w:rPr>
      </w:pPr>
      <w:r>
        <w:rPr>
          <w:rFonts w:hint="eastAsia"/>
          <w:szCs w:val="21"/>
        </w:rPr>
        <w:t>按单项计提坏账准备的说明：</w:t>
      </w:r>
    </w:p>
    <w:sdt>
      <w:sdtPr>
        <w:rPr>
          <w:szCs w:val="21"/>
        </w:rPr>
        <w:alias w:val="是否适用：母公司应收账款按单项计提坏账准备的说明[双击切换]"/>
        <w:tag w:val="_GBC_30d6fcd4135245dd83d85379087b4e62"/>
        <w:id w:val="8133"/>
        <w:placeholder>
          <w:docPart w:val="GBC22222222222222222222222222222"/>
        </w:placeholder>
      </w:sdtPr>
      <w:sdtEndPr>
        <w:rPr>
          <w:szCs w:val="21"/>
        </w:rPr>
      </w:sdtEndPr>
      <w:sdtContent>
        <w:p>
          <w:pPr>
            <w:keepNext w:val="0"/>
            <w:keepLines w:val="0"/>
            <w:pageBreakBefore w:val="0"/>
            <w:kinsoku/>
            <w:wordWrap/>
            <w:overflowPunct/>
            <w:topLinePunct w:val="0"/>
            <w:bidi w:val="0"/>
            <w:snapToGrid/>
            <w:spacing w:line="400" w:lineRule="exact"/>
            <w:textAlignment w:val="auto"/>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keepNext w:val="0"/>
        <w:keepLines w:val="0"/>
        <w:pageBreakBefore w:val="0"/>
        <w:kinsoku/>
        <w:wordWrap/>
        <w:overflowPunct/>
        <w:topLinePunct w:val="0"/>
        <w:bidi w:val="0"/>
        <w:snapToGrid/>
        <w:spacing w:line="400" w:lineRule="exact"/>
        <w:textAlignment w:val="auto"/>
      </w:pPr>
    </w:p>
    <w:bookmarkEnd w:id="385"/>
    <w:sdt>
      <w:sdtPr>
        <w:tag w:val="_PLD_23aec57fe4b34ac2aa7d42cb52467101"/>
        <w:id w:val="8134"/>
      </w:sdtPr>
      <w:sdtContent>
        <w:p>
          <w:pPr>
            <w:keepNext w:val="0"/>
            <w:keepLines w:val="0"/>
            <w:pageBreakBefore w:val="0"/>
            <w:kinsoku/>
            <w:wordWrap/>
            <w:overflowPunct/>
            <w:topLinePunct w:val="0"/>
            <w:bidi w:val="0"/>
            <w:snapToGrid/>
            <w:spacing w:line="400" w:lineRule="exact"/>
            <w:textAlignment w:val="auto"/>
            <w:rPr>
              <w:szCs w:val="21"/>
            </w:rPr>
          </w:pPr>
          <w:r>
            <w:rPr>
              <w:rFonts w:hint="eastAsia"/>
              <w:szCs w:val="21"/>
            </w:rPr>
            <w:t>按组合计提坏账准备：</w:t>
          </w:r>
        </w:p>
      </w:sdtContent>
    </w:sdt>
    <w:sdt>
      <w:sdtPr>
        <w:alias w:val="是否适用：母公司应收账款按组合计提坏账准备[双击切换]"/>
        <w:tag w:val="_GBC_70ac43d24876403083fb1d281c12cd7e"/>
        <w:id w:val="8135"/>
        <w:placeholder>
          <w:docPart w:val="GBC22222222222222222222222222222"/>
        </w:placeholder>
      </w:sdtPr>
      <w:sdtContent>
        <w:p>
          <w:pPr>
            <w:keepNext w:val="0"/>
            <w:keepLines w:val="0"/>
            <w:pageBreakBefore w:val="0"/>
            <w:kinsoku/>
            <w:wordWrap/>
            <w:overflowPunct/>
            <w:topLinePunct w:val="0"/>
            <w:bidi w:val="0"/>
            <w:snapToGrid/>
            <w:spacing w:line="400" w:lineRule="exact"/>
            <w:textAlignment w:val="auto"/>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keepNext w:val="0"/>
        <w:keepLines w:val="0"/>
        <w:pageBreakBefore w:val="0"/>
        <w:kinsoku/>
        <w:wordWrap/>
        <w:overflowPunct/>
        <w:topLinePunct w:val="0"/>
        <w:bidi w:val="0"/>
        <w:snapToGrid/>
        <w:spacing w:line="400" w:lineRule="exact"/>
        <w:textAlignment w:val="auto"/>
      </w:pPr>
      <w:bookmarkStart w:id="386" w:name="_Hlk533796778"/>
      <w:bookmarkEnd w:id="386"/>
      <w:bookmarkStart w:id="387" w:name="_Hlk534616017"/>
      <w:r>
        <w:rPr>
          <w:rFonts w:hint="eastAsia"/>
        </w:rPr>
        <w:t>按预期信用损失一般模型计提坏账准备</w:t>
      </w:r>
    </w:p>
    <w:sdt>
      <w:sdtPr>
        <w:alias w:val="是否适用：母公司应收账款按一般预计信用损失模型计提坏账[双击切换]"/>
        <w:tag w:val="_GBC_681a6428f5004327ac9c72b5eb632f13"/>
        <w:id w:val="8136"/>
        <w:placeholder>
          <w:docPart w:val="GBC22222222222222222222222222222"/>
        </w:placeholder>
      </w:sdtPr>
      <w:sdtContent>
        <w:p>
          <w:pPr>
            <w:keepNext w:val="0"/>
            <w:keepLines w:val="0"/>
            <w:pageBreakBefore w:val="0"/>
            <w:kinsoku/>
            <w:wordWrap/>
            <w:overflowPunct/>
            <w:topLinePunct w:val="0"/>
            <w:bidi w:val="0"/>
            <w:snapToGrid/>
            <w:spacing w:line="400" w:lineRule="exact"/>
            <w:textAlignment w:val="auto"/>
            <w:rPr>
              <w:szCs w:val="21"/>
            </w:rPr>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keepNext w:val="0"/>
        <w:keepLines w:val="0"/>
        <w:pageBreakBefore w:val="0"/>
        <w:kinsoku/>
        <w:wordWrap/>
        <w:overflowPunct/>
        <w:topLinePunct w:val="0"/>
        <w:autoSpaceDE w:val="0"/>
        <w:autoSpaceDN w:val="0"/>
        <w:bidi w:val="0"/>
        <w:adjustRightInd w:val="0"/>
        <w:snapToGrid/>
        <w:spacing w:line="400" w:lineRule="exact"/>
        <w:ind w:right="105" w:rightChars="50"/>
        <w:textAlignment w:val="auto"/>
        <w:rPr>
          <w:szCs w:val="21"/>
        </w:rPr>
      </w:pPr>
      <w:r>
        <w:rPr>
          <w:rFonts w:hint="eastAsia"/>
          <w:szCs w:val="21"/>
        </w:rPr>
        <w:t>各阶段划分依据和坏账准备计提比例</w:t>
      </w:r>
    </w:p>
    <w:sdt>
      <w:sdtPr>
        <w:rPr>
          <w:bCs/>
          <w:szCs w:val="22"/>
        </w:rPr>
        <w:alias w:val="各阶段划分依据和坏账准备计提比例"/>
        <w:tag w:val="_GBC_715f45f6066e4ba295d3973a2eed903b"/>
        <w:id w:val="8137"/>
        <w:placeholder>
          <w:docPart w:val="GBC22222222222222222222222222222"/>
        </w:placeholder>
      </w:sdtPr>
      <w:sdtEndPr>
        <w:rPr>
          <w:bCs/>
          <w:szCs w:val="22"/>
        </w:rPr>
      </w:sdtEndPr>
      <w:sdtContent>
        <w:p>
          <w:pPr>
            <w:keepNext w:val="0"/>
            <w:keepLines w:val="0"/>
            <w:pageBreakBefore w:val="0"/>
            <w:kinsoku/>
            <w:wordWrap/>
            <w:overflowPunct/>
            <w:topLinePunct w:val="0"/>
            <w:bidi w:val="0"/>
            <w:snapToGrid/>
            <w:spacing w:line="400" w:lineRule="exact"/>
            <w:textAlignment w:val="auto"/>
          </w:pPr>
          <w:r>
            <w:rPr>
              <w:rFonts w:hint="eastAsia"/>
              <w:bCs/>
              <w:szCs w:val="22"/>
            </w:rPr>
            <w:t>无</w:t>
          </w:r>
        </w:p>
      </w:sdtContent>
    </w:sdt>
    <w:p>
      <w:pPr>
        <w:pStyle w:val="73"/>
        <w:keepNext w:val="0"/>
        <w:keepLines w:val="0"/>
        <w:pageBreakBefore w:val="0"/>
        <w:kinsoku/>
        <w:wordWrap/>
        <w:overflowPunct/>
        <w:topLinePunct w:val="0"/>
        <w:bidi w:val="0"/>
        <w:snapToGrid/>
        <w:spacing w:line="400" w:lineRule="exact"/>
        <w:textAlignment w:val="auto"/>
      </w:pPr>
      <w:r>
        <w:rPr>
          <w:rFonts w:hint="eastAsia"/>
        </w:rPr>
        <w:t>对本期发生损失准备变动的应收账款账面余额显著变动的情况说明：</w:t>
      </w:r>
    </w:p>
    <w:sdt>
      <w:sdtPr>
        <w:rPr>
          <w:szCs w:val="21"/>
        </w:rPr>
        <w:alias w:val="是否适用：母公司对本期发生损失准备变动的账面余额显著变动的情况说明[双击切换]"/>
        <w:tag w:val="_GBC_2624b4d5ae5d4288ad7c6f9bcbcff810"/>
        <w:id w:val="8138"/>
        <w:placeholder>
          <w:docPart w:val="GBC22222222222222222222222222222"/>
        </w:placeholder>
      </w:sdtPr>
      <w:sdtEndPr>
        <w:rPr>
          <w:szCs w:val="21"/>
        </w:rPr>
      </w:sdtEndPr>
      <w:sdtContent>
        <w:p>
          <w:pPr>
            <w:keepNext w:val="0"/>
            <w:keepLines w:val="0"/>
            <w:pageBreakBefore w:val="0"/>
            <w:kinsoku/>
            <w:wordWrap/>
            <w:overflowPunct/>
            <w:topLinePunct w:val="0"/>
            <w:autoSpaceDE w:val="0"/>
            <w:autoSpaceDN w:val="0"/>
            <w:bidi w:val="0"/>
            <w:adjustRightInd w:val="0"/>
            <w:snapToGrid/>
            <w:spacing w:line="400" w:lineRule="exact"/>
            <w:ind w:right="105" w:rightChars="50"/>
            <w:textAlignment w:val="auto"/>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bookmarkEnd w:id="387"/>
    <w:p>
      <w:pPr>
        <w:pStyle w:val="5"/>
        <w:numPr>
          <w:ilvl w:val="3"/>
          <w:numId w:val="128"/>
        </w:numPr>
        <w:ind w:left="424" w:hanging="426" w:hangingChars="202"/>
        <w:rPr>
          <w:rFonts w:hint="eastAsia"/>
        </w:rPr>
      </w:pPr>
      <w:bookmarkStart w:id="388" w:name="_Hlk534890665"/>
      <w:r>
        <w:rPr>
          <w:rFonts w:hint="eastAsia"/>
        </w:rPr>
        <w:t>坏账准备的情况</w:t>
      </w:r>
    </w:p>
    <w:sdt>
      <w:sdtPr>
        <w:alias w:val="是否适用：母公司应收账款坏账准备情况[双击切换]"/>
        <w:tag w:val="_GBC_c4b273c4d86b423ea0abe5794b3a9a07"/>
        <w:id w:val="8139"/>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pStyle w:val="56"/>
        <w:snapToGrid w:val="0"/>
        <w:spacing w:line="240" w:lineRule="atLeast"/>
        <w:ind w:left="425" w:firstLine="0" w:firstLineChars="0"/>
        <w:jc w:val="right"/>
        <w:rPr>
          <w:szCs w:val="21"/>
        </w:rPr>
      </w:pPr>
      <w:r>
        <w:rPr>
          <w:rFonts w:hint="eastAsia"/>
          <w:szCs w:val="21"/>
        </w:rPr>
        <w:t>单位：</w:t>
      </w:r>
      <w:sdt>
        <w:sdtPr>
          <w:rPr>
            <w:rFonts w:hint="eastAsia"/>
            <w:szCs w:val="21"/>
          </w:rPr>
          <w:alias w:val="单位：母公司应收账款坏账准备情况"/>
          <w:tag w:val="_GBC_297876b5a195460cabc3796e317c400c"/>
          <w:id w:val="814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母公司应收账款坏账准备情况"/>
          <w:tag w:val="_GBC_e88786d88c2b4853820fef447c6f542a"/>
          <w:id w:val="814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1611"/>
        <w:gridCol w:w="1600"/>
        <w:gridCol w:w="950"/>
        <w:gridCol w:w="1275"/>
        <w:gridCol w:w="950"/>
        <w:gridCol w:w="1178"/>
        <w:gridCol w:w="1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jc w:val="center"/>
        </w:trPr>
        <w:tc>
          <w:tcPr>
            <w:tcW w:w="1611" w:type="dxa"/>
            <w:vMerge w:val="restart"/>
            <w:shd w:val="clear" w:color="auto" w:fill="FFFFFF"/>
            <w:vAlign w:val="center"/>
          </w:tcPr>
          <w:sdt>
            <w:sdtPr>
              <w:tag w:val="_PLD_98300d230c0347eb87a2635ad51c1d00"/>
              <w:id w:val="8142"/>
            </w:sdtPr>
            <w:sdtContent>
              <w:p>
                <w:pPr>
                  <w:widowControl w:val="0"/>
                  <w:jc w:val="center"/>
                </w:pPr>
                <w:r>
                  <w:t>类别</w:t>
                </w:r>
              </w:p>
            </w:sdtContent>
          </w:sdt>
        </w:tc>
        <w:tc>
          <w:tcPr>
            <w:tcW w:w="1600" w:type="dxa"/>
            <w:vMerge w:val="restart"/>
            <w:shd w:val="clear" w:color="auto" w:fill="FFFFFF"/>
            <w:vAlign w:val="center"/>
          </w:tcPr>
          <w:sdt>
            <w:sdtPr>
              <w:tag w:val="_PLD_7769f2b383ef45cea01b90026bb353c2"/>
              <w:id w:val="8143"/>
            </w:sdtPr>
            <w:sdtContent>
              <w:p>
                <w:pPr>
                  <w:widowControl w:val="0"/>
                  <w:jc w:val="center"/>
                </w:pPr>
                <w:r>
                  <w:t>期初余额</w:t>
                </w:r>
              </w:p>
            </w:sdtContent>
          </w:sdt>
        </w:tc>
        <w:tc>
          <w:tcPr>
            <w:tcW w:w="4353" w:type="dxa"/>
            <w:gridSpan w:val="4"/>
            <w:shd w:val="clear" w:color="auto" w:fill="FFFFFF"/>
            <w:vAlign w:val="center"/>
          </w:tcPr>
          <w:sdt>
            <w:sdtPr>
              <w:tag w:val="_PLD_cd024d723ca84c77aded9d7b7313563b"/>
              <w:id w:val="8144"/>
            </w:sdtPr>
            <w:sdtContent>
              <w:p>
                <w:pPr>
                  <w:widowControl w:val="0"/>
                  <w:jc w:val="center"/>
                </w:pPr>
                <w:r>
                  <w:rPr>
                    <w:rFonts w:hint="eastAsia"/>
                  </w:rPr>
                  <w:t>本期变动</w:t>
                </w:r>
                <w:r>
                  <w:t>金额</w:t>
                </w:r>
              </w:p>
            </w:sdtContent>
          </w:sdt>
        </w:tc>
        <w:tc>
          <w:tcPr>
            <w:tcW w:w="1490" w:type="dxa"/>
            <w:vMerge w:val="restart"/>
            <w:shd w:val="clear" w:color="auto" w:fill="FFFFFF"/>
            <w:vAlign w:val="center"/>
          </w:tcPr>
          <w:sdt>
            <w:sdtPr>
              <w:tag w:val="_PLD_1225558b3fd34599bc2c3f9eb23fba1e"/>
              <w:id w:val="8145"/>
            </w:sdtPr>
            <w:sdtContent>
              <w:p>
                <w:pPr>
                  <w:widowControl w:val="0"/>
                  <w:jc w:val="center"/>
                </w:pPr>
                <w:r>
                  <w:t>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jc w:val="center"/>
        </w:trPr>
        <w:tc>
          <w:tcPr>
            <w:tcW w:w="1611" w:type="dxa"/>
            <w:vMerge w:val="continue"/>
            <w:shd w:val="clear" w:color="auto" w:fill="FFFFFF"/>
            <w:vAlign w:val="center"/>
          </w:tcPr>
          <w:p>
            <w:pPr>
              <w:widowControl w:val="0"/>
              <w:jc w:val="center"/>
            </w:pPr>
          </w:p>
        </w:tc>
        <w:tc>
          <w:tcPr>
            <w:tcW w:w="1600" w:type="dxa"/>
            <w:vMerge w:val="continue"/>
            <w:shd w:val="clear" w:color="auto" w:fill="FFFFFF"/>
            <w:vAlign w:val="center"/>
          </w:tcPr>
          <w:p>
            <w:pPr>
              <w:widowControl w:val="0"/>
              <w:jc w:val="center"/>
            </w:pPr>
          </w:p>
        </w:tc>
        <w:tc>
          <w:tcPr>
            <w:tcW w:w="950" w:type="dxa"/>
            <w:shd w:val="clear" w:color="auto" w:fill="FFFFFF"/>
            <w:vAlign w:val="center"/>
          </w:tcPr>
          <w:sdt>
            <w:sdtPr>
              <w:tag w:val="_PLD_3e1ba6e4785f430c89e70b3081ee1f0a"/>
              <w:id w:val="8146"/>
            </w:sdtPr>
            <w:sdtContent>
              <w:p>
                <w:pPr>
                  <w:widowControl w:val="0"/>
                  <w:jc w:val="center"/>
                </w:pPr>
                <w:r>
                  <w:t>计提</w:t>
                </w:r>
              </w:p>
            </w:sdtContent>
          </w:sdt>
        </w:tc>
        <w:tc>
          <w:tcPr>
            <w:tcW w:w="1275" w:type="dxa"/>
            <w:shd w:val="clear" w:color="auto" w:fill="FFFFFF"/>
            <w:vAlign w:val="center"/>
          </w:tcPr>
          <w:sdt>
            <w:sdtPr>
              <w:tag w:val="_PLD_e1238ab8ec634edb975aa51e169f4488"/>
              <w:id w:val="8147"/>
            </w:sdtPr>
            <w:sdtContent>
              <w:p>
                <w:pPr>
                  <w:widowControl w:val="0"/>
                  <w:jc w:val="center"/>
                </w:pPr>
                <w:r>
                  <w:rPr>
                    <w:rFonts w:hint="eastAsia"/>
                  </w:rPr>
                  <w:t>收回或转回</w:t>
                </w:r>
              </w:p>
            </w:sdtContent>
          </w:sdt>
        </w:tc>
        <w:tc>
          <w:tcPr>
            <w:tcW w:w="950" w:type="dxa"/>
            <w:shd w:val="clear" w:color="auto" w:fill="FFFFFF"/>
            <w:vAlign w:val="center"/>
          </w:tcPr>
          <w:sdt>
            <w:sdtPr>
              <w:tag w:val="_PLD_4909ee6a3062412caf5e93a150ca2e23"/>
              <w:id w:val="8148"/>
            </w:sdtPr>
            <w:sdtContent>
              <w:p>
                <w:pPr>
                  <w:widowControl w:val="0"/>
                  <w:jc w:val="center"/>
                </w:pPr>
                <w:r>
                  <w:rPr>
                    <w:rFonts w:hint="eastAsia"/>
                  </w:rPr>
                  <w:t>转销或核销</w:t>
                </w:r>
              </w:p>
            </w:sdtContent>
          </w:sdt>
        </w:tc>
        <w:tc>
          <w:tcPr>
            <w:tcW w:w="1178" w:type="dxa"/>
            <w:shd w:val="clear" w:color="auto" w:fill="FFFFFF"/>
            <w:vAlign w:val="center"/>
          </w:tcPr>
          <w:sdt>
            <w:sdtPr>
              <w:tag w:val="_PLD_b95e9591908443ef8eef29a18814ebfa"/>
              <w:id w:val="8149"/>
            </w:sdtPr>
            <w:sdtContent>
              <w:p>
                <w:pPr>
                  <w:widowControl w:val="0"/>
                  <w:jc w:val="center"/>
                </w:pPr>
                <w:r>
                  <w:rPr>
                    <w:rFonts w:hint="eastAsia"/>
                  </w:rPr>
                  <w:t>其他变动</w:t>
                </w:r>
              </w:p>
            </w:sdtContent>
          </w:sdt>
        </w:tc>
        <w:tc>
          <w:tcPr>
            <w:tcW w:w="1490" w:type="dxa"/>
            <w:vMerge w:val="continue"/>
            <w:shd w:val="clear" w:color="auto" w:fill="FFFFFF"/>
            <w:vAlign w:val="center"/>
          </w:tcPr>
          <w:p>
            <w:pPr>
              <w:widowControl w:val="0"/>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jc w:val="center"/>
        </w:trPr>
        <w:tc>
          <w:tcPr>
            <w:tcW w:w="1611" w:type="dxa"/>
            <w:vAlign w:val="center"/>
          </w:tcPr>
          <w:p>
            <w:pPr>
              <w:widowControl w:val="0"/>
            </w:pPr>
            <w:r>
              <w:rPr>
                <w:rFonts w:hint="eastAsia"/>
                <w:color w:val="auto"/>
              </w:rPr>
              <w:t>单项计提预期信用损失的应收账款</w:t>
            </w:r>
          </w:p>
        </w:tc>
        <w:tc>
          <w:tcPr>
            <w:tcW w:w="1600" w:type="dxa"/>
            <w:vAlign w:val="center"/>
          </w:tcPr>
          <w:p>
            <w:pPr>
              <w:widowControl w:val="0"/>
              <w:jc w:val="right"/>
            </w:pPr>
            <w:r>
              <w:rPr>
                <w:rFonts w:hint="eastAsia"/>
                <w:color w:val="auto"/>
              </w:rPr>
              <w:t>21,255,466.33</w:t>
            </w:r>
          </w:p>
        </w:tc>
        <w:tc>
          <w:tcPr>
            <w:tcW w:w="950" w:type="dxa"/>
            <w:vAlign w:val="center"/>
          </w:tcPr>
          <w:p>
            <w:pPr>
              <w:widowControl w:val="0"/>
              <w:jc w:val="right"/>
            </w:pPr>
            <w:r>
              <w:rPr>
                <w:rFonts w:hint="eastAsia"/>
                <w:color w:val="auto"/>
              </w:rPr>
              <w:t> </w:t>
            </w:r>
          </w:p>
        </w:tc>
        <w:tc>
          <w:tcPr>
            <w:tcW w:w="1275" w:type="dxa"/>
            <w:vAlign w:val="center"/>
          </w:tcPr>
          <w:p>
            <w:pPr>
              <w:widowControl w:val="0"/>
              <w:jc w:val="right"/>
            </w:pPr>
            <w:r>
              <w:rPr>
                <w:rFonts w:hint="eastAsia"/>
                <w:color w:val="auto"/>
              </w:rPr>
              <w:t>7,440.94</w:t>
            </w:r>
          </w:p>
        </w:tc>
        <w:tc>
          <w:tcPr>
            <w:tcW w:w="950" w:type="dxa"/>
            <w:vAlign w:val="center"/>
          </w:tcPr>
          <w:p>
            <w:pPr>
              <w:widowControl w:val="0"/>
              <w:jc w:val="right"/>
            </w:pPr>
            <w:r>
              <w:rPr>
                <w:rFonts w:hint="eastAsia"/>
                <w:color w:val="auto"/>
              </w:rPr>
              <w:t>　</w:t>
            </w:r>
          </w:p>
        </w:tc>
        <w:tc>
          <w:tcPr>
            <w:tcW w:w="1178" w:type="dxa"/>
            <w:vAlign w:val="center"/>
          </w:tcPr>
          <w:p>
            <w:pPr>
              <w:widowControl w:val="0"/>
              <w:jc w:val="right"/>
            </w:pPr>
            <w:r>
              <w:rPr>
                <w:rFonts w:hint="eastAsia"/>
                <w:color w:val="auto"/>
              </w:rPr>
              <w:t>　</w:t>
            </w:r>
          </w:p>
        </w:tc>
        <w:tc>
          <w:tcPr>
            <w:tcW w:w="1490" w:type="dxa"/>
            <w:vAlign w:val="center"/>
          </w:tcPr>
          <w:p>
            <w:pPr>
              <w:widowControl w:val="0"/>
              <w:jc w:val="right"/>
            </w:pPr>
            <w:r>
              <w:rPr>
                <w:rFonts w:hint="eastAsia"/>
                <w:color w:val="auto"/>
              </w:rPr>
              <w:t>21,248,025.39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jc w:val="center"/>
        </w:trPr>
        <w:tc>
          <w:tcPr>
            <w:tcW w:w="1611" w:type="dxa"/>
            <w:vAlign w:val="center"/>
          </w:tcPr>
          <w:p>
            <w:pPr>
              <w:widowControl w:val="0"/>
            </w:pPr>
            <w:r>
              <w:rPr>
                <w:rFonts w:hint="eastAsia"/>
                <w:color w:val="auto"/>
              </w:rPr>
              <w:t>按组合计提预期信用损失的应收账款</w:t>
            </w:r>
          </w:p>
        </w:tc>
        <w:tc>
          <w:tcPr>
            <w:tcW w:w="1600" w:type="dxa"/>
            <w:vAlign w:val="center"/>
          </w:tcPr>
          <w:p>
            <w:pPr>
              <w:widowControl w:val="0"/>
              <w:jc w:val="right"/>
            </w:pPr>
            <w:r>
              <w:rPr>
                <w:rFonts w:hint="eastAsia"/>
                <w:color w:val="auto"/>
              </w:rPr>
              <w:t>10,901,322.13</w:t>
            </w:r>
          </w:p>
        </w:tc>
        <w:tc>
          <w:tcPr>
            <w:tcW w:w="950" w:type="dxa"/>
            <w:vAlign w:val="center"/>
          </w:tcPr>
          <w:p>
            <w:pPr>
              <w:widowControl w:val="0"/>
              <w:jc w:val="right"/>
            </w:pPr>
            <w:r>
              <w:rPr>
                <w:rFonts w:hint="eastAsia"/>
                <w:color w:val="auto"/>
              </w:rPr>
              <w:t> </w:t>
            </w:r>
          </w:p>
        </w:tc>
        <w:tc>
          <w:tcPr>
            <w:tcW w:w="1275" w:type="dxa"/>
            <w:vAlign w:val="center"/>
          </w:tcPr>
          <w:p>
            <w:pPr>
              <w:widowControl w:val="0"/>
              <w:jc w:val="right"/>
            </w:pPr>
            <w:r>
              <w:rPr>
                <w:rFonts w:hint="eastAsia"/>
                <w:color w:val="auto"/>
              </w:rPr>
              <w:t>432,546.22</w:t>
            </w:r>
          </w:p>
        </w:tc>
        <w:tc>
          <w:tcPr>
            <w:tcW w:w="950" w:type="dxa"/>
            <w:vAlign w:val="center"/>
          </w:tcPr>
          <w:p>
            <w:pPr>
              <w:widowControl w:val="0"/>
              <w:jc w:val="right"/>
            </w:pPr>
            <w:r>
              <w:rPr>
                <w:rFonts w:hint="eastAsia"/>
                <w:color w:val="auto"/>
              </w:rPr>
              <w:t>　</w:t>
            </w:r>
          </w:p>
        </w:tc>
        <w:tc>
          <w:tcPr>
            <w:tcW w:w="1178" w:type="dxa"/>
            <w:vAlign w:val="center"/>
          </w:tcPr>
          <w:p>
            <w:pPr>
              <w:widowControl w:val="0"/>
              <w:jc w:val="right"/>
            </w:pPr>
            <w:r>
              <w:rPr>
                <w:rFonts w:hint="eastAsia"/>
                <w:color w:val="auto"/>
              </w:rPr>
              <w:t>　</w:t>
            </w:r>
          </w:p>
        </w:tc>
        <w:tc>
          <w:tcPr>
            <w:tcW w:w="1490" w:type="dxa"/>
            <w:vAlign w:val="center"/>
          </w:tcPr>
          <w:p>
            <w:pPr>
              <w:widowControl w:val="0"/>
              <w:jc w:val="right"/>
            </w:pPr>
            <w:r>
              <w:rPr>
                <w:rFonts w:hint="eastAsia"/>
                <w:color w:val="auto"/>
              </w:rPr>
              <w:t>10,468,775.91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jc w:val="center"/>
        </w:trPr>
        <w:tc>
          <w:tcPr>
            <w:tcW w:w="1611" w:type="dxa"/>
            <w:vAlign w:val="center"/>
          </w:tcPr>
          <w:p>
            <w:pPr>
              <w:widowControl w:val="0"/>
            </w:pPr>
            <w:r>
              <w:rPr>
                <w:rFonts w:hint="eastAsia"/>
                <w:color w:val="auto"/>
              </w:rPr>
              <w:t>其中：按账龄组合计提坏账准备的应收账款</w:t>
            </w:r>
          </w:p>
        </w:tc>
        <w:tc>
          <w:tcPr>
            <w:tcW w:w="1600" w:type="dxa"/>
            <w:vAlign w:val="center"/>
          </w:tcPr>
          <w:p>
            <w:pPr>
              <w:widowControl w:val="0"/>
              <w:jc w:val="right"/>
            </w:pPr>
            <w:r>
              <w:rPr>
                <w:rFonts w:hint="eastAsia"/>
                <w:color w:val="auto"/>
              </w:rPr>
              <w:t>10,901,322.13</w:t>
            </w:r>
          </w:p>
        </w:tc>
        <w:tc>
          <w:tcPr>
            <w:tcW w:w="950" w:type="dxa"/>
            <w:vAlign w:val="center"/>
          </w:tcPr>
          <w:p>
            <w:pPr>
              <w:widowControl w:val="0"/>
              <w:jc w:val="right"/>
            </w:pPr>
            <w:r>
              <w:rPr>
                <w:rFonts w:hint="eastAsia"/>
                <w:color w:val="auto"/>
              </w:rPr>
              <w:t> </w:t>
            </w:r>
          </w:p>
        </w:tc>
        <w:tc>
          <w:tcPr>
            <w:tcW w:w="1275" w:type="dxa"/>
            <w:vAlign w:val="center"/>
          </w:tcPr>
          <w:p>
            <w:pPr>
              <w:widowControl w:val="0"/>
              <w:jc w:val="right"/>
            </w:pPr>
            <w:r>
              <w:rPr>
                <w:rFonts w:hint="eastAsia"/>
                <w:color w:val="auto"/>
              </w:rPr>
              <w:t>432,546.22</w:t>
            </w:r>
          </w:p>
        </w:tc>
        <w:tc>
          <w:tcPr>
            <w:tcW w:w="950" w:type="dxa"/>
            <w:vAlign w:val="center"/>
          </w:tcPr>
          <w:p>
            <w:pPr>
              <w:widowControl w:val="0"/>
              <w:jc w:val="right"/>
            </w:pPr>
            <w:r>
              <w:rPr>
                <w:rFonts w:hint="eastAsia"/>
                <w:color w:val="auto"/>
              </w:rPr>
              <w:t>　</w:t>
            </w:r>
          </w:p>
        </w:tc>
        <w:tc>
          <w:tcPr>
            <w:tcW w:w="1178" w:type="dxa"/>
            <w:vAlign w:val="center"/>
          </w:tcPr>
          <w:p>
            <w:pPr>
              <w:widowControl w:val="0"/>
              <w:jc w:val="right"/>
            </w:pPr>
            <w:r>
              <w:rPr>
                <w:rFonts w:hint="eastAsia"/>
                <w:color w:val="auto"/>
              </w:rPr>
              <w:t>　</w:t>
            </w:r>
          </w:p>
        </w:tc>
        <w:tc>
          <w:tcPr>
            <w:tcW w:w="1490" w:type="dxa"/>
            <w:vAlign w:val="center"/>
          </w:tcPr>
          <w:p>
            <w:pPr>
              <w:widowControl w:val="0"/>
              <w:jc w:val="right"/>
            </w:pPr>
            <w:r>
              <w:rPr>
                <w:rFonts w:hint="eastAsia"/>
                <w:color w:val="auto"/>
              </w:rPr>
              <w:t>10,468,775.91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jc w:val="center"/>
        </w:trPr>
        <w:tc>
          <w:tcPr>
            <w:tcW w:w="1611" w:type="dxa"/>
            <w:vAlign w:val="center"/>
          </w:tcPr>
          <w:p>
            <w:pPr>
              <w:widowControl w:val="0"/>
              <w:jc w:val="center"/>
            </w:pPr>
            <w:r>
              <w:rPr>
                <w:rFonts w:hint="eastAsia"/>
              </w:rPr>
              <w:t>合计</w:t>
            </w:r>
          </w:p>
        </w:tc>
        <w:tc>
          <w:tcPr>
            <w:tcW w:w="1600" w:type="dxa"/>
            <w:vAlign w:val="center"/>
          </w:tcPr>
          <w:p>
            <w:pPr>
              <w:widowControl w:val="0"/>
              <w:jc w:val="right"/>
            </w:pPr>
            <w:r>
              <w:rPr>
                <w:rFonts w:hint="eastAsia"/>
                <w:color w:val="auto"/>
              </w:rPr>
              <w:t>32,156,788.46</w:t>
            </w:r>
          </w:p>
        </w:tc>
        <w:tc>
          <w:tcPr>
            <w:tcW w:w="950" w:type="dxa"/>
            <w:vAlign w:val="center"/>
          </w:tcPr>
          <w:p>
            <w:pPr>
              <w:widowControl w:val="0"/>
              <w:jc w:val="right"/>
            </w:pPr>
            <w:r>
              <w:rPr>
                <w:rFonts w:hint="eastAsia"/>
                <w:color w:val="auto"/>
              </w:rPr>
              <w:t> </w:t>
            </w:r>
          </w:p>
        </w:tc>
        <w:tc>
          <w:tcPr>
            <w:tcW w:w="1275" w:type="dxa"/>
            <w:vAlign w:val="center"/>
          </w:tcPr>
          <w:p>
            <w:pPr>
              <w:widowControl w:val="0"/>
              <w:jc w:val="right"/>
            </w:pPr>
            <w:r>
              <w:rPr>
                <w:rFonts w:hint="eastAsia"/>
                <w:color w:val="auto"/>
              </w:rPr>
              <w:t>439,987.16</w:t>
            </w:r>
          </w:p>
        </w:tc>
        <w:tc>
          <w:tcPr>
            <w:tcW w:w="950" w:type="dxa"/>
            <w:vAlign w:val="center"/>
          </w:tcPr>
          <w:p>
            <w:pPr>
              <w:widowControl w:val="0"/>
              <w:jc w:val="right"/>
            </w:pPr>
            <w:r>
              <w:rPr>
                <w:rFonts w:hint="eastAsia"/>
                <w:color w:val="auto"/>
              </w:rPr>
              <w:t>　</w:t>
            </w:r>
          </w:p>
        </w:tc>
        <w:tc>
          <w:tcPr>
            <w:tcW w:w="1178" w:type="dxa"/>
            <w:vAlign w:val="center"/>
          </w:tcPr>
          <w:p>
            <w:pPr>
              <w:widowControl w:val="0"/>
              <w:jc w:val="right"/>
            </w:pPr>
            <w:r>
              <w:rPr>
                <w:rFonts w:hint="eastAsia"/>
                <w:color w:val="auto"/>
              </w:rPr>
              <w:t>　</w:t>
            </w:r>
          </w:p>
        </w:tc>
        <w:tc>
          <w:tcPr>
            <w:tcW w:w="1490" w:type="dxa"/>
            <w:vAlign w:val="center"/>
          </w:tcPr>
          <w:p>
            <w:pPr>
              <w:widowControl w:val="0"/>
              <w:jc w:val="right"/>
              <w:rPr>
                <w:rFonts w:hint="eastAsia" w:eastAsia="宋体"/>
                <w:lang w:val="en-US" w:eastAsia="zh-CN"/>
              </w:rPr>
            </w:pPr>
            <w:r>
              <w:rPr>
                <w:rFonts w:hint="eastAsia"/>
                <w:color w:val="auto"/>
              </w:rPr>
              <w:t>31,716,801.3</w:t>
            </w:r>
            <w:r>
              <w:rPr>
                <w:rFonts w:hint="eastAsia"/>
                <w:color w:val="auto"/>
                <w:lang w:val="en-US" w:eastAsia="zh-CN"/>
              </w:rPr>
              <w:t>0</w:t>
            </w:r>
          </w:p>
        </w:tc>
      </w:tr>
    </w:tbl>
    <w:p>
      <w:pPr>
        <w:pStyle w:val="73"/>
      </w:pPr>
    </w:p>
    <w:bookmarkEnd w:id="388"/>
    <w:p>
      <w:bookmarkStart w:id="389" w:name="_Hlk153789356"/>
      <w:r>
        <w:rPr>
          <w:rFonts w:hint="eastAsia"/>
        </w:rPr>
        <w:t>其中本期坏账准备收回或转回金额重要的：</w:t>
      </w:r>
    </w:p>
    <w:sdt>
      <w:sdtPr>
        <w:alias w:val="是否适用：母公司其中本期坏账准备收回或转回金额重要的[双击切换]"/>
        <w:tag w:val="_GBC_5f9ff028d97f4757bc779516f257bedd"/>
        <w:id w:val="815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r>
        <w:rPr>
          <w:rFonts w:hint="eastAsia"/>
        </w:rPr>
        <w:t>其他说明：</w:t>
      </w:r>
    </w:p>
    <w:sdt>
      <w:sdtPr>
        <w:rPr>
          <w:szCs w:val="21"/>
        </w:rPr>
        <w:alias w:val="应收账款坏账准备情况的说明"/>
        <w:tag w:val="_GBC_cff8cbc4c64e413fadcc7d21dcb34fc7"/>
        <w:id w:val="8151"/>
        <w:placeholder>
          <w:docPart w:val="GBC22222222222222222222222222222"/>
        </w:placeholder>
      </w:sdtPr>
      <w:sdtEndPr>
        <w:rPr>
          <w:szCs w:val="21"/>
        </w:rPr>
      </w:sdtEndPr>
      <w:sdtContent>
        <w:p>
          <w:pPr>
            <w:ind w:right="-1594" w:rightChars="-759"/>
            <w:rPr>
              <w:szCs w:val="21"/>
            </w:rPr>
          </w:pPr>
          <w:r>
            <w:rPr>
              <w:rFonts w:hint="eastAsia"/>
              <w:szCs w:val="21"/>
            </w:rPr>
            <w:t>无</w:t>
          </w:r>
        </w:p>
      </w:sdtContent>
    </w:sdt>
    <w:p>
      <w:pPr>
        <w:ind w:right="-1594" w:rightChars="-759"/>
      </w:pPr>
    </w:p>
    <w:bookmarkEnd w:id="389"/>
    <w:p>
      <w:pPr>
        <w:pStyle w:val="5"/>
        <w:numPr>
          <w:ilvl w:val="3"/>
          <w:numId w:val="128"/>
        </w:numPr>
        <w:ind w:left="424" w:hanging="426" w:hangingChars="202"/>
        <w:rPr>
          <w:rFonts w:hint="eastAsia"/>
        </w:rPr>
      </w:pPr>
      <w:r>
        <w:t>本期实际核销的应收</w:t>
      </w:r>
      <w:r>
        <w:rPr>
          <w:rFonts w:hint="eastAsia"/>
        </w:rPr>
        <w:t>账款</w:t>
      </w:r>
      <w:r>
        <w:t>情况</w:t>
      </w:r>
    </w:p>
    <w:sdt>
      <w:sdtPr>
        <w:alias w:val="是否适用：母公司本期实际核销的应收账款情况[双击切换]"/>
        <w:tag w:val="_GBC_a30d476ac6184bc98f9b334fa55067ac"/>
        <w:id w:val="8152"/>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rPr>
          <w:szCs w:val="21"/>
        </w:rPr>
      </w:pPr>
      <w:r>
        <w:rPr>
          <w:rFonts w:hint="eastAsia"/>
          <w:szCs w:val="21"/>
        </w:rPr>
        <w:t>其中重要的应收账款核销情况</w:t>
      </w:r>
    </w:p>
    <w:sdt>
      <w:sdtPr>
        <w:rPr>
          <w:szCs w:val="21"/>
        </w:rPr>
        <w:alias w:val="是否适用：母公司其中重要的应收账款核销情况[双击切换]"/>
        <w:tag w:val="_GBC_7110dba4b9b14a6ea7177cba57fd2d03"/>
        <w:id w:val="8153"/>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snapToGrid w:val="0"/>
        <w:spacing w:line="240" w:lineRule="atLeast"/>
        <w:rPr>
          <w:szCs w:val="21"/>
        </w:rPr>
      </w:pPr>
    </w:p>
    <w:p>
      <w:pPr>
        <w:snapToGrid w:val="0"/>
        <w:spacing w:line="240" w:lineRule="atLeast"/>
        <w:rPr>
          <w:szCs w:val="21"/>
        </w:rPr>
      </w:pPr>
      <w:r>
        <w:rPr>
          <w:rFonts w:hint="eastAsia"/>
          <w:szCs w:val="21"/>
        </w:rPr>
        <w:t>应收账款核销说明：</w:t>
      </w:r>
    </w:p>
    <w:sdt>
      <w:sdtPr>
        <w:rPr>
          <w:rFonts w:hint="eastAsia"/>
          <w:szCs w:val="21"/>
        </w:rPr>
        <w:alias w:val="是否适用：母公司应收账款核销说明[双击切换]"/>
        <w:tag w:val="_GBC_2ba809c9e31c411795d7353d4b11a774"/>
        <w:id w:val="8154"/>
        <w:placeholder>
          <w:docPart w:val="GBC22222222222222222222222222222"/>
        </w:placeholder>
      </w:sdtPr>
      <w:sdtEndPr>
        <w:rPr>
          <w:rFonts w:hint="eastAsia"/>
          <w:szCs w:val="21"/>
        </w:rPr>
      </w:sdtEndPr>
      <w:sdtContent>
        <w:p>
          <w:pPr>
            <w:snapToGrid w:val="0"/>
            <w:spacing w:line="240" w:lineRule="atLeast"/>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Pr>
        <w:pStyle w:val="5"/>
        <w:numPr>
          <w:ilvl w:val="3"/>
          <w:numId w:val="128"/>
        </w:numPr>
        <w:ind w:left="424" w:hanging="426" w:hangingChars="202"/>
        <w:rPr>
          <w:rFonts w:hint="eastAsia"/>
        </w:rPr>
      </w:pPr>
      <w:bookmarkStart w:id="390" w:name="_Hlk153789714"/>
      <w:bookmarkStart w:id="391" w:name="_Hlk90023019"/>
      <w:r>
        <w:rPr>
          <w:rFonts w:hint="eastAsia"/>
        </w:rPr>
        <w:t>按欠款方归集的期末余额前五名的应收账款和合同资产情况</w:t>
      </w:r>
    </w:p>
    <w:sdt>
      <w:sdtPr>
        <w:rPr>
          <w:rFonts w:hint="eastAsia"/>
          <w:szCs w:val="21"/>
        </w:rPr>
        <w:alias w:val="是否适用：按欠款方归集的期末余额前五名的应收账款情况[双击切换]"/>
        <w:tag w:val="_GBC_7fffc10e897f45d19e0dc3f8ffc2224f"/>
        <w:id w:val="8155"/>
        <w:placeholder>
          <w:docPart w:val="GBC22222222222222222222222222222"/>
        </w:placeholder>
      </w:sdtPr>
      <w:sdtEndPr>
        <w:rPr>
          <w:rFonts w:hint="eastAsia"/>
          <w:szCs w:val="21"/>
        </w:rPr>
      </w:sdtEndPr>
      <w:sdtContent>
        <w:p>
          <w:pPr>
            <w:snapToGrid w:val="0"/>
            <w:spacing w:line="240" w:lineRule="atLeast"/>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snapToGrid w:val="0"/>
        <w:spacing w:line="240" w:lineRule="atLeast"/>
        <w:jc w:val="right"/>
        <w:rPr>
          <w:szCs w:val="21"/>
        </w:rPr>
      </w:pPr>
      <w:r>
        <w:rPr>
          <w:rFonts w:hint="eastAsia"/>
          <w:szCs w:val="21"/>
        </w:rPr>
        <w:t>单位：</w:t>
      </w:r>
      <w:sdt>
        <w:sdtPr>
          <w:rPr>
            <w:szCs w:val="21"/>
          </w:rPr>
          <w:alias w:val="单位：财务附注：应收账款前五名欠款情况"/>
          <w:tag w:val="_GBC_e41caaf031c645a09f9ff82e1bde3008"/>
          <w:id w:val="8156"/>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szCs w:val="21"/>
          </w:rPr>
        </w:sdtEndPr>
        <w:sdtContent>
          <w:r>
            <w:rPr>
              <w:szCs w:val="21"/>
            </w:rPr>
            <w:t>元</w:t>
          </w:r>
        </w:sdtContent>
      </w:sdt>
      <w:r>
        <w:rPr>
          <w:rFonts w:hint="eastAsia"/>
          <w:szCs w:val="21"/>
        </w:rPr>
        <w:t xml:space="preserve">  币种：</w:t>
      </w:r>
      <w:sdt>
        <w:sdtPr>
          <w:rPr>
            <w:rFonts w:hint="eastAsia"/>
            <w:szCs w:val="21"/>
          </w:rPr>
          <w:alias w:val="币种：财务附注：应收账款前五名欠款情况"/>
          <w:tag w:val="_GBC_03b6faf9055245869ad37558d10f0525"/>
          <w:id w:val="8157"/>
          <w:placeholder>
            <w:docPart w:val="GBC22222222222222222222222222222"/>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7"/>
        <w:gridCol w:w="1507"/>
        <w:gridCol w:w="1507"/>
        <w:gridCol w:w="1507"/>
        <w:gridCol w:w="1507"/>
        <w:gridCol w:w="1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7" w:type="dxa"/>
            <w:vAlign w:val="center"/>
          </w:tcPr>
          <w:sdt>
            <w:sdtPr>
              <w:tag w:val="_PLD_68ef52d85e9b4f23a72393cc4b01b204"/>
              <w:id w:val="8158"/>
            </w:sdtPr>
            <w:sdtContent>
              <w:p>
                <w:pPr>
                  <w:ind w:right="105"/>
                  <w:jc w:val="center"/>
                  <w:rPr>
                    <w:szCs w:val="21"/>
                  </w:rPr>
                </w:pPr>
                <w:r>
                  <w:rPr>
                    <w:rFonts w:hint="eastAsia"/>
                    <w:szCs w:val="21"/>
                  </w:rPr>
                  <w:t>单位名称</w:t>
                </w:r>
              </w:p>
            </w:sdtContent>
          </w:sdt>
        </w:tc>
        <w:tc>
          <w:tcPr>
            <w:tcW w:w="1507" w:type="dxa"/>
            <w:vAlign w:val="center"/>
          </w:tcPr>
          <w:sdt>
            <w:sdtPr>
              <w:tag w:val="_PLD_a62fd4b0ddfb407795d57ea0471df65a"/>
              <w:id w:val="8159"/>
            </w:sdtPr>
            <w:sdtContent>
              <w:p>
                <w:pPr>
                  <w:ind w:right="73"/>
                  <w:jc w:val="center"/>
                  <w:rPr>
                    <w:szCs w:val="21"/>
                  </w:rPr>
                </w:pPr>
                <w:r>
                  <w:rPr>
                    <w:rFonts w:hint="eastAsia"/>
                    <w:szCs w:val="21"/>
                  </w:rPr>
                  <w:t>应收账款期末余额</w:t>
                </w:r>
              </w:p>
            </w:sdtContent>
          </w:sdt>
        </w:tc>
        <w:tc>
          <w:tcPr>
            <w:tcW w:w="1507" w:type="dxa"/>
            <w:vAlign w:val="center"/>
          </w:tcPr>
          <w:sdt>
            <w:sdtPr>
              <w:tag w:val="_PLD_7e753de74ef54c5da4e5c10a41366274"/>
              <w:id w:val="8160"/>
            </w:sdtPr>
            <w:sdtContent>
              <w:p>
                <w:pPr>
                  <w:jc w:val="center"/>
                  <w:rPr>
                    <w:szCs w:val="21"/>
                  </w:rPr>
                </w:pPr>
                <w:r>
                  <w:rPr>
                    <w:rFonts w:hint="eastAsia"/>
                    <w:szCs w:val="21"/>
                  </w:rPr>
                  <w:t>合同资产期末余额</w:t>
                </w:r>
              </w:p>
            </w:sdtContent>
          </w:sdt>
        </w:tc>
        <w:tc>
          <w:tcPr>
            <w:tcW w:w="1507" w:type="dxa"/>
            <w:vAlign w:val="center"/>
          </w:tcPr>
          <w:sdt>
            <w:sdtPr>
              <w:tag w:val="_PLD_1589be2aa7134b3f9de4e223e83a7a61"/>
              <w:id w:val="8161"/>
            </w:sdtPr>
            <w:sdtContent>
              <w:p>
                <w:pPr>
                  <w:jc w:val="center"/>
                  <w:rPr>
                    <w:szCs w:val="21"/>
                  </w:rPr>
                </w:pPr>
                <w:r>
                  <w:rPr>
                    <w:rFonts w:hint="eastAsia"/>
                    <w:szCs w:val="21"/>
                  </w:rPr>
                  <w:t>应收账款和合同资产期末余额</w:t>
                </w:r>
              </w:p>
            </w:sdtContent>
          </w:sdt>
        </w:tc>
        <w:tc>
          <w:tcPr>
            <w:tcW w:w="1507" w:type="dxa"/>
            <w:vAlign w:val="center"/>
          </w:tcPr>
          <w:sdt>
            <w:sdtPr>
              <w:tag w:val="_PLD_e84ecb8c9e5146e8b4ede4a709c5ef5f"/>
              <w:id w:val="8162"/>
            </w:sdtPr>
            <w:sdtContent>
              <w:p>
                <w:pPr>
                  <w:jc w:val="center"/>
                  <w:rPr>
                    <w:szCs w:val="21"/>
                  </w:rPr>
                </w:pPr>
                <w:r>
                  <w:rPr>
                    <w:rFonts w:hint="eastAsia"/>
                    <w:szCs w:val="21"/>
                  </w:rPr>
                  <w:t>占应收账款和合同资产期末余额合计数的比例（%）</w:t>
                </w:r>
              </w:p>
            </w:sdtContent>
          </w:sdt>
        </w:tc>
        <w:tc>
          <w:tcPr>
            <w:tcW w:w="1507" w:type="dxa"/>
            <w:vAlign w:val="center"/>
          </w:tcPr>
          <w:sdt>
            <w:sdtPr>
              <w:tag w:val="_PLD_da58e99405a342aa95b8ffb814c33752"/>
              <w:id w:val="8163"/>
            </w:sdtPr>
            <w:sdtContent>
              <w:p>
                <w:pPr>
                  <w:jc w:val="center"/>
                  <w:rPr>
                    <w:szCs w:val="21"/>
                  </w:rPr>
                </w:pPr>
                <w:r>
                  <w:rPr>
                    <w:rFonts w:hint="eastAsia"/>
                    <w:szCs w:val="21"/>
                  </w:rPr>
                  <w:t>坏账准备期末余额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7" w:type="dxa"/>
            <w:vAlign w:val="center"/>
          </w:tcPr>
          <w:p>
            <w:pPr>
              <w:ind w:right="105"/>
              <w:rPr>
                <w:szCs w:val="21"/>
              </w:rPr>
            </w:pPr>
            <w:r>
              <w:rPr>
                <w:rFonts w:hint="eastAsia"/>
                <w:color w:val="auto"/>
              </w:rPr>
              <w:t>柳州两面针进出口贸易有限公司</w:t>
            </w:r>
          </w:p>
        </w:tc>
        <w:tc>
          <w:tcPr>
            <w:tcW w:w="1507" w:type="dxa"/>
            <w:vAlign w:val="center"/>
          </w:tcPr>
          <w:p>
            <w:pPr>
              <w:ind w:right="73"/>
              <w:jc w:val="right"/>
              <w:rPr>
                <w:szCs w:val="21"/>
              </w:rPr>
            </w:pPr>
            <w:r>
              <w:rPr>
                <w:rFonts w:hint="eastAsia"/>
                <w:color w:val="auto"/>
              </w:rPr>
              <w:t>16,771,072.77</w:t>
            </w:r>
          </w:p>
        </w:tc>
        <w:tc>
          <w:tcPr>
            <w:tcW w:w="1507" w:type="dxa"/>
            <w:vAlign w:val="center"/>
          </w:tcPr>
          <w:p>
            <w:pPr>
              <w:jc w:val="right"/>
              <w:rPr>
                <w:szCs w:val="21"/>
              </w:rPr>
            </w:pPr>
            <w:r>
              <w:rPr>
                <w:rFonts w:hint="eastAsia"/>
                <w:color w:val="auto"/>
              </w:rPr>
              <w:t>0</w:t>
            </w:r>
          </w:p>
        </w:tc>
        <w:tc>
          <w:tcPr>
            <w:tcW w:w="1507" w:type="dxa"/>
            <w:vAlign w:val="center"/>
          </w:tcPr>
          <w:p>
            <w:pPr>
              <w:jc w:val="right"/>
              <w:rPr>
                <w:szCs w:val="21"/>
              </w:rPr>
            </w:pPr>
            <w:r>
              <w:rPr>
                <w:rFonts w:hint="eastAsia"/>
                <w:color w:val="auto"/>
              </w:rPr>
              <w:t>16,771,072.77</w:t>
            </w:r>
          </w:p>
        </w:tc>
        <w:tc>
          <w:tcPr>
            <w:tcW w:w="1507" w:type="dxa"/>
            <w:vAlign w:val="center"/>
          </w:tcPr>
          <w:p>
            <w:pPr>
              <w:jc w:val="right"/>
              <w:rPr>
                <w:szCs w:val="21"/>
              </w:rPr>
            </w:pPr>
            <w:r>
              <w:rPr>
                <w:rFonts w:hint="eastAsia"/>
                <w:color w:val="auto"/>
              </w:rPr>
              <w:t>28.40</w:t>
            </w:r>
          </w:p>
        </w:tc>
        <w:tc>
          <w:tcPr>
            <w:tcW w:w="1507" w:type="dxa"/>
            <w:vAlign w:val="center"/>
          </w:tcPr>
          <w:p>
            <w:pPr>
              <w:jc w:val="right"/>
              <w:rPr>
                <w:szCs w:val="21"/>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7" w:type="dxa"/>
            <w:vAlign w:val="center"/>
          </w:tcPr>
          <w:p>
            <w:pPr>
              <w:ind w:right="105"/>
              <w:rPr>
                <w:szCs w:val="21"/>
              </w:rPr>
            </w:pPr>
            <w:r>
              <w:rPr>
                <w:rFonts w:hint="eastAsia"/>
                <w:color w:val="auto"/>
              </w:rPr>
              <w:t>上海诗玛尔(麦德龙)</w:t>
            </w:r>
          </w:p>
        </w:tc>
        <w:tc>
          <w:tcPr>
            <w:tcW w:w="1507" w:type="dxa"/>
            <w:vAlign w:val="center"/>
          </w:tcPr>
          <w:p>
            <w:pPr>
              <w:ind w:right="73"/>
              <w:jc w:val="right"/>
              <w:rPr>
                <w:szCs w:val="21"/>
              </w:rPr>
            </w:pPr>
            <w:r>
              <w:rPr>
                <w:rFonts w:hint="eastAsia"/>
                <w:color w:val="auto"/>
              </w:rPr>
              <w:t>15,609,244.47</w:t>
            </w:r>
          </w:p>
        </w:tc>
        <w:tc>
          <w:tcPr>
            <w:tcW w:w="1507" w:type="dxa"/>
            <w:vAlign w:val="center"/>
          </w:tcPr>
          <w:p>
            <w:pPr>
              <w:jc w:val="right"/>
              <w:rPr>
                <w:szCs w:val="21"/>
              </w:rPr>
            </w:pPr>
            <w:r>
              <w:rPr>
                <w:rFonts w:hint="eastAsia"/>
                <w:color w:val="auto"/>
              </w:rPr>
              <w:t>0</w:t>
            </w:r>
          </w:p>
        </w:tc>
        <w:tc>
          <w:tcPr>
            <w:tcW w:w="1507" w:type="dxa"/>
            <w:vAlign w:val="center"/>
          </w:tcPr>
          <w:p>
            <w:pPr>
              <w:jc w:val="right"/>
              <w:rPr>
                <w:szCs w:val="21"/>
              </w:rPr>
            </w:pPr>
            <w:r>
              <w:rPr>
                <w:rFonts w:hint="eastAsia"/>
                <w:color w:val="auto"/>
              </w:rPr>
              <w:t>15,609,244.47</w:t>
            </w:r>
          </w:p>
        </w:tc>
        <w:tc>
          <w:tcPr>
            <w:tcW w:w="1507" w:type="dxa"/>
            <w:vAlign w:val="center"/>
          </w:tcPr>
          <w:p>
            <w:pPr>
              <w:jc w:val="right"/>
              <w:rPr>
                <w:szCs w:val="21"/>
              </w:rPr>
            </w:pPr>
            <w:r>
              <w:rPr>
                <w:rFonts w:hint="eastAsia"/>
                <w:color w:val="auto"/>
              </w:rPr>
              <w:t>26.43</w:t>
            </w:r>
          </w:p>
        </w:tc>
        <w:tc>
          <w:tcPr>
            <w:tcW w:w="1507" w:type="dxa"/>
            <w:vAlign w:val="center"/>
          </w:tcPr>
          <w:p>
            <w:pPr>
              <w:jc w:val="right"/>
              <w:rPr>
                <w:szCs w:val="21"/>
              </w:rPr>
            </w:pPr>
            <w:r>
              <w:rPr>
                <w:rFonts w:hint="eastAsia"/>
                <w:color w:val="auto"/>
              </w:rPr>
              <w:t>15,609,244.47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7" w:type="dxa"/>
            <w:vAlign w:val="center"/>
          </w:tcPr>
          <w:p>
            <w:pPr>
              <w:ind w:right="105"/>
              <w:rPr>
                <w:szCs w:val="21"/>
              </w:rPr>
            </w:pPr>
            <w:r>
              <w:rPr>
                <w:rFonts w:hint="eastAsia"/>
                <w:color w:val="auto"/>
              </w:rPr>
              <w:t>广西民族印刷厂</w:t>
            </w:r>
          </w:p>
        </w:tc>
        <w:tc>
          <w:tcPr>
            <w:tcW w:w="1507" w:type="dxa"/>
            <w:vAlign w:val="center"/>
          </w:tcPr>
          <w:p>
            <w:pPr>
              <w:ind w:right="73"/>
              <w:jc w:val="right"/>
              <w:rPr>
                <w:szCs w:val="21"/>
              </w:rPr>
            </w:pPr>
            <w:r>
              <w:rPr>
                <w:rFonts w:hint="eastAsia"/>
                <w:color w:val="auto"/>
              </w:rPr>
              <w:t>2,079,197.55</w:t>
            </w:r>
          </w:p>
        </w:tc>
        <w:tc>
          <w:tcPr>
            <w:tcW w:w="1507" w:type="dxa"/>
            <w:vAlign w:val="center"/>
          </w:tcPr>
          <w:p>
            <w:pPr>
              <w:jc w:val="right"/>
              <w:rPr>
                <w:szCs w:val="21"/>
              </w:rPr>
            </w:pPr>
            <w:r>
              <w:rPr>
                <w:rFonts w:hint="eastAsia"/>
                <w:color w:val="auto"/>
              </w:rPr>
              <w:t>0</w:t>
            </w:r>
          </w:p>
        </w:tc>
        <w:tc>
          <w:tcPr>
            <w:tcW w:w="1507" w:type="dxa"/>
            <w:vAlign w:val="center"/>
          </w:tcPr>
          <w:p>
            <w:pPr>
              <w:jc w:val="right"/>
              <w:rPr>
                <w:szCs w:val="21"/>
              </w:rPr>
            </w:pPr>
            <w:r>
              <w:rPr>
                <w:rFonts w:hint="eastAsia"/>
                <w:color w:val="auto"/>
              </w:rPr>
              <w:t>2,079,197.55</w:t>
            </w:r>
          </w:p>
        </w:tc>
        <w:tc>
          <w:tcPr>
            <w:tcW w:w="1507" w:type="dxa"/>
            <w:vAlign w:val="center"/>
          </w:tcPr>
          <w:p>
            <w:pPr>
              <w:jc w:val="right"/>
              <w:rPr>
                <w:szCs w:val="21"/>
              </w:rPr>
            </w:pPr>
            <w:r>
              <w:rPr>
                <w:rFonts w:hint="eastAsia"/>
                <w:color w:val="auto"/>
              </w:rPr>
              <w:t>3.52</w:t>
            </w:r>
          </w:p>
        </w:tc>
        <w:tc>
          <w:tcPr>
            <w:tcW w:w="1507" w:type="dxa"/>
            <w:vAlign w:val="center"/>
          </w:tcPr>
          <w:p>
            <w:pPr>
              <w:jc w:val="right"/>
              <w:rPr>
                <w:szCs w:val="21"/>
              </w:rPr>
            </w:pPr>
            <w:r>
              <w:rPr>
                <w:rFonts w:hint="eastAsia"/>
                <w:color w:val="auto"/>
              </w:rPr>
              <w:t>2,079,197.55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7" w:type="dxa"/>
            <w:vAlign w:val="center"/>
          </w:tcPr>
          <w:p>
            <w:pPr>
              <w:ind w:right="105"/>
              <w:rPr>
                <w:szCs w:val="21"/>
              </w:rPr>
            </w:pPr>
            <w:r>
              <w:rPr>
                <w:rFonts w:hint="eastAsia"/>
                <w:color w:val="auto"/>
              </w:rPr>
              <w:t>康成投资（中国）有限公司</w:t>
            </w:r>
          </w:p>
        </w:tc>
        <w:tc>
          <w:tcPr>
            <w:tcW w:w="1507" w:type="dxa"/>
            <w:vAlign w:val="center"/>
          </w:tcPr>
          <w:p>
            <w:pPr>
              <w:ind w:right="73"/>
              <w:jc w:val="right"/>
              <w:rPr>
                <w:szCs w:val="21"/>
              </w:rPr>
            </w:pPr>
            <w:r>
              <w:rPr>
                <w:rFonts w:hint="eastAsia"/>
                <w:color w:val="auto"/>
              </w:rPr>
              <w:t>1,785,716.37</w:t>
            </w:r>
          </w:p>
        </w:tc>
        <w:tc>
          <w:tcPr>
            <w:tcW w:w="1507" w:type="dxa"/>
            <w:vAlign w:val="center"/>
          </w:tcPr>
          <w:p>
            <w:pPr>
              <w:jc w:val="right"/>
              <w:rPr>
                <w:szCs w:val="21"/>
              </w:rPr>
            </w:pPr>
            <w:r>
              <w:rPr>
                <w:rFonts w:hint="eastAsia"/>
                <w:color w:val="auto"/>
              </w:rPr>
              <w:t>0</w:t>
            </w:r>
          </w:p>
        </w:tc>
        <w:tc>
          <w:tcPr>
            <w:tcW w:w="1507" w:type="dxa"/>
            <w:vAlign w:val="center"/>
          </w:tcPr>
          <w:p>
            <w:pPr>
              <w:jc w:val="right"/>
              <w:rPr>
                <w:szCs w:val="21"/>
              </w:rPr>
            </w:pPr>
            <w:r>
              <w:rPr>
                <w:rFonts w:hint="eastAsia"/>
                <w:color w:val="auto"/>
              </w:rPr>
              <w:t>1,785,716.37</w:t>
            </w:r>
          </w:p>
        </w:tc>
        <w:tc>
          <w:tcPr>
            <w:tcW w:w="1507" w:type="dxa"/>
            <w:vAlign w:val="center"/>
          </w:tcPr>
          <w:p>
            <w:pPr>
              <w:jc w:val="right"/>
              <w:rPr>
                <w:szCs w:val="21"/>
              </w:rPr>
            </w:pPr>
            <w:r>
              <w:rPr>
                <w:rFonts w:hint="eastAsia"/>
                <w:color w:val="auto"/>
              </w:rPr>
              <w:t>3.02</w:t>
            </w:r>
          </w:p>
        </w:tc>
        <w:tc>
          <w:tcPr>
            <w:tcW w:w="1507" w:type="dxa"/>
            <w:vAlign w:val="center"/>
          </w:tcPr>
          <w:p>
            <w:pPr>
              <w:jc w:val="right"/>
              <w:rPr>
                <w:szCs w:val="21"/>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7" w:type="dxa"/>
            <w:vAlign w:val="center"/>
          </w:tcPr>
          <w:p>
            <w:pPr>
              <w:ind w:right="105"/>
              <w:rPr>
                <w:szCs w:val="21"/>
              </w:rPr>
            </w:pPr>
            <w:r>
              <w:rPr>
                <w:rFonts w:hint="eastAsia"/>
                <w:color w:val="auto"/>
              </w:rPr>
              <w:t>北京京东世纪贸易有限公司</w:t>
            </w:r>
          </w:p>
        </w:tc>
        <w:tc>
          <w:tcPr>
            <w:tcW w:w="1507" w:type="dxa"/>
            <w:vAlign w:val="center"/>
          </w:tcPr>
          <w:p>
            <w:pPr>
              <w:ind w:right="73"/>
              <w:jc w:val="right"/>
              <w:rPr>
                <w:szCs w:val="21"/>
              </w:rPr>
            </w:pPr>
            <w:r>
              <w:rPr>
                <w:rFonts w:hint="eastAsia"/>
                <w:color w:val="auto"/>
              </w:rPr>
              <w:t>1,685,684.04</w:t>
            </w:r>
          </w:p>
        </w:tc>
        <w:tc>
          <w:tcPr>
            <w:tcW w:w="1507" w:type="dxa"/>
            <w:vAlign w:val="center"/>
          </w:tcPr>
          <w:p>
            <w:pPr>
              <w:jc w:val="right"/>
              <w:rPr>
                <w:szCs w:val="21"/>
              </w:rPr>
            </w:pPr>
            <w:r>
              <w:rPr>
                <w:rFonts w:hint="eastAsia"/>
                <w:color w:val="auto"/>
              </w:rPr>
              <w:t>0</w:t>
            </w:r>
          </w:p>
        </w:tc>
        <w:tc>
          <w:tcPr>
            <w:tcW w:w="1507" w:type="dxa"/>
            <w:vAlign w:val="center"/>
          </w:tcPr>
          <w:p>
            <w:pPr>
              <w:jc w:val="right"/>
              <w:rPr>
                <w:szCs w:val="21"/>
              </w:rPr>
            </w:pPr>
            <w:r>
              <w:rPr>
                <w:rFonts w:hint="eastAsia"/>
                <w:color w:val="auto"/>
              </w:rPr>
              <w:t>1,685,684.04</w:t>
            </w:r>
          </w:p>
        </w:tc>
        <w:tc>
          <w:tcPr>
            <w:tcW w:w="1507" w:type="dxa"/>
            <w:vAlign w:val="center"/>
          </w:tcPr>
          <w:p>
            <w:pPr>
              <w:jc w:val="right"/>
              <w:rPr>
                <w:szCs w:val="21"/>
              </w:rPr>
            </w:pPr>
            <w:r>
              <w:rPr>
                <w:rFonts w:hint="eastAsia"/>
                <w:color w:val="auto"/>
              </w:rPr>
              <w:t>2.85</w:t>
            </w:r>
          </w:p>
        </w:tc>
        <w:tc>
          <w:tcPr>
            <w:tcW w:w="1507" w:type="dxa"/>
            <w:vAlign w:val="center"/>
          </w:tcPr>
          <w:p>
            <w:pPr>
              <w:jc w:val="right"/>
              <w:rPr>
                <w:szCs w:val="21"/>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7" w:type="dxa"/>
            <w:vAlign w:val="center"/>
          </w:tcPr>
          <w:p>
            <w:pPr>
              <w:ind w:right="105"/>
              <w:jc w:val="center"/>
              <w:rPr>
                <w:szCs w:val="21"/>
              </w:rPr>
            </w:pPr>
            <w:r>
              <w:rPr>
                <w:rFonts w:hint="eastAsia"/>
                <w:szCs w:val="21"/>
              </w:rPr>
              <w:t>合计</w:t>
            </w:r>
          </w:p>
        </w:tc>
        <w:tc>
          <w:tcPr>
            <w:tcW w:w="1507" w:type="dxa"/>
            <w:vAlign w:val="center"/>
          </w:tcPr>
          <w:p>
            <w:pPr>
              <w:ind w:right="73"/>
              <w:jc w:val="right"/>
              <w:rPr>
                <w:szCs w:val="21"/>
              </w:rPr>
            </w:pPr>
            <w:r>
              <w:rPr>
                <w:rFonts w:hint="eastAsia"/>
                <w:color w:val="auto"/>
              </w:rPr>
              <w:t>37,930,915.20</w:t>
            </w:r>
          </w:p>
        </w:tc>
        <w:tc>
          <w:tcPr>
            <w:tcW w:w="1507" w:type="dxa"/>
            <w:vAlign w:val="center"/>
          </w:tcPr>
          <w:p>
            <w:pPr>
              <w:jc w:val="right"/>
              <w:rPr>
                <w:szCs w:val="21"/>
              </w:rPr>
            </w:pPr>
          </w:p>
        </w:tc>
        <w:tc>
          <w:tcPr>
            <w:tcW w:w="1507" w:type="dxa"/>
            <w:vAlign w:val="center"/>
          </w:tcPr>
          <w:p>
            <w:pPr>
              <w:jc w:val="right"/>
              <w:rPr>
                <w:szCs w:val="21"/>
              </w:rPr>
            </w:pPr>
            <w:r>
              <w:rPr>
                <w:rFonts w:hint="eastAsia"/>
                <w:szCs w:val="21"/>
              </w:rPr>
              <w:t>37,930,915.20</w:t>
            </w:r>
          </w:p>
        </w:tc>
        <w:tc>
          <w:tcPr>
            <w:tcW w:w="1507" w:type="dxa"/>
            <w:vAlign w:val="center"/>
          </w:tcPr>
          <w:p>
            <w:pPr>
              <w:jc w:val="right"/>
              <w:rPr>
                <w:szCs w:val="21"/>
              </w:rPr>
            </w:pPr>
            <w:r>
              <w:rPr>
                <w:rFonts w:hint="eastAsia"/>
                <w:color w:val="auto"/>
              </w:rPr>
              <w:t>64.22</w:t>
            </w:r>
          </w:p>
        </w:tc>
        <w:tc>
          <w:tcPr>
            <w:tcW w:w="1507" w:type="dxa"/>
            <w:vAlign w:val="center"/>
          </w:tcPr>
          <w:p>
            <w:pPr>
              <w:jc w:val="right"/>
              <w:rPr>
                <w:szCs w:val="21"/>
              </w:rPr>
            </w:pPr>
            <w:r>
              <w:rPr>
                <w:rFonts w:hint="eastAsia"/>
                <w:color w:val="auto"/>
              </w:rPr>
              <w:t>17,688,442.02</w:t>
            </w:r>
          </w:p>
        </w:tc>
      </w:tr>
    </w:tbl>
    <w:p>
      <w:pPr>
        <w:snapToGrid w:val="0"/>
        <w:spacing w:line="240" w:lineRule="atLeast"/>
        <w:rPr>
          <w:szCs w:val="21"/>
        </w:rPr>
      </w:pPr>
      <w:r>
        <w:rPr>
          <w:rFonts w:hint="eastAsia"/>
          <w:szCs w:val="21"/>
        </w:rPr>
        <w:t>其他说明：</w:t>
      </w:r>
    </w:p>
    <w:sdt>
      <w:sdtPr>
        <w:rPr>
          <w:szCs w:val="21"/>
        </w:rPr>
        <w:alias w:val="按欠款方归集的期末余额前五名的应收账款情况的说明"/>
        <w:tag w:val="_GBC_4233d26567cb46b2a0053fbc4949e5ad"/>
        <w:id w:val="8164"/>
        <w:placeholder>
          <w:docPart w:val="GBC22222222222222222222222222222"/>
        </w:placeholder>
      </w:sdtPr>
      <w:sdtEndPr>
        <w:rPr>
          <w:szCs w:val="21"/>
        </w:rPr>
      </w:sdtEndPr>
      <w:sdtContent>
        <w:p>
          <w:pPr>
            <w:snapToGrid w:val="0"/>
            <w:spacing w:line="240" w:lineRule="atLeast"/>
            <w:rPr>
              <w:szCs w:val="21"/>
            </w:rPr>
          </w:pPr>
          <w:r>
            <w:rPr>
              <w:rFonts w:hint="eastAsia"/>
              <w:szCs w:val="21"/>
            </w:rPr>
            <w:t>无</w:t>
          </w:r>
        </w:p>
      </w:sdtContent>
    </w:sdt>
    <w:p>
      <w:pPr>
        <w:snapToGrid w:val="0"/>
        <w:spacing w:line="240" w:lineRule="atLeast"/>
      </w:pPr>
    </w:p>
    <w:bookmarkEnd w:id="390"/>
    <w:bookmarkEnd w:id="391"/>
    <w:p>
      <w:r>
        <w:rPr>
          <w:rFonts w:hint="eastAsia"/>
        </w:rPr>
        <w:t>其他</w:t>
      </w:r>
      <w:r>
        <w:t>说明：</w:t>
      </w:r>
    </w:p>
    <w:sdt>
      <w:sdtPr>
        <w:alias w:val="是否适用：母公司应收账款其他说明[双击切换]"/>
        <w:tag w:val="_GBC_4765684a53b9474f898fa6c2bd313427"/>
        <w:id w:val="8165"/>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napToGrid w:val="0"/>
        <w:spacing w:line="240" w:lineRule="atLeast"/>
      </w:pPr>
    </w:p>
    <w:sdt>
      <w:sdtPr>
        <w:tag w:val="_PLD_39c07280a6174b088a41332b02bb8458"/>
        <w:id w:val="8166"/>
      </w:sdtPr>
      <w:sdtContent>
        <w:p>
          <w:pPr>
            <w:pStyle w:val="4"/>
            <w:numPr>
              <w:ilvl w:val="0"/>
              <w:numId w:val="127"/>
            </w:numPr>
            <w:rPr>
              <w:rFonts w:hint="eastAsia" w:ascii="宋体" w:hAnsi="宋体"/>
              <w:szCs w:val="21"/>
            </w:rPr>
          </w:pPr>
          <w:r>
            <w:rPr>
              <w:rFonts w:hint="eastAsia" w:ascii="宋体" w:hAnsi="宋体"/>
              <w:szCs w:val="21"/>
            </w:rPr>
            <w:t>其他应收款</w:t>
          </w:r>
        </w:p>
      </w:sdtContent>
    </w:sdt>
    <w:p>
      <w:pPr>
        <w:pStyle w:val="5"/>
        <w:rPr>
          <w:rFonts w:hint="eastAsia"/>
        </w:rPr>
      </w:pPr>
      <w:bookmarkStart w:id="392" w:name="_Hlk533796954"/>
      <w:bookmarkStart w:id="393" w:name="_Hlk153789873"/>
      <w:r>
        <w:rPr>
          <w:rFonts w:hint="eastAsia"/>
        </w:rPr>
        <w:t>项目列示</w:t>
      </w:r>
    </w:p>
    <w:sdt>
      <w:sdtPr>
        <w:alias w:val="是否适用：母公司其他应收款分类列示[双击切换]"/>
        <w:tag w:val="_GBC_eca97260629e4985b01404cfe0f9630b"/>
        <w:id w:val="8167"/>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母公司其他应收款分类列示"/>
          <w:tag w:val="_GBC_3e648241a63447daac5dd00971efb146"/>
          <w:id w:val="816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母公司其他应收款分类列示"/>
          <w:tag w:val="_GBC_c7b8206dd7dd44fcb02f4cced206c1b8"/>
          <w:id w:val="816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3196"/>
        <w:gridCol w:w="2938"/>
        <w:gridCol w:w="2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196" w:type="dxa"/>
            <w:vAlign w:val="center"/>
          </w:tcPr>
          <w:sdt>
            <w:sdtPr>
              <w:tag w:val="_PLD_3fbe550dc0704e7ebed42463d474129d"/>
              <w:id w:val="8170"/>
            </w:sdtPr>
            <w:sdtContent>
              <w:p>
                <w:pPr>
                  <w:jc w:val="center"/>
                  <w:rPr>
                    <w:szCs w:val="21"/>
                  </w:rPr>
                </w:pPr>
                <w:r>
                  <w:rPr>
                    <w:rFonts w:hint="eastAsia"/>
                    <w:szCs w:val="21"/>
                  </w:rPr>
                  <w:t>项目</w:t>
                </w:r>
              </w:p>
            </w:sdtContent>
          </w:sdt>
        </w:tc>
        <w:tc>
          <w:tcPr>
            <w:tcW w:w="2938" w:type="dxa"/>
            <w:vAlign w:val="center"/>
          </w:tcPr>
          <w:sdt>
            <w:sdtPr>
              <w:tag w:val="_PLD_5161bba6c7a3460784316b0695f47487"/>
              <w:id w:val="8171"/>
            </w:sdtPr>
            <w:sdtContent>
              <w:p>
                <w:pPr>
                  <w:jc w:val="center"/>
                  <w:rPr>
                    <w:szCs w:val="21"/>
                  </w:rPr>
                </w:pPr>
                <w:r>
                  <w:rPr>
                    <w:rFonts w:hint="eastAsia"/>
                    <w:szCs w:val="21"/>
                  </w:rPr>
                  <w:t>期末余额</w:t>
                </w:r>
              </w:p>
            </w:sdtContent>
          </w:sdt>
        </w:tc>
        <w:tc>
          <w:tcPr>
            <w:tcW w:w="2924" w:type="dxa"/>
            <w:vAlign w:val="center"/>
          </w:tcPr>
          <w:sdt>
            <w:sdtPr>
              <w:tag w:val="_PLD_54007dfc9bc24ec0b86bc4694efe4938"/>
              <w:id w:val="8172"/>
            </w:sdtPr>
            <w:sdtContent>
              <w:p>
                <w:pPr>
                  <w:jc w:val="center"/>
                  <w:rPr>
                    <w:szCs w:val="21"/>
                  </w:rPr>
                </w:pPr>
                <w:r>
                  <w:rPr>
                    <w:rFonts w:hint="eastAsia"/>
                    <w:szCs w:val="21"/>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196" w:type="dxa"/>
            <w:vAlign w:val="center"/>
          </w:tcPr>
          <w:p>
            <w:pPr>
              <w:ind w:right="5"/>
              <w:rPr>
                <w:szCs w:val="21"/>
              </w:rPr>
            </w:pPr>
            <w:r>
              <w:rPr>
                <w:rFonts w:hint="eastAsia"/>
                <w:szCs w:val="21"/>
              </w:rPr>
              <w:t>应收股利</w:t>
            </w:r>
          </w:p>
        </w:tc>
        <w:tc>
          <w:tcPr>
            <w:tcW w:w="2938" w:type="dxa"/>
            <w:vAlign w:val="center"/>
          </w:tcPr>
          <w:p>
            <w:pPr>
              <w:ind w:right="5"/>
              <w:jc w:val="right"/>
              <w:rPr>
                <w:szCs w:val="21"/>
              </w:rPr>
            </w:pPr>
            <w:r>
              <w:rPr>
                <w:rFonts w:hint="eastAsia"/>
                <w:color w:val="auto"/>
              </w:rPr>
              <w:t>2,888,043.30</w:t>
            </w:r>
          </w:p>
        </w:tc>
        <w:tc>
          <w:tcPr>
            <w:tcW w:w="2924" w:type="dxa"/>
            <w:vAlign w:val="center"/>
          </w:tcPr>
          <w:p>
            <w:pPr>
              <w:ind w:right="5"/>
              <w:jc w:val="right"/>
              <w:rPr>
                <w:szCs w:val="21"/>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196" w:type="dxa"/>
            <w:vAlign w:val="center"/>
          </w:tcPr>
          <w:p>
            <w:pPr>
              <w:ind w:right="5"/>
              <w:rPr>
                <w:szCs w:val="21"/>
              </w:rPr>
            </w:pPr>
            <w:r>
              <w:rPr>
                <w:rFonts w:hint="eastAsia"/>
                <w:szCs w:val="21"/>
              </w:rPr>
              <w:t>其他应收款</w:t>
            </w:r>
          </w:p>
        </w:tc>
        <w:tc>
          <w:tcPr>
            <w:tcW w:w="2938" w:type="dxa"/>
            <w:vAlign w:val="center"/>
          </w:tcPr>
          <w:p>
            <w:pPr>
              <w:ind w:right="5"/>
              <w:jc w:val="right"/>
              <w:rPr>
                <w:szCs w:val="21"/>
              </w:rPr>
            </w:pPr>
            <w:r>
              <w:rPr>
                <w:rFonts w:hint="eastAsia"/>
                <w:color w:val="auto"/>
              </w:rPr>
              <w:t>81,724,730.00</w:t>
            </w:r>
          </w:p>
        </w:tc>
        <w:tc>
          <w:tcPr>
            <w:tcW w:w="2924" w:type="dxa"/>
            <w:vAlign w:val="center"/>
          </w:tcPr>
          <w:p>
            <w:pPr>
              <w:ind w:right="5"/>
              <w:jc w:val="right"/>
              <w:rPr>
                <w:szCs w:val="21"/>
              </w:rPr>
            </w:pPr>
            <w:r>
              <w:rPr>
                <w:rFonts w:hint="eastAsia"/>
                <w:color w:val="auto"/>
              </w:rPr>
              <w:t>80,928,242.06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196" w:type="dxa"/>
            <w:vAlign w:val="center"/>
          </w:tcPr>
          <w:p>
            <w:pPr>
              <w:autoSpaceDE w:val="0"/>
              <w:autoSpaceDN w:val="0"/>
              <w:adjustRightInd w:val="0"/>
              <w:rPr>
                <w:szCs w:val="21"/>
              </w:rPr>
            </w:pPr>
            <w:r>
              <w:rPr>
                <w:rFonts w:hint="eastAsia"/>
                <w:szCs w:val="21"/>
              </w:rPr>
              <w:t>合计</w:t>
            </w:r>
          </w:p>
        </w:tc>
        <w:tc>
          <w:tcPr>
            <w:tcW w:w="2938" w:type="dxa"/>
            <w:vAlign w:val="center"/>
          </w:tcPr>
          <w:p>
            <w:pPr>
              <w:jc w:val="right"/>
              <w:rPr>
                <w:szCs w:val="21"/>
              </w:rPr>
            </w:pPr>
            <w:r>
              <w:rPr>
                <w:rFonts w:hint="eastAsia"/>
                <w:color w:val="auto"/>
              </w:rPr>
              <w:t>84,612,773.30</w:t>
            </w:r>
          </w:p>
        </w:tc>
        <w:tc>
          <w:tcPr>
            <w:tcW w:w="2924" w:type="dxa"/>
            <w:vAlign w:val="center"/>
          </w:tcPr>
          <w:p>
            <w:pPr>
              <w:jc w:val="right"/>
              <w:rPr>
                <w:szCs w:val="21"/>
              </w:rPr>
            </w:pPr>
            <w:r>
              <w:rPr>
                <w:rFonts w:hint="eastAsia"/>
                <w:color w:val="auto"/>
              </w:rPr>
              <w:t>80,928,242.06</w:t>
            </w:r>
          </w:p>
        </w:tc>
      </w:tr>
    </w:tbl>
    <w:p/>
    <w:bookmarkEnd w:id="392"/>
    <w:bookmarkEnd w:id="393"/>
    <w:p>
      <w:pPr>
        <w:rPr>
          <w:szCs w:val="21"/>
        </w:rPr>
      </w:pPr>
      <w:bookmarkStart w:id="394" w:name="_Hlk533797002"/>
      <w:r>
        <w:rPr>
          <w:rFonts w:hint="eastAsia"/>
          <w:szCs w:val="21"/>
        </w:rPr>
        <w:t>其他说明：</w:t>
      </w:r>
    </w:p>
    <w:sdt>
      <w:sdtPr>
        <w:rPr>
          <w:szCs w:val="21"/>
        </w:rPr>
        <w:alias w:val="是否适用：母公司其他应收款分类列示其他说明[双击切换]"/>
        <w:tag w:val="_GBC_17d0b67d20cb486dbc08e07c11e1224a"/>
        <w:id w:val="8173"/>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bookmarkEnd w:id="394"/>
    <w:p/>
    <w:p>
      <w:pPr>
        <w:pStyle w:val="5"/>
        <w:ind w:left="360" w:hanging="360"/>
        <w:rPr>
          <w:rFonts w:hint="eastAsia"/>
        </w:rPr>
      </w:pPr>
      <w:r>
        <w:rPr>
          <w:rFonts w:hint="eastAsia"/>
        </w:rPr>
        <w:t>应收利息</w:t>
      </w:r>
    </w:p>
    <w:p>
      <w:pPr>
        <w:pStyle w:val="6"/>
        <w:numPr>
          <w:ilvl w:val="0"/>
          <w:numId w:val="129"/>
        </w:numPr>
        <w:ind w:leftChars="0"/>
      </w:pPr>
      <w:bookmarkStart w:id="395" w:name="_Hlk533797042"/>
      <w:r>
        <w:rPr>
          <w:rFonts w:hint="eastAsia"/>
        </w:rPr>
        <w:t>应收利息分类</w:t>
      </w:r>
    </w:p>
    <w:sdt>
      <w:sdtPr>
        <w:alias w:val="是否适用：母公司应收利息分类[双击切换]"/>
        <w:tag w:val="_GBC_5e0cba78d09b4764ada25ce89de1c4fd"/>
        <w:id w:val="8174"/>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bookmarkEnd w:id="395"/>
    <w:p>
      <w:pPr>
        <w:pStyle w:val="6"/>
        <w:numPr>
          <w:ilvl w:val="0"/>
          <w:numId w:val="129"/>
        </w:numPr>
        <w:ind w:leftChars="0"/>
        <w:rPr>
          <w:rFonts w:cs="宋体" w:asciiTheme="minorHAnsi" w:hAnsiTheme="minorHAnsi"/>
          <w:kern w:val="0"/>
          <w:szCs w:val="22"/>
        </w:rPr>
      </w:pPr>
      <w:bookmarkStart w:id="396" w:name="_Hlk533797114"/>
      <w:r>
        <w:rPr>
          <w:rFonts w:hint="eastAsia" w:cs="宋体" w:asciiTheme="minorHAnsi" w:hAnsiTheme="minorHAnsi"/>
          <w:kern w:val="0"/>
          <w:szCs w:val="22"/>
        </w:rPr>
        <w:t>重要逾期利息</w:t>
      </w:r>
    </w:p>
    <w:sdt>
      <w:sdtPr>
        <w:alias w:val="是否适用：母公司重要逾期利息[双击切换]"/>
        <w:tag w:val="_GBC_2d954f5af6a64a34941652eeb166dce8"/>
        <w:id w:val="8175"/>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pPr>
        <w:pStyle w:val="6"/>
        <w:numPr>
          <w:ilvl w:val="0"/>
          <w:numId w:val="129"/>
        </w:numPr>
        <w:ind w:leftChars="0"/>
        <w:rPr>
          <w:rFonts w:cs="宋体" w:asciiTheme="minorHAnsi" w:hAnsiTheme="minorHAnsi"/>
          <w:kern w:val="0"/>
          <w:szCs w:val="22"/>
        </w:rPr>
      </w:pPr>
      <w:bookmarkStart w:id="397" w:name="_Hlk153789950"/>
      <w:bookmarkStart w:id="398" w:name="_Hlk154149455"/>
      <w:r>
        <w:rPr>
          <w:rFonts w:hint="eastAsia" w:cs="宋体" w:asciiTheme="minorHAnsi" w:hAnsiTheme="minorHAnsi"/>
          <w:kern w:val="0"/>
          <w:szCs w:val="22"/>
        </w:rPr>
        <w:t>按</w:t>
      </w:r>
      <w:r>
        <w:rPr>
          <w:rFonts w:cs="宋体" w:asciiTheme="minorHAnsi" w:hAnsiTheme="minorHAnsi"/>
          <w:kern w:val="0"/>
          <w:szCs w:val="22"/>
        </w:rPr>
        <w:t>坏账计提方法分类披露</w:t>
      </w:r>
    </w:p>
    <w:sdt>
      <w:sdtPr>
        <w:alias w:val="是否适用：按坏账计提方法分类披露[双击切换]"/>
        <w:tag w:val="_GBC_fe4d472a766545fe91e93448a26e5403"/>
        <w:id w:val="8176"/>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rPr>
          <w:rFonts w:hint="eastAsia"/>
        </w:rPr>
        <w:t>按单项计提坏账准备：</w:t>
      </w:r>
    </w:p>
    <w:sdt>
      <w:sdtPr>
        <w:alias w:val="是否适用：母公司按单项计提坏账准备的详细情况[双击切换]"/>
        <w:tag w:val="_GBC_d06b9654dbc04fa7af49f1a5ad28f657"/>
        <w:id w:val="8177"/>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r>
        <w:rPr>
          <w:rFonts w:hint="eastAsia"/>
          <w:szCs w:val="21"/>
        </w:rPr>
        <w:t>按单项计提坏账准备的说明：</w:t>
      </w:r>
    </w:p>
    <w:sdt>
      <w:sdtPr>
        <w:rPr>
          <w:szCs w:val="21"/>
        </w:rPr>
        <w:alias w:val="是否适用：母公司按单项计提坏账准备的说明[双击切换]"/>
        <w:tag w:val="_GBC_7a6fa6b7c7de4c12942ac6477ec9ffb8"/>
        <w:id w:val="8178"/>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rPr>
          <w:rFonts w:ascii="Calibri" w:hAnsi="Calibri"/>
          <w:bCs/>
          <w:szCs w:val="22"/>
        </w:rPr>
      </w:pPr>
      <w:r>
        <w:rPr>
          <w:rFonts w:hint="eastAsia" w:ascii="Calibri" w:hAnsi="Calibri"/>
          <w:bCs/>
          <w:szCs w:val="22"/>
        </w:rPr>
        <w:t>按组合计提坏账准备：</w:t>
      </w:r>
    </w:p>
    <w:sdt>
      <w:sdtPr>
        <w:rPr>
          <w:rFonts w:ascii="Calibri" w:hAnsi="Calibri"/>
          <w:bCs/>
          <w:szCs w:val="22"/>
        </w:rPr>
        <w:alias w:val="是否适用：母公司按组合计提坏账准备的详细情况[双击切换]"/>
        <w:tag w:val="_GBC_ce999ec0925c4191a03a5c3b162652e0"/>
        <w:id w:val="8179"/>
        <w:placeholder>
          <w:docPart w:val="GBC22222222222222222222222222222"/>
        </w:placeholder>
      </w:sdtPr>
      <w:sdtEndPr>
        <w:rPr>
          <w:rFonts w:ascii="Calibri" w:hAnsi="Calibri"/>
          <w:bCs/>
          <w:szCs w:val="22"/>
        </w:rPr>
      </w:sdtEndPr>
      <w:sdtContent>
        <w:p>
          <w:pPr>
            <w:rPr>
              <w:rFonts w:ascii="Calibri" w:hAnsi="Calibri"/>
              <w:bCs/>
              <w:szCs w:val="22"/>
            </w:rPr>
          </w:pPr>
          <w:r>
            <w:rPr>
              <w:rFonts w:ascii="宋体" w:hAnsi="宋体"/>
              <w:bCs/>
              <w:szCs w:val="22"/>
            </w:rPr>
            <w:fldChar w:fldCharType="begin"/>
          </w:r>
          <w:r>
            <w:rPr>
              <w:rFonts w:ascii="宋体" w:hAnsi="宋体"/>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Pr>
              <w:rFonts w:ascii="宋体" w:hAnsi="宋体"/>
              <w:bCs/>
              <w:szCs w:val="22"/>
            </w:rPr>
            <w:instrText xml:space="preserve"> MACROBUTTON  SnrToggleCheckbox √不适用 </w:instrText>
          </w:r>
          <w:r>
            <w:rPr>
              <w:rFonts w:ascii="宋体" w:hAnsi="宋体"/>
              <w:bCs/>
              <w:szCs w:val="22"/>
            </w:rPr>
            <w:fldChar w:fldCharType="end"/>
          </w:r>
        </w:p>
      </w:sdtContent>
    </w:sdt>
    <w:bookmarkEnd w:id="396"/>
    <w:bookmarkEnd w:id="397"/>
    <w:bookmarkEnd w:id="398"/>
    <w:p>
      <w:pPr>
        <w:pStyle w:val="6"/>
        <w:numPr>
          <w:ilvl w:val="0"/>
          <w:numId w:val="129"/>
        </w:numPr>
        <w:ind w:leftChars="0"/>
        <w:rPr>
          <w:rFonts w:cs="宋体" w:asciiTheme="minorHAnsi" w:hAnsiTheme="minorHAnsi"/>
          <w:kern w:val="0"/>
          <w:szCs w:val="22"/>
        </w:rPr>
      </w:pPr>
      <w:bookmarkStart w:id="399" w:name="_Hlk533868784"/>
      <w:r>
        <w:rPr>
          <w:rFonts w:hint="eastAsia" w:cs="宋体" w:asciiTheme="minorHAnsi" w:hAnsiTheme="minorHAnsi"/>
          <w:kern w:val="0"/>
          <w:szCs w:val="22"/>
        </w:rPr>
        <w:t>按</w:t>
      </w:r>
      <w:r>
        <w:rPr>
          <w:rFonts w:hint="eastAsia"/>
          <w:szCs w:val="22"/>
        </w:rPr>
        <w:t>预期信用损失一般模型计提坏账准备</w:t>
      </w:r>
    </w:p>
    <w:sdt>
      <w:sdtPr>
        <w:rPr>
          <w:szCs w:val="21"/>
        </w:rPr>
        <w:alias w:val="是否适用：母公司应收利息坏账准备调节表[双击切换]"/>
        <w:tag w:val="_GBC_f31c9323c5434941917fd7e42ea1fd1b"/>
        <w:id w:val="8180"/>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autoSpaceDE w:val="0"/>
        <w:autoSpaceDN w:val="0"/>
        <w:adjustRightInd w:val="0"/>
        <w:ind w:right="105" w:rightChars="50"/>
        <w:rPr>
          <w:szCs w:val="21"/>
        </w:rPr>
      </w:pPr>
    </w:p>
    <w:p>
      <w:pPr>
        <w:autoSpaceDE w:val="0"/>
        <w:autoSpaceDN w:val="0"/>
        <w:adjustRightInd w:val="0"/>
        <w:ind w:right="105" w:rightChars="50"/>
        <w:rPr>
          <w:szCs w:val="21"/>
        </w:rPr>
      </w:pPr>
      <w:bookmarkStart w:id="400" w:name="OLE_LINK5"/>
      <w:r>
        <w:rPr>
          <w:rFonts w:hint="eastAsia"/>
          <w:szCs w:val="21"/>
        </w:rPr>
        <w:t>各阶段划分依据和坏账准备计提比例</w:t>
      </w:r>
    </w:p>
    <w:bookmarkEnd w:id="400"/>
    <w:sdt>
      <w:sdtPr>
        <w:rPr>
          <w:bCs/>
          <w:szCs w:val="22"/>
        </w:rPr>
        <w:alias w:val="应收利息各阶段划分依据和坏账准备计提比例"/>
        <w:tag w:val="_GBC_b77aa29618704a4d96dead6a87509661"/>
        <w:id w:val="8181"/>
        <w:placeholder>
          <w:docPart w:val="GBC22222222222222222222222222222"/>
        </w:placeholder>
      </w:sdtPr>
      <w:sdtEndPr>
        <w:rPr>
          <w:bCs/>
          <w:szCs w:val="22"/>
        </w:rPr>
      </w:sdtEndPr>
      <w:sdtContent>
        <w:p>
          <w:pPr>
            <w:rPr>
              <w:bCs/>
              <w:szCs w:val="22"/>
            </w:rPr>
          </w:pPr>
          <w:r>
            <w:rPr>
              <w:rFonts w:hint="eastAsia"/>
              <w:bCs/>
              <w:szCs w:val="22"/>
            </w:rPr>
            <w:t>无</w:t>
          </w:r>
        </w:p>
      </w:sdtContent>
    </w:sdt>
    <w:p>
      <w:pPr>
        <w:rPr>
          <w:bCs/>
          <w:szCs w:val="22"/>
        </w:rPr>
      </w:pPr>
    </w:p>
    <w:p>
      <w:pPr>
        <w:pStyle w:val="73"/>
      </w:pPr>
      <w:r>
        <w:rPr>
          <w:rFonts w:hint="eastAsia"/>
        </w:rPr>
        <w:t>对本期发生损失准备变动的应收利息账面余额显著变动的情况说明：</w:t>
      </w:r>
    </w:p>
    <w:sdt>
      <w:sdtPr>
        <w:alias w:val="是否适用：母公司应收利息本期发生损失准备变动且账面余额显著变动的情况说明[双击切换]"/>
        <w:tag w:val="_GBC_2798f4ad45d644a484ca2567cd62ed60"/>
        <w:id w:val="8182"/>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bookmarkEnd w:id="399"/>
    <w:p>
      <w:pPr>
        <w:pStyle w:val="6"/>
        <w:numPr>
          <w:ilvl w:val="0"/>
          <w:numId w:val="129"/>
        </w:numPr>
        <w:ind w:leftChars="0"/>
        <w:rPr>
          <w:rFonts w:cs="宋体" w:asciiTheme="minorHAnsi" w:hAnsiTheme="minorHAnsi"/>
          <w:kern w:val="0"/>
          <w:szCs w:val="22"/>
        </w:rPr>
      </w:pPr>
      <w:bookmarkStart w:id="401" w:name="_Hlk533797211"/>
      <w:bookmarkEnd w:id="401"/>
      <w:bookmarkStart w:id="402" w:name="_Hlk154149866"/>
      <w:bookmarkStart w:id="403" w:name="_Hlk153790581"/>
      <w:r>
        <w:rPr>
          <w:rFonts w:hint="eastAsia" w:cs="宋体" w:asciiTheme="minorHAnsi" w:hAnsiTheme="minorHAnsi"/>
          <w:kern w:val="0"/>
          <w:szCs w:val="22"/>
        </w:rPr>
        <w:t>坏账准备的情况</w:t>
      </w:r>
    </w:p>
    <w:sdt>
      <w:sdtPr>
        <w:alias w:val="是否适用：母公司坏账准备情况[双击切换]"/>
        <w:tag w:val="_GBC_44a257b47fa748eca2cab9dd0877e841"/>
        <w:id w:val="8183"/>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pStyle w:val="73"/>
      </w:pPr>
    </w:p>
    <w:p>
      <w:r>
        <w:rPr>
          <w:rFonts w:hint="eastAsia"/>
        </w:rPr>
        <w:t>其中本期坏账准备收回或转回金额重要的：</w:t>
      </w:r>
    </w:p>
    <w:sdt>
      <w:sdtPr>
        <w:alias w:val="是否适用：本期坏账准备收回或转回金额重要的[双击切换]"/>
        <w:tag w:val="_GBC_dda1c249e9da4520abee515b8b42f5f4"/>
        <w:id w:val="8184"/>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r>
        <w:rPr>
          <w:rFonts w:hint="eastAsia"/>
        </w:rPr>
        <w:t>其他说明：</w:t>
      </w:r>
    </w:p>
    <w:sdt>
      <w:sdtPr>
        <w:alias w:val="母公司坏账准备情况的说明"/>
        <w:tag w:val="_GBC_31b65196a31b451f9f81b4cd487599d5"/>
        <w:id w:val="8185"/>
        <w:placeholder>
          <w:docPart w:val="GBC22222222222222222222222222222"/>
        </w:placeholder>
      </w:sdtPr>
      <w:sdtContent>
        <w:p>
          <w:pPr>
            <w:ind w:right="42" w:rightChars="20"/>
          </w:pPr>
          <w:r>
            <w:t>无</w:t>
          </w:r>
        </w:p>
      </w:sdtContent>
    </w:sdt>
    <w:p>
      <w:pPr>
        <w:ind w:right="-1594" w:rightChars="-759"/>
      </w:pPr>
    </w:p>
    <w:p>
      <w:pPr>
        <w:pStyle w:val="6"/>
        <w:numPr>
          <w:ilvl w:val="0"/>
          <w:numId w:val="129"/>
        </w:numPr>
        <w:ind w:leftChars="0"/>
        <w:rPr>
          <w:rFonts w:cs="宋体" w:asciiTheme="minorHAnsi" w:hAnsiTheme="minorHAnsi"/>
          <w:kern w:val="0"/>
          <w:szCs w:val="22"/>
        </w:rPr>
      </w:pPr>
      <w:r>
        <w:rPr>
          <w:rFonts w:cs="宋体" w:asciiTheme="minorHAnsi" w:hAnsiTheme="minorHAnsi"/>
          <w:kern w:val="0"/>
          <w:szCs w:val="22"/>
        </w:rPr>
        <w:t>本期实际核销的应收</w:t>
      </w:r>
      <w:r>
        <w:rPr>
          <w:rFonts w:hint="eastAsia" w:cs="宋体" w:asciiTheme="minorHAnsi" w:hAnsiTheme="minorHAnsi"/>
          <w:kern w:val="0"/>
          <w:szCs w:val="22"/>
        </w:rPr>
        <w:t>利息</w:t>
      </w:r>
      <w:r>
        <w:rPr>
          <w:rFonts w:cs="宋体" w:asciiTheme="minorHAnsi" w:hAnsiTheme="minorHAnsi"/>
          <w:kern w:val="0"/>
          <w:szCs w:val="22"/>
        </w:rPr>
        <w:t>情况</w:t>
      </w:r>
    </w:p>
    <w:sdt>
      <w:sdtPr>
        <w:alias w:val="是否适用：实际核销的情况[双击切换]"/>
        <w:tag w:val="_GBC_078b310c81244c1d880a4059768019f1"/>
        <w:id w:val="8186"/>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rPr>
          <w:szCs w:val="21"/>
        </w:rPr>
      </w:pPr>
      <w:r>
        <w:rPr>
          <w:rFonts w:hint="eastAsia"/>
          <w:szCs w:val="21"/>
        </w:rPr>
        <w:t>其中重要的应收利息核销情况</w:t>
      </w:r>
    </w:p>
    <w:sdt>
      <w:sdtPr>
        <w:rPr>
          <w:rFonts w:hint="eastAsia"/>
          <w:szCs w:val="21"/>
        </w:rPr>
        <w:alias w:val="是否适用：母公司重要的核销情况[双击切换]"/>
        <w:tag w:val="_GBC_d68df6b80a1a45bcb388baf56df1b958"/>
        <w:id w:val="8187"/>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snapToGrid w:val="0"/>
        <w:spacing w:line="240" w:lineRule="atLeast"/>
        <w:rPr>
          <w:szCs w:val="21"/>
        </w:rPr>
      </w:pPr>
    </w:p>
    <w:p>
      <w:pPr>
        <w:snapToGrid w:val="0"/>
        <w:spacing w:line="240" w:lineRule="atLeast"/>
        <w:rPr>
          <w:szCs w:val="21"/>
        </w:rPr>
      </w:pPr>
      <w:r>
        <w:rPr>
          <w:rFonts w:hint="eastAsia"/>
          <w:szCs w:val="21"/>
        </w:rPr>
        <w:t>核销说明：</w:t>
      </w:r>
    </w:p>
    <w:sdt>
      <w:sdtPr>
        <w:rPr>
          <w:szCs w:val="21"/>
        </w:rPr>
        <w:alias w:val="是否适用：母公司核销说明[双击切换]"/>
        <w:tag w:val="_GBC_dd0453ff96014cb191f4b96cd3787f15"/>
        <w:id w:val="8188"/>
        <w:placeholder>
          <w:docPart w:val="GBC22222222222222222222222222222"/>
        </w:placeholder>
      </w:sdtPr>
      <w:sdtEndPr>
        <w:rPr>
          <w:szCs w:val="21"/>
        </w:rPr>
      </w:sdtEndPr>
      <w:sdtContent>
        <w:p>
          <w:pPr>
            <w:snapToGrid w:val="0"/>
            <w:spacing w:line="240" w:lineRule="atLeast"/>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bookmarkEnd w:id="402"/>
    <w:p>
      <w:r>
        <w:rPr>
          <w:rFonts w:hint="eastAsia"/>
        </w:rPr>
        <w:t>其他说明：</w:t>
      </w:r>
    </w:p>
    <w:sdt>
      <w:sdtPr>
        <w:rPr>
          <w:rFonts w:hint="eastAsia"/>
          <w:szCs w:val="21"/>
        </w:rPr>
        <w:alias w:val="是否适用：应收利息的说明[双击切换]"/>
        <w:tag w:val="_GBC_9a3e6e5b075544d3b90be42ae9d883ef"/>
        <w:id w:val="8189"/>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bookmarkEnd w:id="403"/>
    <w:sdt>
      <w:sdtPr>
        <w:tag w:val="_PLD_edafd104c39045c596dd0aac2cef0126"/>
        <w:id w:val="8190"/>
      </w:sdtPr>
      <w:sdtContent>
        <w:p>
          <w:pPr>
            <w:pStyle w:val="5"/>
            <w:ind w:left="360" w:hanging="360"/>
            <w:rPr>
              <w:rFonts w:hint="eastAsia"/>
            </w:rPr>
          </w:pPr>
          <w:r>
            <w:rPr>
              <w:rFonts w:hint="eastAsia"/>
            </w:rPr>
            <w:t>应收股利</w:t>
          </w:r>
        </w:p>
      </w:sdtContent>
    </w:sdt>
    <w:p>
      <w:pPr>
        <w:pStyle w:val="6"/>
        <w:numPr>
          <w:ilvl w:val="0"/>
          <w:numId w:val="130"/>
        </w:numPr>
        <w:ind w:leftChars="0"/>
        <w:rPr>
          <w:rFonts w:cs="宋体" w:asciiTheme="minorHAnsi" w:hAnsiTheme="minorHAnsi"/>
          <w:kern w:val="0"/>
          <w:szCs w:val="22"/>
        </w:rPr>
      </w:pPr>
      <w:bookmarkStart w:id="404" w:name="_Hlk533797257"/>
      <w:r>
        <w:rPr>
          <w:rFonts w:hint="eastAsia" w:cs="宋体" w:asciiTheme="minorHAnsi" w:hAnsiTheme="minorHAnsi"/>
          <w:kern w:val="0"/>
          <w:szCs w:val="22"/>
        </w:rPr>
        <w:t>应收股利</w:t>
      </w:r>
    </w:p>
    <w:sdt>
      <w:sdtPr>
        <w:alias w:val="是否适用：母公司应收股利[双击切换]"/>
        <w:tag w:val="_GBC_a52dcf5153694fbe9527781c61a5006e"/>
        <w:id w:val="8191"/>
        <w:placeholder>
          <w:docPart w:val="GBC22222222222222222222222222222"/>
        </w:placeholder>
      </w:sdtPr>
      <w:sdtContent>
        <w:p>
          <w:r>
            <w:rPr>
              <w:rFonts w:ascii="宋体" w:hAnsi="宋体"/>
            </w:rPr>
            <w:fldChar w:fldCharType="begin"/>
          </w:r>
          <w:r>
            <w:rPr>
              <w:rFonts w:hint="eastAsia" w:ascii="宋体" w:hAnsi="宋体"/>
              <w:lang w:eastAsia="zh-CN"/>
            </w:rPr>
            <w:instrText xml:space="preserve"> MACROBUTTON  SnrToggleCheckbox √适用 </w:instrText>
          </w:r>
          <w:r>
            <w:rPr>
              <w:rFonts w:ascii="宋体" w:hAnsi="宋体"/>
            </w:rPr>
            <w:fldChar w:fldCharType="end"/>
          </w:r>
          <w:r>
            <w:rPr>
              <w:rFonts w:ascii="宋体" w:hAnsi="宋体"/>
            </w:rPr>
            <w:fldChar w:fldCharType="begin"/>
          </w:r>
          <w:r>
            <w:rPr>
              <w:rFonts w:hint="eastAsia" w:ascii="宋体" w:hAnsi="宋体"/>
              <w:lang w:eastAsia="zh-CN"/>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母公司应收股利"/>
          <w:tag w:val="_GBC_6ca836a3bcad480a9c85951f0ab366a6"/>
          <w:id w:val="147473905"/>
          <w:placeholder>
            <w:docPart w:val="{09968093-58a9-48be-832e-e5842b7c14b4}"/>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szCs w:val="21"/>
        </w:rPr>
        <w:t xml:space="preserve"> </w:t>
      </w:r>
      <w:r>
        <w:rPr>
          <w:rFonts w:hint="eastAsia"/>
          <w:szCs w:val="21"/>
        </w:rPr>
        <w:t>币种：</w:t>
      </w:r>
      <w:sdt>
        <w:sdtPr>
          <w:rPr>
            <w:rFonts w:hint="eastAsia"/>
            <w:szCs w:val="21"/>
          </w:rPr>
          <w:alias w:val="币种：母公司应收股利"/>
          <w:tag w:val="_GBC_f127bcdbe1e14dfb9de9ff2ea28f8849"/>
          <w:id w:val="147478783"/>
          <w:placeholder>
            <w:docPart w:val="{09968093-58a9-48be-832e-e5842b7c14b4}"/>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3"/>
        <w:gridCol w:w="2810"/>
        <w:gridCol w:w="2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2f33eddb4e264906aec2f02b43b353c9"/>
            <w:id w:val="147470729"/>
          </w:sdtPr>
          <w:sdtContent>
            <w:tc>
              <w:tcPr>
                <w:tcW w:w="3413" w:type="dxa"/>
                <w:vAlign w:val="center"/>
              </w:tcPr>
              <w:p>
                <w:pPr>
                  <w:jc w:val="center"/>
                  <w:rPr>
                    <w:szCs w:val="21"/>
                  </w:rPr>
                </w:pPr>
                <w:r>
                  <w:rPr>
                    <w:rFonts w:hint="eastAsia"/>
                    <w:szCs w:val="21"/>
                  </w:rPr>
                  <w:t>项目(或被投资单位)</w:t>
                </w:r>
              </w:p>
            </w:tc>
          </w:sdtContent>
        </w:sdt>
        <w:sdt>
          <w:sdtPr>
            <w:tag w:val="_PLD_d5c6465a5d04498caa02c0445ea9f2a6"/>
            <w:id w:val="147460190"/>
          </w:sdtPr>
          <w:sdtContent>
            <w:tc>
              <w:tcPr>
                <w:tcW w:w="2810" w:type="dxa"/>
                <w:vAlign w:val="center"/>
              </w:tcPr>
              <w:p>
                <w:pPr>
                  <w:jc w:val="center"/>
                  <w:rPr>
                    <w:szCs w:val="21"/>
                  </w:rPr>
                </w:pPr>
                <w:r>
                  <w:rPr>
                    <w:rFonts w:hint="eastAsia"/>
                    <w:szCs w:val="21"/>
                  </w:rPr>
                  <w:t>期末余额</w:t>
                </w:r>
              </w:p>
            </w:tc>
          </w:sdtContent>
        </w:sdt>
        <w:sdt>
          <w:sdtPr>
            <w:tag w:val="_PLD_c14a5a3826574e7ebd8083db63a7a818"/>
            <w:id w:val="147460565"/>
          </w:sdtPr>
          <w:sdtContent>
            <w:tc>
              <w:tcPr>
                <w:tcW w:w="2825" w:type="dxa"/>
                <w:vAlign w:val="center"/>
              </w:tcPr>
              <w:p>
                <w:pPr>
                  <w:jc w:val="center"/>
                  <w:rPr>
                    <w:szCs w:val="21"/>
                  </w:rPr>
                </w:pPr>
                <w:r>
                  <w:rPr>
                    <w:rFonts w:hint="eastAsia"/>
                    <w:szCs w:val="21"/>
                  </w:rPr>
                  <w:t>期初余额</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3" w:type="dxa"/>
            <w:vAlign w:val="center"/>
          </w:tcPr>
          <w:p>
            <w:pPr>
              <w:rPr>
                <w:szCs w:val="21"/>
              </w:rPr>
            </w:pPr>
            <w:r>
              <w:rPr>
                <w:rFonts w:hint="eastAsia"/>
                <w:szCs w:val="21"/>
              </w:rPr>
              <w:t>中信证券股份有限公司</w:t>
            </w:r>
          </w:p>
        </w:tc>
        <w:tc>
          <w:tcPr>
            <w:tcW w:w="2810" w:type="dxa"/>
            <w:vAlign w:val="center"/>
          </w:tcPr>
          <w:p>
            <w:pPr>
              <w:jc w:val="right"/>
              <w:rPr>
                <w:rFonts w:hint="eastAsia" w:eastAsia="宋体"/>
                <w:szCs w:val="21"/>
                <w:lang w:eastAsia="zh-CN"/>
              </w:rPr>
            </w:pPr>
            <w:r>
              <w:rPr>
                <w:rFonts w:hint="eastAsia"/>
                <w:szCs w:val="21"/>
                <w:lang w:eastAsia="zh-CN"/>
              </w:rPr>
              <w:t>2,888,043.30</w:t>
            </w:r>
          </w:p>
        </w:tc>
        <w:tc>
          <w:tcPr>
            <w:tcW w:w="2825" w:type="dxa"/>
            <w:vAlign w:val="center"/>
          </w:tcPr>
          <w:p>
            <w:pPr>
              <w:jc w:val="right"/>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3" w:type="dxa"/>
            <w:vAlign w:val="center"/>
          </w:tcPr>
          <w:p>
            <w:pPr>
              <w:jc w:val="center"/>
              <w:rPr>
                <w:szCs w:val="21"/>
              </w:rPr>
            </w:pPr>
            <w:r>
              <w:rPr>
                <w:rFonts w:hint="eastAsia"/>
                <w:szCs w:val="21"/>
              </w:rPr>
              <w:t>合计</w:t>
            </w:r>
          </w:p>
        </w:tc>
        <w:tc>
          <w:tcPr>
            <w:tcW w:w="2810" w:type="dxa"/>
            <w:vAlign w:val="center"/>
          </w:tcPr>
          <w:p>
            <w:pPr>
              <w:jc w:val="right"/>
              <w:rPr>
                <w:szCs w:val="21"/>
              </w:rPr>
            </w:pPr>
            <w:r>
              <w:rPr>
                <w:rFonts w:hint="eastAsia"/>
                <w:szCs w:val="21"/>
              </w:rPr>
              <w:t>2,888,043.30</w:t>
            </w:r>
          </w:p>
        </w:tc>
        <w:tc>
          <w:tcPr>
            <w:tcW w:w="2825" w:type="dxa"/>
            <w:vAlign w:val="center"/>
          </w:tcPr>
          <w:p>
            <w:pPr>
              <w:jc w:val="right"/>
              <w:rPr>
                <w:szCs w:val="21"/>
              </w:rPr>
            </w:pPr>
          </w:p>
        </w:tc>
      </w:tr>
    </w:tbl>
    <w:p>
      <w:pPr>
        <w:rPr>
          <w:szCs w:val="21"/>
        </w:rPr>
      </w:pPr>
    </w:p>
    <w:bookmarkEnd w:id="404"/>
    <w:p>
      <w:pPr>
        <w:pStyle w:val="6"/>
        <w:numPr>
          <w:ilvl w:val="0"/>
          <w:numId w:val="130"/>
        </w:numPr>
        <w:ind w:leftChars="0"/>
        <w:rPr>
          <w:rFonts w:cs="宋体" w:asciiTheme="minorHAnsi" w:hAnsiTheme="minorHAnsi"/>
          <w:kern w:val="0"/>
          <w:szCs w:val="22"/>
        </w:rPr>
      </w:pPr>
      <w:bookmarkStart w:id="405" w:name="_Hlk533797316"/>
      <w:r>
        <w:rPr>
          <w:rFonts w:hint="eastAsia" w:cs="宋体" w:asciiTheme="minorHAnsi" w:hAnsiTheme="minorHAnsi"/>
          <w:kern w:val="0"/>
          <w:szCs w:val="22"/>
        </w:rPr>
        <w:t>重要的账龄超过1年的应收股利</w:t>
      </w:r>
    </w:p>
    <w:sdt>
      <w:sdtPr>
        <w:rPr>
          <w:szCs w:val="21"/>
        </w:rPr>
        <w:alias w:val="是否适用：母公司重要的账龄超过1年的应收股利[双击切换]"/>
        <w:tag w:val="_GBC_70eb463d08894908bb104ae0b258e76e"/>
        <w:id w:val="8192"/>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Pr>
        <w:pStyle w:val="6"/>
        <w:numPr>
          <w:ilvl w:val="0"/>
          <w:numId w:val="130"/>
        </w:numPr>
        <w:ind w:leftChars="0"/>
        <w:rPr>
          <w:rFonts w:cs="宋体" w:asciiTheme="minorHAnsi" w:hAnsiTheme="minorHAnsi"/>
          <w:kern w:val="0"/>
          <w:szCs w:val="22"/>
        </w:rPr>
      </w:pPr>
      <w:bookmarkStart w:id="406" w:name="_Hlk153790907"/>
      <w:bookmarkStart w:id="407" w:name="_Hlk154150045"/>
      <w:r>
        <w:rPr>
          <w:rFonts w:hint="eastAsia" w:cs="宋体" w:asciiTheme="minorHAnsi" w:hAnsiTheme="minorHAnsi"/>
          <w:kern w:val="0"/>
          <w:szCs w:val="22"/>
        </w:rPr>
        <w:t>按</w:t>
      </w:r>
      <w:r>
        <w:rPr>
          <w:rFonts w:cs="宋体" w:asciiTheme="minorHAnsi" w:hAnsiTheme="minorHAnsi"/>
          <w:kern w:val="0"/>
          <w:szCs w:val="22"/>
        </w:rPr>
        <w:t>坏账计提方法分类披露</w:t>
      </w:r>
    </w:p>
    <w:sdt>
      <w:sdtPr>
        <w:alias w:val="是否适用：母公司按坏账计提方法分类披露[双击切换]"/>
        <w:tag w:val="_GBC_3e6131bf64764260959e58957d1a923e"/>
        <w:id w:val="8193"/>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
      <w:r>
        <w:rPr>
          <w:rFonts w:hint="eastAsia"/>
        </w:rPr>
        <w:t>按单项计提坏账准备：</w:t>
      </w:r>
    </w:p>
    <w:sdt>
      <w:sdtPr>
        <w:alias w:val="是否适用：母公司按单项计提坏账准备的详细情况[双击切换]"/>
        <w:tag w:val="_GBC_0bffd65beafa48e6aca929c5c2140787"/>
        <w:id w:val="8194"/>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r>
        <w:rPr>
          <w:rFonts w:hint="eastAsia"/>
          <w:szCs w:val="21"/>
        </w:rPr>
        <w:t>按单项计提坏账准备的说明：</w:t>
      </w:r>
    </w:p>
    <w:sdt>
      <w:sdtPr>
        <w:rPr>
          <w:szCs w:val="21"/>
        </w:rPr>
        <w:alias w:val="是否适用：母公司按单项计提坏账准备的说明[双击切换]"/>
        <w:tag w:val="_GBC_3ff3367dda784192860c78e5be49cae0"/>
        <w:id w:val="8195"/>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rPr>
          <w:rFonts w:ascii="Calibri" w:hAnsi="Calibri"/>
          <w:bCs/>
          <w:szCs w:val="22"/>
        </w:rPr>
      </w:pPr>
      <w:r>
        <w:rPr>
          <w:rFonts w:hint="eastAsia" w:ascii="Calibri" w:hAnsi="Calibri"/>
          <w:bCs/>
          <w:szCs w:val="22"/>
        </w:rPr>
        <w:t>按组合计提坏账准备：</w:t>
      </w:r>
    </w:p>
    <w:sdt>
      <w:sdtPr>
        <w:rPr>
          <w:rFonts w:ascii="Calibri" w:hAnsi="Calibri"/>
          <w:bCs/>
          <w:szCs w:val="22"/>
        </w:rPr>
        <w:alias w:val="是否适用：母公司按组合计提坏账准备的详细情况[双击切换]"/>
        <w:tag w:val="_GBC_5b769fae73d0491bae227d3968699870"/>
        <w:id w:val="8196"/>
        <w:placeholder>
          <w:docPart w:val="GBC22222222222222222222222222222"/>
        </w:placeholder>
      </w:sdtPr>
      <w:sdtEndPr>
        <w:rPr>
          <w:rFonts w:ascii="Calibri" w:hAnsi="Calibri"/>
          <w:bCs/>
          <w:szCs w:val="22"/>
        </w:rPr>
      </w:sdtEndPr>
      <w:sdtContent>
        <w:p>
          <w:pPr>
            <w:rPr>
              <w:rFonts w:ascii="Calibri" w:hAnsi="Calibri"/>
              <w:bCs/>
              <w:szCs w:val="22"/>
            </w:rPr>
          </w:pPr>
          <w:r>
            <w:rPr>
              <w:rFonts w:ascii="宋体" w:hAnsi="宋体"/>
              <w:bCs/>
              <w:szCs w:val="22"/>
            </w:rPr>
            <w:fldChar w:fldCharType="begin"/>
          </w:r>
          <w:r>
            <w:rPr>
              <w:rFonts w:ascii="宋体" w:hAnsi="宋体"/>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Pr>
              <w:rFonts w:ascii="宋体" w:hAnsi="宋体"/>
              <w:bCs/>
              <w:szCs w:val="22"/>
            </w:rPr>
            <w:instrText xml:space="preserve"> MACROBUTTON  SnrToggleCheckbox √不适用 </w:instrText>
          </w:r>
          <w:r>
            <w:rPr>
              <w:rFonts w:ascii="宋体" w:hAnsi="宋体"/>
              <w:bCs/>
              <w:szCs w:val="22"/>
            </w:rPr>
            <w:fldChar w:fldCharType="end"/>
          </w:r>
        </w:p>
      </w:sdtContent>
    </w:sdt>
    <w:bookmarkEnd w:id="405"/>
    <w:bookmarkEnd w:id="406"/>
    <w:bookmarkEnd w:id="407"/>
    <w:p>
      <w:pPr>
        <w:pStyle w:val="6"/>
        <w:numPr>
          <w:ilvl w:val="0"/>
          <w:numId w:val="130"/>
        </w:numPr>
        <w:ind w:leftChars="0"/>
        <w:rPr>
          <w:rFonts w:cs="宋体" w:asciiTheme="minorHAnsi" w:hAnsiTheme="minorHAnsi"/>
          <w:kern w:val="0"/>
          <w:szCs w:val="22"/>
        </w:rPr>
      </w:pPr>
      <w:bookmarkStart w:id="408" w:name="_Hlk533868874"/>
      <w:r>
        <w:rPr>
          <w:rFonts w:hint="eastAsia" w:cs="宋体" w:asciiTheme="minorHAnsi" w:hAnsiTheme="minorHAnsi"/>
          <w:kern w:val="0"/>
          <w:szCs w:val="22"/>
        </w:rPr>
        <w:t>按</w:t>
      </w:r>
      <w:r>
        <w:rPr>
          <w:rFonts w:hint="eastAsia"/>
          <w:szCs w:val="22"/>
        </w:rPr>
        <w:t>预期信用损失一般模型计提坏账准备</w:t>
      </w:r>
    </w:p>
    <w:sdt>
      <w:sdtPr>
        <w:alias w:val="是否适用：母公司应收股利坏账准备调节表[双击切换]"/>
        <w:tag w:val="_GBC_5cbd8c1c52fa42d19db26aadad6a74b8"/>
        <w:id w:val="8197"/>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autoSpaceDE w:val="0"/>
        <w:autoSpaceDN w:val="0"/>
        <w:adjustRightInd w:val="0"/>
        <w:ind w:right="105" w:rightChars="50"/>
        <w:rPr>
          <w:szCs w:val="21"/>
        </w:rPr>
      </w:pPr>
    </w:p>
    <w:p>
      <w:pPr>
        <w:autoSpaceDE w:val="0"/>
        <w:autoSpaceDN w:val="0"/>
        <w:adjustRightInd w:val="0"/>
        <w:ind w:right="105" w:rightChars="50"/>
        <w:rPr>
          <w:szCs w:val="21"/>
        </w:rPr>
      </w:pPr>
      <w:r>
        <w:rPr>
          <w:rFonts w:hint="eastAsia"/>
          <w:szCs w:val="21"/>
        </w:rPr>
        <w:t>各阶段划分依据和坏账准备计提比例</w:t>
      </w:r>
    </w:p>
    <w:sdt>
      <w:sdtPr>
        <w:rPr>
          <w:bCs/>
          <w:szCs w:val="22"/>
        </w:rPr>
        <w:alias w:val="应收股利各阶段划分依据和坏账准备计提比例"/>
        <w:tag w:val="_GBC_add0117a614f4e33bfb451894481c309"/>
        <w:id w:val="8198"/>
        <w:placeholder>
          <w:docPart w:val="GBC22222222222222222222222222222"/>
        </w:placeholder>
      </w:sdtPr>
      <w:sdtEndPr>
        <w:rPr>
          <w:bCs/>
          <w:szCs w:val="22"/>
        </w:rPr>
      </w:sdtEndPr>
      <w:sdtContent>
        <w:p>
          <w:pPr>
            <w:rPr>
              <w:bCs/>
              <w:szCs w:val="22"/>
            </w:rPr>
          </w:pPr>
          <w:r>
            <w:rPr>
              <w:rFonts w:hint="eastAsia"/>
              <w:bCs/>
              <w:szCs w:val="22"/>
            </w:rPr>
            <w:t>无</w:t>
          </w:r>
        </w:p>
      </w:sdtContent>
    </w:sdt>
    <w:p>
      <w:pPr>
        <w:autoSpaceDE w:val="0"/>
        <w:autoSpaceDN w:val="0"/>
        <w:adjustRightInd w:val="0"/>
        <w:ind w:right="105" w:rightChars="50"/>
        <w:rPr>
          <w:szCs w:val="21"/>
        </w:rPr>
      </w:pPr>
    </w:p>
    <w:p>
      <w:pPr>
        <w:pStyle w:val="73"/>
      </w:pPr>
      <w:r>
        <w:rPr>
          <w:rFonts w:hint="eastAsia"/>
        </w:rPr>
        <w:t>对本期发生损失准备变动的应收股利账面余额显著变动的情况说明：</w:t>
      </w:r>
    </w:p>
    <w:sdt>
      <w:sdtPr>
        <w:rPr>
          <w:rFonts w:hint="eastAsia"/>
          <w:szCs w:val="21"/>
        </w:rPr>
        <w:alias w:val="是否适用：母公司应收股利本期发生损失准备变动且账面余额显著变动的情况说明[双击切换]"/>
        <w:tag w:val="_GBC_97e9fe7a49b947f79ce9d174eeaf0f5f"/>
        <w:id w:val="8199"/>
        <w:placeholder>
          <w:docPart w:val="GBC22222222222222222222222222222"/>
        </w:placeholder>
      </w:sdtPr>
      <w:sdtEndPr>
        <w:rPr>
          <w:rFonts w:hint="eastAsia"/>
          <w:szCs w:val="21"/>
        </w:rPr>
      </w:sdtEndPr>
      <w:sdtContent>
        <w:p>
          <w:pPr>
            <w:autoSpaceDE w:val="0"/>
            <w:autoSpaceDN w:val="0"/>
            <w:adjustRightInd w:val="0"/>
            <w:ind w:right="105" w:rightChars="50"/>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bookmarkEnd w:id="408"/>
    <w:p>
      <w:pPr>
        <w:pStyle w:val="6"/>
        <w:numPr>
          <w:ilvl w:val="0"/>
          <w:numId w:val="130"/>
        </w:numPr>
        <w:ind w:leftChars="0"/>
        <w:rPr>
          <w:rFonts w:cs="宋体" w:asciiTheme="minorHAnsi" w:hAnsiTheme="minorHAnsi"/>
          <w:kern w:val="0"/>
          <w:szCs w:val="22"/>
        </w:rPr>
      </w:pPr>
      <w:bookmarkStart w:id="409" w:name="_Hlk153792018"/>
      <w:bookmarkStart w:id="410" w:name="_Hlk154150256"/>
      <w:r>
        <w:rPr>
          <w:rFonts w:hint="eastAsia" w:cs="宋体" w:asciiTheme="minorHAnsi" w:hAnsiTheme="minorHAnsi"/>
          <w:kern w:val="0"/>
          <w:szCs w:val="22"/>
        </w:rPr>
        <w:t>坏账准备的情况</w:t>
      </w:r>
    </w:p>
    <w:sdt>
      <w:sdtPr>
        <w:alias w:val="是否适用：母公司坏账准备情况[双击切换]"/>
        <w:tag w:val="_GBC_821565a30d3745e0bc44de118b7dee6f"/>
        <w:id w:val="8200"/>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pStyle w:val="73"/>
      </w:pPr>
    </w:p>
    <w:p>
      <w:r>
        <w:rPr>
          <w:rFonts w:hint="eastAsia"/>
        </w:rPr>
        <w:t>其中本期坏账准备收回或转回金额重要的：</w:t>
      </w:r>
    </w:p>
    <w:sdt>
      <w:sdtPr>
        <w:alias w:val="是否适用：母公司本期坏账准备收回或转回金额重要的[双击切换]"/>
        <w:tag w:val="_GBC_0d1ed1559d1344db8b219f59e8d21024"/>
        <w:id w:val="8201"/>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r>
        <w:rPr>
          <w:rFonts w:hint="eastAsia"/>
        </w:rPr>
        <w:t>其他说明：</w:t>
      </w:r>
    </w:p>
    <w:sdt>
      <w:sdtPr>
        <w:alias w:val="母公司坏账准备情况的说明"/>
        <w:tag w:val="_GBC_1ed1f4303f9641fba538e08ef13fe5e7"/>
        <w:id w:val="8202"/>
        <w:placeholder>
          <w:docPart w:val="GBC22222222222222222222222222222"/>
        </w:placeholder>
      </w:sdtPr>
      <w:sdtContent>
        <w:p>
          <w:pPr>
            <w:ind w:right="42" w:rightChars="20"/>
          </w:pPr>
          <w:r>
            <w:t>无</w:t>
          </w:r>
        </w:p>
      </w:sdtContent>
    </w:sdt>
    <w:p>
      <w:pPr>
        <w:ind w:right="-1594" w:rightChars="-759"/>
      </w:pPr>
    </w:p>
    <w:p>
      <w:pPr>
        <w:pStyle w:val="6"/>
        <w:numPr>
          <w:ilvl w:val="0"/>
          <w:numId w:val="130"/>
        </w:numPr>
        <w:ind w:leftChars="0"/>
        <w:rPr>
          <w:rFonts w:cs="宋体" w:asciiTheme="minorHAnsi" w:hAnsiTheme="minorHAnsi"/>
          <w:kern w:val="0"/>
          <w:szCs w:val="22"/>
        </w:rPr>
      </w:pPr>
      <w:bookmarkStart w:id="411" w:name="_Hlk155883151"/>
      <w:r>
        <w:rPr>
          <w:rFonts w:cs="宋体" w:asciiTheme="minorHAnsi" w:hAnsiTheme="minorHAnsi"/>
          <w:kern w:val="0"/>
          <w:szCs w:val="22"/>
        </w:rPr>
        <w:t>本期实际核销的应收</w:t>
      </w:r>
      <w:r>
        <w:rPr>
          <w:rFonts w:hint="eastAsia" w:cs="宋体" w:asciiTheme="minorHAnsi" w:hAnsiTheme="minorHAnsi"/>
          <w:kern w:val="0"/>
          <w:szCs w:val="22"/>
        </w:rPr>
        <w:t>股利</w:t>
      </w:r>
      <w:r>
        <w:rPr>
          <w:rFonts w:cs="宋体" w:asciiTheme="minorHAnsi" w:hAnsiTheme="minorHAnsi"/>
          <w:kern w:val="0"/>
          <w:szCs w:val="22"/>
        </w:rPr>
        <w:t>情况</w:t>
      </w:r>
    </w:p>
    <w:sdt>
      <w:sdtPr>
        <w:alias w:val="是否适用：母公司实际核销的情况[双击切换]"/>
        <w:tag w:val="_GBC_1b5ee2d7fd5a4b549b2a2bd673f1698a"/>
        <w:id w:val="8203"/>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bookmarkEnd w:id="411"/>
    <w:p>
      <w:pPr>
        <w:rPr>
          <w:szCs w:val="21"/>
        </w:rPr>
      </w:pPr>
      <w:r>
        <w:rPr>
          <w:rFonts w:hint="eastAsia"/>
          <w:szCs w:val="21"/>
        </w:rPr>
        <w:t>其中重要的应收股利核销情况</w:t>
      </w:r>
    </w:p>
    <w:sdt>
      <w:sdtPr>
        <w:rPr>
          <w:rFonts w:hint="eastAsia"/>
          <w:szCs w:val="21"/>
        </w:rPr>
        <w:alias w:val="是否适用：母公司重要的核销情况[双击切换]"/>
        <w:tag w:val="_GBC_2151c3ad65384379897352f370874db1"/>
        <w:id w:val="8204"/>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snapToGrid w:val="0"/>
        <w:spacing w:line="240" w:lineRule="atLeast"/>
        <w:rPr>
          <w:szCs w:val="21"/>
        </w:rPr>
      </w:pPr>
    </w:p>
    <w:p>
      <w:pPr>
        <w:snapToGrid w:val="0"/>
        <w:spacing w:line="240" w:lineRule="atLeast"/>
        <w:rPr>
          <w:szCs w:val="21"/>
        </w:rPr>
      </w:pPr>
      <w:r>
        <w:rPr>
          <w:rFonts w:hint="eastAsia"/>
          <w:szCs w:val="21"/>
        </w:rPr>
        <w:t>核销说明：</w:t>
      </w:r>
    </w:p>
    <w:sdt>
      <w:sdtPr>
        <w:rPr>
          <w:szCs w:val="21"/>
        </w:rPr>
        <w:alias w:val="是否适用：母公司核销说明[双击切换]"/>
        <w:tag w:val="_GBC_f8d1d851a8a641b3b3733ca0037885d1"/>
        <w:id w:val="8205"/>
        <w:placeholder>
          <w:docPart w:val="GBC22222222222222222222222222222"/>
        </w:placeholder>
      </w:sdtPr>
      <w:sdtEndPr>
        <w:rPr>
          <w:szCs w:val="21"/>
        </w:rPr>
      </w:sdtEndPr>
      <w:sdtContent>
        <w:p>
          <w:pPr>
            <w:snapToGrid w:val="0"/>
            <w:spacing w:line="240" w:lineRule="atLeast"/>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bookmarkEnd w:id="409"/>
    <w:bookmarkEnd w:id="410"/>
    <w:p>
      <w:pPr>
        <w:rPr>
          <w:szCs w:val="21"/>
        </w:rPr>
      </w:pPr>
      <w:bookmarkStart w:id="412" w:name="_Hlk533797406"/>
      <w:r>
        <w:rPr>
          <w:rFonts w:hint="eastAsia"/>
          <w:szCs w:val="21"/>
        </w:rPr>
        <w:t>其他说明：</w:t>
      </w:r>
    </w:p>
    <w:sdt>
      <w:sdtPr>
        <w:rPr>
          <w:szCs w:val="21"/>
        </w:rPr>
        <w:alias w:val="是否适用：母公司应收股利其他说明[双击切换]"/>
        <w:tag w:val="_GBC_75450c3c0332439986937f5dec59f65c"/>
        <w:id w:val="8206"/>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bookmarkEnd w:id="412"/>
    <w:p/>
    <w:sdt>
      <w:sdtPr>
        <w:tag w:val="_PLD_6d80db0ce52046a89d5d9c794d750a4c"/>
        <w:id w:val="8207"/>
      </w:sdtPr>
      <w:sdtContent>
        <w:p>
          <w:pPr>
            <w:pStyle w:val="5"/>
            <w:ind w:left="360" w:hanging="360"/>
            <w:rPr>
              <w:rFonts w:hint="eastAsia"/>
            </w:rPr>
          </w:pPr>
          <w:r>
            <w:rPr>
              <w:rFonts w:hint="eastAsia"/>
            </w:rPr>
            <w:t>其他应收款</w:t>
          </w:r>
        </w:p>
      </w:sdtContent>
    </w:sdt>
    <w:p>
      <w:pPr>
        <w:pStyle w:val="6"/>
        <w:numPr>
          <w:ilvl w:val="0"/>
          <w:numId w:val="131"/>
        </w:numPr>
        <w:ind w:leftChars="0"/>
        <w:rPr>
          <w:rFonts w:cs="宋体" w:asciiTheme="minorHAnsi" w:hAnsiTheme="minorHAnsi"/>
          <w:kern w:val="0"/>
          <w:szCs w:val="22"/>
        </w:rPr>
      </w:pPr>
      <w:bookmarkStart w:id="413" w:name="_Hlk153797719"/>
      <w:bookmarkStart w:id="414" w:name="_Hlk533797447"/>
      <w:r>
        <w:rPr>
          <w:rFonts w:hint="eastAsia" w:cs="宋体" w:asciiTheme="minorHAnsi" w:hAnsiTheme="minorHAnsi"/>
          <w:kern w:val="0"/>
          <w:szCs w:val="22"/>
        </w:rPr>
        <w:t>按账龄披露</w:t>
      </w:r>
    </w:p>
    <w:sdt>
      <w:sdtPr>
        <w:rPr>
          <w:szCs w:val="21"/>
        </w:rPr>
        <w:alias w:val="是否适用：母公司其他应收款按账龄披露[双击切换]"/>
        <w:tag w:val="_GBC_5c11b96990fa439da812b87b47ed4c80"/>
        <w:id w:val="8208"/>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jc w:val="right"/>
        <w:rPr>
          <w:szCs w:val="21"/>
        </w:rPr>
      </w:pPr>
      <w:r>
        <w:rPr>
          <w:rFonts w:hint="eastAsia"/>
          <w:szCs w:val="21"/>
        </w:rPr>
        <w:t>单位：</w:t>
      </w:r>
      <w:sdt>
        <w:sdtPr>
          <w:rPr>
            <w:rFonts w:hint="eastAsia"/>
            <w:szCs w:val="21"/>
          </w:rPr>
          <w:alias w:val="单位：母公司其他应收款按账龄披露"/>
          <w:tag w:val="_GBC_41616ef98f834aa2b100f687773d3969"/>
          <w:id w:val="820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母公司其他应收款按账龄披露"/>
          <w:tag w:val="_GBC_5e3917487f6647c3bad62a8fb87ea91e"/>
          <w:id w:val="821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3072"/>
        <w:gridCol w:w="2993"/>
        <w:gridCol w:w="2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sdt>
            <w:sdtPr>
              <w:tag w:val="_PLD_e6b4d3ce2efb49849027845f309f652a"/>
              <w:id w:val="8211"/>
            </w:sdtPr>
            <w:sdtContent>
              <w:p>
                <w:pPr>
                  <w:jc w:val="center"/>
                  <w:rPr>
                    <w:szCs w:val="21"/>
                  </w:rPr>
                </w:pPr>
                <w:r>
                  <w:rPr>
                    <w:rFonts w:hint="eastAsia"/>
                    <w:szCs w:val="21"/>
                  </w:rPr>
                  <w:t>账龄</w:t>
                </w:r>
              </w:p>
            </w:sdtContent>
          </w:sdt>
        </w:tc>
        <w:tc>
          <w:tcPr>
            <w:tcW w:w="2993" w:type="dxa"/>
            <w:tcBorders>
              <w:top w:val="single" w:color="auto" w:sz="4" w:space="0"/>
              <w:left w:val="single" w:color="auto" w:sz="4" w:space="0"/>
              <w:bottom w:val="single" w:color="auto" w:sz="4" w:space="0"/>
              <w:right w:val="single" w:color="auto" w:sz="4" w:space="0"/>
            </w:tcBorders>
            <w:vAlign w:val="center"/>
          </w:tcPr>
          <w:sdt>
            <w:sdtPr>
              <w:tag w:val="_PLD_2a2524c4aa88497fa0bf73f43366d799"/>
              <w:id w:val="8212"/>
            </w:sdtPr>
            <w:sdtContent>
              <w:p>
                <w:pPr>
                  <w:jc w:val="center"/>
                  <w:rPr>
                    <w:szCs w:val="21"/>
                  </w:rPr>
                </w:pPr>
                <w:r>
                  <w:rPr>
                    <w:rFonts w:hint="eastAsia"/>
                    <w:szCs w:val="21"/>
                  </w:rPr>
                  <w:t>期末账面余额</w:t>
                </w:r>
              </w:p>
            </w:sdtContent>
          </w:sdt>
        </w:tc>
        <w:tc>
          <w:tcPr>
            <w:tcW w:w="2993" w:type="dxa"/>
            <w:tcBorders>
              <w:top w:val="single" w:color="auto" w:sz="4" w:space="0"/>
              <w:left w:val="single" w:color="auto" w:sz="4" w:space="0"/>
              <w:bottom w:val="single" w:color="auto" w:sz="4" w:space="0"/>
              <w:right w:val="single" w:color="auto" w:sz="4" w:space="0"/>
            </w:tcBorders>
            <w:vAlign w:val="center"/>
          </w:tcPr>
          <w:sdt>
            <w:sdtPr>
              <w:tag w:val="_PLD_63769de747ae44d5b345aed18107390b"/>
              <w:id w:val="8213"/>
            </w:sdtPr>
            <w:sdtContent>
              <w:p>
                <w:pPr>
                  <w:jc w:val="center"/>
                </w:pPr>
                <w:r>
                  <w:rPr>
                    <w:rFonts w:hint="eastAsia"/>
                  </w:rPr>
                  <w:t>期初账面余额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sdt>
            <w:sdtPr>
              <w:tag w:val="_PLD_f34782891aa54323ae8a03b2559e9d4a"/>
              <w:id w:val="8214"/>
            </w:sdtPr>
            <w:sdtContent>
              <w:p>
                <w:pPr>
                  <w:rPr>
                    <w:szCs w:val="21"/>
                  </w:rPr>
                </w:pPr>
                <w:r>
                  <w:rPr>
                    <w:rFonts w:hint="eastAsia"/>
                    <w:szCs w:val="21"/>
                  </w:rPr>
                  <w:t>0.5年以内</w:t>
                </w:r>
              </w:p>
            </w:sdtContent>
          </w:sdt>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138,073,946.11</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137,260,253.59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szCs w:val="21"/>
              </w:rPr>
              <w:t>0.5年至1年</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459,350.00</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7,797.00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color w:val="auto"/>
                <w:szCs w:val="21"/>
              </w:rPr>
              <w:t>1年以内小计</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138,533,296.11</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137,268,050.59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sdt>
            <w:sdtPr>
              <w:tag w:val="_PLD_fc3c00db31d442c7a76f631f094aa647"/>
              <w:id w:val="8215"/>
            </w:sdtPr>
            <w:sdtContent>
              <w:p>
                <w:pPr>
                  <w:rPr>
                    <w:szCs w:val="21"/>
                  </w:rPr>
                </w:pPr>
                <w:r>
                  <w:rPr>
                    <w:rFonts w:hint="eastAsia"/>
                    <w:szCs w:val="21"/>
                  </w:rPr>
                  <w:t>1-2年</w:t>
                </w:r>
              </w:p>
            </w:sdtContent>
          </w:sdt>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38,825.16</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644,570.88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sdt>
            <w:sdtPr>
              <w:tag w:val="_PLD_b68a8ee770904254af6cb6c0f48d8a3c"/>
              <w:id w:val="8216"/>
            </w:sdtPr>
            <w:sdtContent>
              <w:p>
                <w:pPr>
                  <w:rPr>
                    <w:szCs w:val="21"/>
                  </w:rPr>
                </w:pPr>
                <w:r>
                  <w:rPr>
                    <w:rFonts w:hint="eastAsia"/>
                    <w:szCs w:val="21"/>
                  </w:rPr>
                  <w:t>2-3年</w:t>
                </w:r>
              </w:p>
            </w:sdtContent>
          </w:sdt>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260,104.53</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155,592.55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sdt>
            <w:sdtPr>
              <w:tag w:val="_PLD_52dbd962affc4dadb23d0a94da0f9ba3"/>
              <w:id w:val="8217"/>
            </w:sdtPr>
            <w:sdtContent>
              <w:p>
                <w:pPr>
                  <w:rPr>
                    <w:szCs w:val="21"/>
                  </w:rPr>
                </w:pPr>
                <w:r>
                  <w:rPr>
                    <w:rFonts w:hint="eastAsia"/>
                    <w:szCs w:val="21"/>
                  </w:rPr>
                  <w:t>3-5年</w:t>
                </w:r>
              </w:p>
            </w:sdtContent>
          </w:sdt>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614,333.51</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588,697.47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sdt>
            <w:sdtPr>
              <w:tag w:val="_PLD_206daf0e0ce649cbb4c0471902588aa2"/>
              <w:id w:val="8218"/>
            </w:sdtPr>
            <w:sdtContent>
              <w:p>
                <w:pPr>
                  <w:rPr>
                    <w:szCs w:val="21"/>
                  </w:rPr>
                </w:pPr>
                <w:r>
                  <w:rPr>
                    <w:rFonts w:hint="eastAsia"/>
                    <w:szCs w:val="21"/>
                  </w:rPr>
                  <w:t>5年以上</w:t>
                </w:r>
              </w:p>
            </w:sdtContent>
          </w:sdt>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9,127,773.75</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9,120,322.65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sdt>
            <w:sdtPr>
              <w:tag w:val="_PLD_b1d6021e76294af4b7e2645021fcd7b2"/>
              <w:id w:val="8220"/>
            </w:sdtPr>
            <w:sdtContent>
              <w:p>
                <w:pPr>
                  <w:rPr>
                    <w:szCs w:val="21"/>
                  </w:rPr>
                </w:pPr>
                <w:r>
                  <w:rPr>
                    <w:rFonts w:hint="eastAsia"/>
                    <w:szCs w:val="21"/>
                  </w:rPr>
                  <w:t>减：坏账准备</w:t>
                </w:r>
              </w:p>
            </w:sdtContent>
          </w:sdt>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66,849,603.06</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66,848,992.08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Pr>
        <w:tc>
          <w:tcPr>
            <w:tcW w:w="3072"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合计</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81,724,730.00</w:t>
            </w:r>
          </w:p>
        </w:tc>
        <w:tc>
          <w:tcPr>
            <w:tcW w:w="29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80,928,242.06</w:t>
            </w:r>
          </w:p>
        </w:tc>
      </w:tr>
    </w:tbl>
    <w:p/>
    <w:p/>
    <w:bookmarkEnd w:id="413"/>
    <w:p>
      <w:pPr>
        <w:pStyle w:val="6"/>
        <w:numPr>
          <w:ilvl w:val="0"/>
          <w:numId w:val="131"/>
        </w:numPr>
        <w:ind w:leftChars="0"/>
        <w:rPr>
          <w:rFonts w:cs="宋体" w:asciiTheme="minorHAnsi" w:hAnsiTheme="minorHAnsi"/>
          <w:kern w:val="0"/>
          <w:szCs w:val="22"/>
        </w:rPr>
      </w:pPr>
      <w:r>
        <w:rPr>
          <w:rFonts w:hint="eastAsia" w:cs="宋体" w:asciiTheme="minorHAnsi" w:hAnsiTheme="minorHAnsi"/>
          <w:kern w:val="0"/>
          <w:szCs w:val="22"/>
        </w:rPr>
        <w:t>按款项性质分类情况</w:t>
      </w:r>
    </w:p>
    <w:p>
      <w:sdt>
        <w:sdtPr>
          <w:alias w:val="是否适用：母公司其他应收款按款项性质分类情况[双击切换]"/>
          <w:tag w:val="_GBC_a5e5418d19394a1c8f8093184d9b360a"/>
          <w:id w:val="8221"/>
          <w:placeholder>
            <w:docPart w:val="GBC22222222222222222222222222222"/>
          </w:placeholder>
        </w:sdtPr>
        <w:sdtContent>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pPr>
        <w:jc w:val="right"/>
      </w:pPr>
      <w:r>
        <w:rPr>
          <w:rFonts w:hint="eastAsia"/>
        </w:rPr>
        <w:t>单位：</w:t>
      </w:r>
      <w:sdt>
        <w:sdtPr>
          <w:rPr>
            <w:rFonts w:hint="eastAsia"/>
          </w:rPr>
          <w:alias w:val="单位：财务附注：母公司其他应收款按款项性质分类情况"/>
          <w:tag w:val="_GBC_451485fc33dc4b2c9be5a44730242ca7"/>
          <w:id w:val="822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财务附注：母公司其他应收款按款项性质分类情况"/>
          <w:tag w:val="_GBC_f3e8ad411fc545a19718a43203281efd"/>
          <w:id w:val="822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6"/>
        <w:gridCol w:w="2980"/>
        <w:gridCol w:w="2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6" w:type="dxa"/>
            <w:vAlign w:val="center"/>
          </w:tcPr>
          <w:sdt>
            <w:sdtPr>
              <w:tag w:val="_PLD_fa2a2127303b4deebb2bcaea193eb6d9"/>
              <w:id w:val="8224"/>
            </w:sdtPr>
            <w:sdtContent>
              <w:p>
                <w:pPr>
                  <w:widowControl w:val="0"/>
                  <w:jc w:val="center"/>
                </w:pPr>
                <w:r>
                  <w:rPr>
                    <w:rFonts w:hint="eastAsia"/>
                  </w:rPr>
                  <w:t>款项性质</w:t>
                </w:r>
              </w:p>
            </w:sdtContent>
          </w:sdt>
        </w:tc>
        <w:tc>
          <w:tcPr>
            <w:tcW w:w="2980" w:type="dxa"/>
            <w:vAlign w:val="center"/>
          </w:tcPr>
          <w:sdt>
            <w:sdtPr>
              <w:tag w:val="_PLD_aa55d719329144e5a0eafd36222d0851"/>
              <w:id w:val="8225"/>
            </w:sdtPr>
            <w:sdtContent>
              <w:p>
                <w:pPr>
                  <w:widowControl w:val="0"/>
                  <w:jc w:val="center"/>
                </w:pPr>
                <w:r>
                  <w:rPr>
                    <w:rFonts w:hint="eastAsia"/>
                  </w:rPr>
                  <w:t>期末账面余额</w:t>
                </w:r>
              </w:p>
            </w:sdtContent>
          </w:sdt>
        </w:tc>
        <w:tc>
          <w:tcPr>
            <w:tcW w:w="2991" w:type="dxa"/>
            <w:vAlign w:val="center"/>
          </w:tcPr>
          <w:sdt>
            <w:sdtPr>
              <w:tag w:val="_PLD_146282129b6a4b52a6963dad9647679a"/>
              <w:id w:val="8226"/>
            </w:sdtPr>
            <w:sdtContent>
              <w:p>
                <w:pPr>
                  <w:widowControl w:val="0"/>
                  <w:jc w:val="center"/>
                </w:pPr>
                <w:r>
                  <w:rPr>
                    <w:rFonts w:hint="eastAsia"/>
                  </w:rPr>
                  <w:t>期初账面余额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6" w:type="dxa"/>
            <w:vAlign w:val="center"/>
          </w:tcPr>
          <w:p>
            <w:pPr>
              <w:widowControl w:val="0"/>
              <w:jc w:val="both"/>
              <w:rPr>
                <w:highlight w:val="yellow"/>
              </w:rPr>
            </w:pPr>
            <w:r>
              <w:rPr>
                <w:rFonts w:hint="eastAsia"/>
                <w:color w:val="auto"/>
              </w:rPr>
              <w:t>往来款</w:t>
            </w:r>
          </w:p>
        </w:tc>
        <w:tc>
          <w:tcPr>
            <w:tcW w:w="2980" w:type="dxa"/>
            <w:vAlign w:val="center"/>
          </w:tcPr>
          <w:p>
            <w:pPr>
              <w:widowControl w:val="0"/>
              <w:jc w:val="right"/>
              <w:rPr>
                <w:rFonts w:hint="eastAsia"/>
              </w:rPr>
            </w:pPr>
            <w:r>
              <w:rPr>
                <w:rFonts w:hint="eastAsia"/>
                <w:color w:val="auto"/>
              </w:rPr>
              <w:t>147,623,285.71</w:t>
            </w:r>
          </w:p>
        </w:tc>
        <w:tc>
          <w:tcPr>
            <w:tcW w:w="2991" w:type="dxa"/>
            <w:vAlign w:val="center"/>
          </w:tcPr>
          <w:p>
            <w:pPr>
              <w:widowControl w:val="0"/>
              <w:jc w:val="right"/>
              <w:rPr>
                <w:rFonts w:hint="eastAsia"/>
              </w:rPr>
            </w:pPr>
            <w:r>
              <w:rPr>
                <w:rFonts w:hint="eastAsia"/>
                <w:color w:val="auto"/>
              </w:rPr>
              <w:t>146,030,523.10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6" w:type="dxa"/>
            <w:vAlign w:val="center"/>
          </w:tcPr>
          <w:p>
            <w:pPr>
              <w:widowControl w:val="0"/>
              <w:jc w:val="both"/>
              <w:rPr>
                <w:highlight w:val="yellow"/>
              </w:rPr>
            </w:pPr>
            <w:r>
              <w:rPr>
                <w:rFonts w:hint="eastAsia"/>
                <w:color w:val="auto"/>
              </w:rPr>
              <w:t>备用金</w:t>
            </w:r>
          </w:p>
        </w:tc>
        <w:tc>
          <w:tcPr>
            <w:tcW w:w="2980" w:type="dxa"/>
            <w:vAlign w:val="center"/>
          </w:tcPr>
          <w:p>
            <w:pPr>
              <w:widowControl w:val="0"/>
              <w:jc w:val="right"/>
              <w:rPr>
                <w:rFonts w:hint="eastAsia"/>
              </w:rPr>
            </w:pPr>
            <w:r>
              <w:rPr>
                <w:rFonts w:hint="eastAsia"/>
                <w:color w:val="auto"/>
              </w:rPr>
              <w:t>94,311.11</w:t>
            </w:r>
          </w:p>
        </w:tc>
        <w:tc>
          <w:tcPr>
            <w:tcW w:w="2991" w:type="dxa"/>
            <w:vAlign w:val="center"/>
          </w:tcPr>
          <w:p>
            <w:pPr>
              <w:widowControl w:val="0"/>
              <w:jc w:val="right"/>
              <w:rPr>
                <w:rFonts w:hint="eastAsia"/>
              </w:rPr>
            </w:pPr>
            <w:r>
              <w:rPr>
                <w:rFonts w:hint="eastAsia"/>
                <w:color w:val="auto"/>
              </w:rPr>
              <w:t>437,547.08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6" w:type="dxa"/>
            <w:vAlign w:val="center"/>
          </w:tcPr>
          <w:p>
            <w:pPr>
              <w:widowControl w:val="0"/>
              <w:jc w:val="both"/>
              <w:rPr>
                <w:highlight w:val="yellow"/>
              </w:rPr>
            </w:pPr>
            <w:r>
              <w:rPr>
                <w:rFonts w:hint="eastAsia"/>
                <w:color w:val="auto"/>
              </w:rPr>
              <w:t>其他</w:t>
            </w:r>
          </w:p>
        </w:tc>
        <w:tc>
          <w:tcPr>
            <w:tcW w:w="2980" w:type="dxa"/>
            <w:vAlign w:val="center"/>
          </w:tcPr>
          <w:p>
            <w:pPr>
              <w:widowControl w:val="0"/>
              <w:jc w:val="right"/>
              <w:rPr>
                <w:rFonts w:hint="eastAsia"/>
              </w:rPr>
            </w:pPr>
            <w:r>
              <w:rPr>
                <w:rFonts w:hint="eastAsia"/>
                <w:color w:val="auto"/>
              </w:rPr>
              <w:t>856,736.24</w:t>
            </w:r>
          </w:p>
        </w:tc>
        <w:tc>
          <w:tcPr>
            <w:tcW w:w="2991" w:type="dxa"/>
            <w:vAlign w:val="center"/>
          </w:tcPr>
          <w:p>
            <w:pPr>
              <w:widowControl w:val="0"/>
              <w:jc w:val="right"/>
              <w:rPr>
                <w:rFonts w:hint="eastAsia"/>
              </w:rPr>
            </w:pPr>
            <w:r>
              <w:rPr>
                <w:rFonts w:hint="eastAsia"/>
                <w:color w:val="auto"/>
              </w:rPr>
              <w:t>1,309,163.96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6" w:type="dxa"/>
            <w:vAlign w:val="center"/>
          </w:tcPr>
          <w:p>
            <w:pPr>
              <w:widowControl w:val="0"/>
              <w:jc w:val="center"/>
            </w:pPr>
            <w:r>
              <w:t>合计</w:t>
            </w:r>
          </w:p>
        </w:tc>
        <w:tc>
          <w:tcPr>
            <w:tcW w:w="2980" w:type="dxa"/>
            <w:vAlign w:val="center"/>
          </w:tcPr>
          <w:p>
            <w:pPr>
              <w:widowControl w:val="0"/>
              <w:jc w:val="right"/>
            </w:pPr>
            <w:r>
              <w:rPr>
                <w:rFonts w:hint="eastAsia"/>
                <w:color w:val="auto"/>
              </w:rPr>
              <w:t>148,574,333.06</w:t>
            </w:r>
          </w:p>
        </w:tc>
        <w:tc>
          <w:tcPr>
            <w:tcW w:w="2991" w:type="dxa"/>
            <w:vAlign w:val="center"/>
          </w:tcPr>
          <w:p>
            <w:pPr>
              <w:widowControl w:val="0"/>
              <w:jc w:val="right"/>
            </w:pPr>
            <w:r>
              <w:rPr>
                <w:rFonts w:hint="eastAsia"/>
                <w:color w:val="auto"/>
              </w:rPr>
              <w:t>147,777,234.14</w:t>
            </w:r>
          </w:p>
        </w:tc>
      </w:tr>
    </w:tbl>
    <w:p/>
    <w:bookmarkEnd w:id="414"/>
    <w:p>
      <w:pPr>
        <w:pStyle w:val="6"/>
        <w:numPr>
          <w:ilvl w:val="0"/>
          <w:numId w:val="131"/>
        </w:numPr>
        <w:ind w:leftChars="0"/>
        <w:rPr>
          <w:rFonts w:cs="宋体" w:asciiTheme="minorHAnsi" w:hAnsiTheme="minorHAnsi"/>
          <w:kern w:val="0"/>
          <w:szCs w:val="22"/>
        </w:rPr>
      </w:pPr>
      <w:bookmarkStart w:id="415" w:name="_Hlk533870927"/>
      <w:r>
        <w:rPr>
          <w:rFonts w:hint="eastAsia" w:cs="宋体" w:asciiTheme="minorHAnsi" w:hAnsiTheme="minorHAnsi"/>
          <w:kern w:val="0"/>
          <w:szCs w:val="22"/>
        </w:rPr>
        <w:t>坏账准备计提情况</w:t>
      </w:r>
    </w:p>
    <w:sdt>
      <w:sdtPr>
        <w:alias w:val="是否适用：母公司其他应收款坏账准备调节表[双击切换]"/>
        <w:tag w:val="_GBC_34d55fda2adc4508bb77a03583cd3d2d"/>
        <w:id w:val="8227"/>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autoSpaceDE w:val="0"/>
        <w:autoSpaceDN w:val="0"/>
        <w:adjustRightInd w:val="0"/>
        <w:ind w:right="105" w:rightChars="50"/>
        <w:jc w:val="right"/>
        <w:rPr>
          <w:szCs w:val="21"/>
        </w:rPr>
      </w:pPr>
      <w:r>
        <w:rPr>
          <w:rFonts w:hint="eastAsia"/>
          <w:szCs w:val="21"/>
        </w:rPr>
        <w:t>单位：</w:t>
      </w:r>
      <w:sdt>
        <w:sdtPr>
          <w:rPr>
            <w:rFonts w:hint="eastAsia"/>
            <w:szCs w:val="21"/>
          </w:rPr>
          <w:alias w:val="单位：母公司其他应收款坏账准备调节表"/>
          <w:tag w:val="_GBC_b494dbb0c2794f39b9fb29a12fc478f8"/>
          <w:id w:val="822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母公司其他应收款坏账准备调节表"/>
          <w:tag w:val="_GBC_a5fe64b13e1448e3b1446e3cf0428cfc"/>
          <w:id w:val="822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1"/>
        <w:gridCol w:w="1560"/>
        <w:gridCol w:w="1985"/>
        <w:gridCol w:w="1985"/>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Merge w:val="restart"/>
            <w:vAlign w:val="center"/>
          </w:tcPr>
          <w:sdt>
            <w:sdtPr>
              <w:tag w:val="_PLD_21b2d66f9e3e44f9a3867e2f9fa483ea"/>
              <w:id w:val="147483508"/>
            </w:sdtPr>
            <w:sdtContent>
              <w:p>
                <w:pPr>
                  <w:pStyle w:val="89"/>
                  <w:spacing w:after="0" w:line="24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坏账准备</w:t>
                </w:r>
              </w:p>
            </w:sdtContent>
          </w:sdt>
        </w:tc>
        <w:tc>
          <w:tcPr>
            <w:tcW w:w="1560" w:type="dxa"/>
            <w:vAlign w:val="center"/>
          </w:tcPr>
          <w:sdt>
            <w:sdtPr>
              <w:tag w:val="_PLD_34b0b4bcbee6472f945ee1ca26e45970"/>
              <w:id w:val="147451631"/>
            </w:sdtPr>
            <w:sdtContent>
              <w:p>
                <w:pPr>
                  <w:pStyle w:val="89"/>
                  <w:spacing w:after="0" w:line="24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第一阶段</w:t>
                </w:r>
              </w:p>
            </w:sdtContent>
          </w:sdt>
        </w:tc>
        <w:tc>
          <w:tcPr>
            <w:tcW w:w="1985" w:type="dxa"/>
            <w:vAlign w:val="center"/>
          </w:tcPr>
          <w:sdt>
            <w:sdtPr>
              <w:tag w:val="_PLD_aa89fd65169d424f824fd7e383c25916"/>
              <w:id w:val="147460811"/>
            </w:sdtPr>
            <w:sdtContent>
              <w:p>
                <w:pPr>
                  <w:pStyle w:val="89"/>
                  <w:spacing w:after="0" w:line="24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第二阶段</w:t>
                </w:r>
              </w:p>
            </w:sdtContent>
          </w:sdt>
        </w:tc>
        <w:tc>
          <w:tcPr>
            <w:tcW w:w="1985" w:type="dxa"/>
            <w:vAlign w:val="center"/>
          </w:tcPr>
          <w:sdt>
            <w:sdtPr>
              <w:tag w:val="_PLD_12639a93161546c79f54a930c0ece668"/>
              <w:id w:val="147466207"/>
            </w:sdtPr>
            <w:sdtContent>
              <w:p>
                <w:pPr>
                  <w:pStyle w:val="89"/>
                  <w:spacing w:after="0" w:line="24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第三阶段</w:t>
                </w:r>
              </w:p>
            </w:sdtContent>
          </w:sdt>
        </w:tc>
        <w:tc>
          <w:tcPr>
            <w:tcW w:w="1706" w:type="dxa"/>
            <w:vMerge w:val="restart"/>
            <w:vAlign w:val="center"/>
          </w:tcPr>
          <w:sdt>
            <w:sdtPr>
              <w:tag w:val="_PLD_5a93d463a9c749a7a3988972a030308e"/>
              <w:id w:val="147457022"/>
            </w:sdtPr>
            <w:sdtContent>
              <w:p>
                <w:pPr>
                  <w:pStyle w:val="89"/>
                  <w:spacing w:after="0" w:line="24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合计</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Merge w:val="continue"/>
            <w:vAlign w:val="center"/>
          </w:tcPr>
          <w:p>
            <w:pPr>
              <w:jc w:val="center"/>
              <w:rPr>
                <w:color w:val="008000"/>
                <w:szCs w:val="21"/>
              </w:rPr>
            </w:pPr>
          </w:p>
        </w:tc>
        <w:tc>
          <w:tcPr>
            <w:tcW w:w="1560" w:type="dxa"/>
            <w:vAlign w:val="center"/>
          </w:tcPr>
          <w:sdt>
            <w:sdtPr>
              <w:tag w:val="_PLD_6c31319b241149a587899b0690e3641d"/>
              <w:id w:val="147457441"/>
            </w:sdtPr>
            <w:sdtContent>
              <w:p>
                <w:pPr>
                  <w:pStyle w:val="89"/>
                  <w:spacing w:after="0" w:line="24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未来12个月预期信用损失</w:t>
                </w:r>
              </w:p>
            </w:sdtContent>
          </w:sdt>
        </w:tc>
        <w:tc>
          <w:tcPr>
            <w:tcW w:w="1985" w:type="dxa"/>
            <w:vAlign w:val="center"/>
          </w:tcPr>
          <w:sdt>
            <w:sdtPr>
              <w:tag w:val="_PLD_4c23d250a4214769af939ed6c6506e15"/>
              <w:id w:val="147474057"/>
            </w:sdtPr>
            <w:sdtContent>
              <w:p>
                <w:pPr>
                  <w:pStyle w:val="89"/>
                  <w:spacing w:after="0" w:line="24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整个存续期预期信用损失(未发生信用减值)</w:t>
                </w:r>
              </w:p>
            </w:sdtContent>
          </w:sdt>
        </w:tc>
        <w:tc>
          <w:tcPr>
            <w:tcW w:w="1985" w:type="dxa"/>
            <w:vAlign w:val="center"/>
          </w:tcPr>
          <w:sdt>
            <w:sdtPr>
              <w:tag w:val="_PLD_96f4d1ff5d1541a5bcedcc9d7d297735"/>
              <w:id w:val="147479277"/>
            </w:sdtPr>
            <w:sdtContent>
              <w:p>
                <w:pPr>
                  <w:pStyle w:val="89"/>
                  <w:spacing w:after="0" w:line="24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整个存续期预期信用损失(已发生信用减值)</w:t>
                </w:r>
              </w:p>
            </w:sdtContent>
          </w:sdt>
        </w:tc>
        <w:tc>
          <w:tcPr>
            <w:tcW w:w="1706" w:type="dxa"/>
            <w:vMerge w:val="continue"/>
            <w:vAlign w:val="center"/>
          </w:tcPr>
          <w:p>
            <w:pPr>
              <w:jc w:val="center"/>
              <w:rPr>
                <w:color w:val="008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pPr>
              <w:pStyle w:val="89"/>
              <w:spacing w:after="0" w:line="240" w:lineRule="auto"/>
              <w:jc w:val="both"/>
              <w:rPr>
                <w:rFonts w:hint="eastAsia" w:ascii="宋体" w:hAnsi="宋体" w:eastAsia="宋体" w:cs="宋体"/>
                <w:sz w:val="21"/>
                <w:szCs w:val="21"/>
                <w:lang w:eastAsia="zh-CN"/>
              </w:rPr>
            </w:pPr>
            <w:r>
              <w:rPr>
                <w:rFonts w:ascii="宋体" w:hAnsi="宋体" w:eastAsia="宋体" w:cs="宋体"/>
                <w:sz w:val="21"/>
                <w:szCs w:val="21"/>
                <w:lang w:eastAsia="zh-CN"/>
              </w:rPr>
              <w:t>2025年</w:t>
            </w:r>
            <w:r>
              <w:rPr>
                <w:rFonts w:hint="eastAsia" w:ascii="宋体" w:hAnsi="宋体" w:eastAsia="宋体" w:cs="宋体"/>
                <w:sz w:val="21"/>
                <w:szCs w:val="21"/>
                <w:lang w:eastAsia="zh-CN"/>
              </w:rPr>
              <w:t>1月1日余额</w:t>
            </w:r>
          </w:p>
        </w:tc>
        <w:tc>
          <w:tcPr>
            <w:tcW w:w="1560" w:type="dxa"/>
            <w:vAlign w:val="center"/>
          </w:tcPr>
          <w:p>
            <w:pPr>
              <w:jc w:val="right"/>
              <w:rPr>
                <w:szCs w:val="21"/>
              </w:rPr>
            </w:pPr>
            <w:r>
              <w:rPr>
                <w:rFonts w:hint="eastAsia"/>
                <w:color w:val="auto"/>
              </w:rPr>
              <w:t>5,567,555.94</w:t>
            </w:r>
          </w:p>
        </w:tc>
        <w:tc>
          <w:tcPr>
            <w:tcW w:w="1985" w:type="dxa"/>
            <w:vAlign w:val="center"/>
          </w:tcPr>
          <w:p>
            <w:pPr>
              <w:jc w:val="right"/>
              <w:rPr>
                <w:szCs w:val="21"/>
              </w:rPr>
            </w:pPr>
            <w:r>
              <w:rPr>
                <w:rFonts w:hint="eastAsia"/>
                <w:color w:val="auto"/>
              </w:rPr>
              <w:t> </w:t>
            </w:r>
          </w:p>
        </w:tc>
        <w:tc>
          <w:tcPr>
            <w:tcW w:w="1985" w:type="dxa"/>
            <w:vAlign w:val="center"/>
          </w:tcPr>
          <w:p>
            <w:pPr>
              <w:jc w:val="right"/>
              <w:rPr>
                <w:szCs w:val="21"/>
              </w:rPr>
            </w:pPr>
            <w:r>
              <w:rPr>
                <w:rFonts w:hint="eastAsia"/>
                <w:color w:val="auto"/>
              </w:rPr>
              <w:t>61,281,436.14</w:t>
            </w:r>
          </w:p>
        </w:tc>
        <w:tc>
          <w:tcPr>
            <w:tcW w:w="1706" w:type="dxa"/>
            <w:vAlign w:val="center"/>
          </w:tcPr>
          <w:p>
            <w:pPr>
              <w:jc w:val="right"/>
              <w:rPr>
                <w:szCs w:val="21"/>
              </w:rPr>
            </w:pPr>
            <w:r>
              <w:rPr>
                <w:rFonts w:hint="eastAsia"/>
                <w:color w:val="auto"/>
              </w:rPr>
              <w:t>66,848,992.08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pPr>
              <w:pStyle w:val="89"/>
              <w:spacing w:after="0" w:line="24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2025年1月1日余额在本期</w:t>
            </w:r>
          </w:p>
        </w:tc>
        <w:tc>
          <w:tcPr>
            <w:tcW w:w="1560" w:type="dxa"/>
            <w:vAlign w:val="center"/>
          </w:tcPr>
          <w:p>
            <w:pPr>
              <w:jc w:val="right"/>
              <w:rPr>
                <w:szCs w:val="21"/>
              </w:rPr>
            </w:pPr>
            <w:r>
              <w:rPr>
                <w:rFonts w:hint="eastAsia"/>
                <w:color w:val="auto"/>
              </w:rPr>
              <w:t>5,567,555.94</w:t>
            </w:r>
          </w:p>
        </w:tc>
        <w:tc>
          <w:tcPr>
            <w:tcW w:w="1985" w:type="dxa"/>
            <w:vAlign w:val="center"/>
          </w:tcPr>
          <w:p>
            <w:pPr>
              <w:jc w:val="right"/>
              <w:rPr>
                <w:szCs w:val="21"/>
              </w:rPr>
            </w:pPr>
          </w:p>
        </w:tc>
        <w:tc>
          <w:tcPr>
            <w:tcW w:w="1985" w:type="dxa"/>
            <w:vAlign w:val="center"/>
          </w:tcPr>
          <w:p>
            <w:pPr>
              <w:jc w:val="right"/>
              <w:rPr>
                <w:szCs w:val="21"/>
              </w:rPr>
            </w:pPr>
            <w:r>
              <w:rPr>
                <w:rFonts w:hint="eastAsia"/>
                <w:color w:val="auto"/>
              </w:rPr>
              <w:t>61,281,436.14</w:t>
            </w:r>
          </w:p>
        </w:tc>
        <w:tc>
          <w:tcPr>
            <w:tcW w:w="1706" w:type="dxa"/>
            <w:vAlign w:val="center"/>
          </w:tcPr>
          <w:p>
            <w:pPr>
              <w:jc w:val="right"/>
              <w:rPr>
                <w:szCs w:val="21"/>
              </w:rPr>
            </w:pPr>
            <w:r>
              <w:rPr>
                <w:rFonts w:hint="eastAsia"/>
                <w:color w:val="auto"/>
              </w:rPr>
              <w:t>66,848,992.08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pPr>
              <w:pStyle w:val="89"/>
              <w:spacing w:after="0" w:line="24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--转入第二阶段</w:t>
            </w:r>
          </w:p>
        </w:tc>
        <w:tc>
          <w:tcPr>
            <w:tcW w:w="1560" w:type="dxa"/>
            <w:vAlign w:val="center"/>
          </w:tcPr>
          <w:p>
            <w:pPr>
              <w:jc w:val="right"/>
              <w:rPr>
                <w:szCs w:val="21"/>
              </w:rPr>
            </w:pPr>
            <w:r>
              <w:rPr>
                <w:rFonts w:hint="eastAsia"/>
                <w:color w:val="auto"/>
              </w:rPr>
              <w:t>　</w:t>
            </w:r>
          </w:p>
        </w:tc>
        <w:tc>
          <w:tcPr>
            <w:tcW w:w="1985" w:type="dxa"/>
            <w:vAlign w:val="center"/>
          </w:tcPr>
          <w:p>
            <w:pPr>
              <w:jc w:val="right"/>
              <w:rPr>
                <w:szCs w:val="21"/>
              </w:rPr>
            </w:pPr>
            <w:r>
              <w:rPr>
                <w:rFonts w:hint="eastAsia"/>
                <w:color w:val="auto"/>
              </w:rPr>
              <w:t>　</w:t>
            </w:r>
          </w:p>
        </w:tc>
        <w:tc>
          <w:tcPr>
            <w:tcW w:w="1985" w:type="dxa"/>
            <w:vAlign w:val="center"/>
          </w:tcPr>
          <w:p>
            <w:pPr>
              <w:jc w:val="right"/>
              <w:rPr>
                <w:szCs w:val="21"/>
              </w:rPr>
            </w:pPr>
            <w:r>
              <w:rPr>
                <w:rFonts w:hint="eastAsia"/>
                <w:color w:val="auto"/>
              </w:rPr>
              <w:t>　</w:t>
            </w:r>
          </w:p>
        </w:tc>
        <w:tc>
          <w:tcPr>
            <w:tcW w:w="1706" w:type="dxa"/>
            <w:vAlign w:val="center"/>
          </w:tcPr>
          <w:p>
            <w:pPr>
              <w:jc w:val="right"/>
              <w:rPr>
                <w:szCs w:val="21"/>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pPr>
              <w:pStyle w:val="89"/>
              <w:spacing w:after="0" w:line="24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--转入第三阶段</w:t>
            </w:r>
          </w:p>
        </w:tc>
        <w:tc>
          <w:tcPr>
            <w:tcW w:w="1560" w:type="dxa"/>
            <w:vAlign w:val="center"/>
          </w:tcPr>
          <w:p>
            <w:pPr>
              <w:jc w:val="right"/>
              <w:rPr>
                <w:szCs w:val="21"/>
              </w:rPr>
            </w:pPr>
            <w:r>
              <w:rPr>
                <w:rFonts w:hint="eastAsia"/>
                <w:color w:val="auto"/>
              </w:rPr>
              <w:t>　</w:t>
            </w:r>
          </w:p>
        </w:tc>
        <w:tc>
          <w:tcPr>
            <w:tcW w:w="1985" w:type="dxa"/>
            <w:vAlign w:val="center"/>
          </w:tcPr>
          <w:p>
            <w:pPr>
              <w:jc w:val="right"/>
              <w:rPr>
                <w:szCs w:val="21"/>
              </w:rPr>
            </w:pPr>
            <w:r>
              <w:rPr>
                <w:rFonts w:hint="eastAsia"/>
                <w:color w:val="auto"/>
              </w:rPr>
              <w:t>　</w:t>
            </w:r>
          </w:p>
        </w:tc>
        <w:tc>
          <w:tcPr>
            <w:tcW w:w="1985" w:type="dxa"/>
            <w:vAlign w:val="center"/>
          </w:tcPr>
          <w:p>
            <w:pPr>
              <w:jc w:val="right"/>
              <w:rPr>
                <w:szCs w:val="21"/>
              </w:rPr>
            </w:pPr>
            <w:r>
              <w:rPr>
                <w:rFonts w:hint="eastAsia"/>
                <w:color w:val="auto"/>
              </w:rPr>
              <w:t>　</w:t>
            </w:r>
          </w:p>
        </w:tc>
        <w:tc>
          <w:tcPr>
            <w:tcW w:w="1706" w:type="dxa"/>
            <w:vAlign w:val="center"/>
          </w:tcPr>
          <w:p>
            <w:pPr>
              <w:jc w:val="right"/>
              <w:rPr>
                <w:szCs w:val="21"/>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pPr>
              <w:pStyle w:val="89"/>
              <w:spacing w:after="0" w:line="24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--转回第二阶段</w:t>
            </w:r>
          </w:p>
        </w:tc>
        <w:tc>
          <w:tcPr>
            <w:tcW w:w="1560" w:type="dxa"/>
            <w:vAlign w:val="center"/>
          </w:tcPr>
          <w:p>
            <w:pPr>
              <w:jc w:val="right"/>
              <w:rPr>
                <w:szCs w:val="21"/>
              </w:rPr>
            </w:pPr>
            <w:r>
              <w:rPr>
                <w:rFonts w:hint="eastAsia"/>
                <w:color w:val="auto"/>
              </w:rPr>
              <w:t>　</w:t>
            </w:r>
          </w:p>
        </w:tc>
        <w:tc>
          <w:tcPr>
            <w:tcW w:w="1985" w:type="dxa"/>
            <w:vAlign w:val="center"/>
          </w:tcPr>
          <w:p>
            <w:pPr>
              <w:jc w:val="right"/>
              <w:rPr>
                <w:szCs w:val="21"/>
              </w:rPr>
            </w:pPr>
            <w:r>
              <w:rPr>
                <w:rFonts w:hint="eastAsia"/>
                <w:color w:val="auto"/>
              </w:rPr>
              <w:t>　</w:t>
            </w:r>
          </w:p>
        </w:tc>
        <w:tc>
          <w:tcPr>
            <w:tcW w:w="1985" w:type="dxa"/>
            <w:vAlign w:val="center"/>
          </w:tcPr>
          <w:p>
            <w:pPr>
              <w:jc w:val="right"/>
              <w:rPr>
                <w:szCs w:val="21"/>
              </w:rPr>
            </w:pPr>
            <w:r>
              <w:rPr>
                <w:rFonts w:hint="eastAsia"/>
                <w:color w:val="auto"/>
              </w:rPr>
              <w:t>　</w:t>
            </w:r>
          </w:p>
        </w:tc>
        <w:tc>
          <w:tcPr>
            <w:tcW w:w="1706" w:type="dxa"/>
            <w:vAlign w:val="center"/>
          </w:tcPr>
          <w:p>
            <w:pPr>
              <w:jc w:val="right"/>
              <w:rPr>
                <w:szCs w:val="21"/>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pPr>
              <w:pStyle w:val="89"/>
              <w:spacing w:after="0" w:line="24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--转回第一阶段</w:t>
            </w:r>
          </w:p>
        </w:tc>
        <w:tc>
          <w:tcPr>
            <w:tcW w:w="1560" w:type="dxa"/>
            <w:vAlign w:val="center"/>
          </w:tcPr>
          <w:p>
            <w:pPr>
              <w:jc w:val="right"/>
              <w:rPr>
                <w:szCs w:val="21"/>
              </w:rPr>
            </w:pPr>
            <w:r>
              <w:rPr>
                <w:rFonts w:hint="eastAsia"/>
                <w:color w:val="auto"/>
              </w:rPr>
              <w:t>　</w:t>
            </w:r>
          </w:p>
        </w:tc>
        <w:tc>
          <w:tcPr>
            <w:tcW w:w="1985" w:type="dxa"/>
            <w:vAlign w:val="center"/>
          </w:tcPr>
          <w:p>
            <w:pPr>
              <w:jc w:val="right"/>
              <w:rPr>
                <w:szCs w:val="21"/>
              </w:rPr>
            </w:pPr>
            <w:r>
              <w:rPr>
                <w:rFonts w:hint="eastAsia"/>
                <w:color w:val="auto"/>
              </w:rPr>
              <w:t>　</w:t>
            </w:r>
          </w:p>
        </w:tc>
        <w:tc>
          <w:tcPr>
            <w:tcW w:w="1985" w:type="dxa"/>
            <w:vAlign w:val="center"/>
          </w:tcPr>
          <w:p>
            <w:pPr>
              <w:jc w:val="right"/>
              <w:rPr>
                <w:szCs w:val="21"/>
              </w:rPr>
            </w:pPr>
            <w:r>
              <w:rPr>
                <w:rFonts w:hint="eastAsia"/>
                <w:color w:val="auto"/>
              </w:rPr>
              <w:t>　</w:t>
            </w:r>
          </w:p>
        </w:tc>
        <w:tc>
          <w:tcPr>
            <w:tcW w:w="1706" w:type="dxa"/>
            <w:vAlign w:val="center"/>
          </w:tcPr>
          <w:p>
            <w:pPr>
              <w:jc w:val="right"/>
              <w:rPr>
                <w:szCs w:val="21"/>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pPr>
              <w:pStyle w:val="89"/>
              <w:spacing w:after="0" w:line="24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本期计提</w:t>
            </w:r>
          </w:p>
        </w:tc>
        <w:tc>
          <w:tcPr>
            <w:tcW w:w="1560" w:type="dxa"/>
            <w:vAlign w:val="center"/>
          </w:tcPr>
          <w:p>
            <w:pPr>
              <w:jc w:val="right"/>
              <w:rPr>
                <w:szCs w:val="21"/>
              </w:rPr>
            </w:pPr>
            <w:r>
              <w:t>610.98</w:t>
            </w:r>
          </w:p>
        </w:tc>
        <w:tc>
          <w:tcPr>
            <w:tcW w:w="1985" w:type="dxa"/>
            <w:vAlign w:val="center"/>
          </w:tcPr>
          <w:p>
            <w:pPr>
              <w:jc w:val="right"/>
              <w:rPr>
                <w:szCs w:val="21"/>
              </w:rPr>
            </w:pPr>
          </w:p>
        </w:tc>
        <w:tc>
          <w:tcPr>
            <w:tcW w:w="1985" w:type="dxa"/>
            <w:vAlign w:val="center"/>
          </w:tcPr>
          <w:p>
            <w:pPr>
              <w:jc w:val="right"/>
              <w:rPr>
                <w:szCs w:val="21"/>
              </w:rPr>
            </w:pPr>
          </w:p>
        </w:tc>
        <w:tc>
          <w:tcPr>
            <w:tcW w:w="1706" w:type="dxa"/>
            <w:vAlign w:val="center"/>
          </w:tcPr>
          <w:p>
            <w:pPr>
              <w:jc w:val="right"/>
              <w:rPr>
                <w:szCs w:val="21"/>
              </w:rPr>
            </w:pPr>
            <w:r>
              <w:t>610.98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pPr>
              <w:pStyle w:val="89"/>
              <w:spacing w:after="0" w:line="240" w:lineRule="auto"/>
              <w:rPr>
                <w:rFonts w:hint="eastAsia" w:ascii="宋体" w:hAnsi="宋体" w:eastAsia="宋体" w:cs="宋体"/>
                <w:sz w:val="21"/>
                <w:szCs w:val="21"/>
                <w:lang w:eastAsia="zh-CN"/>
              </w:rPr>
            </w:pPr>
            <w:r>
              <w:rPr>
                <w:rFonts w:ascii="宋体" w:hAnsi="宋体" w:eastAsia="宋体" w:cs="宋体"/>
                <w:sz w:val="21"/>
                <w:szCs w:val="21"/>
                <w:lang w:eastAsia="zh-CN"/>
              </w:rPr>
              <w:t>2025年12月31日</w:t>
            </w:r>
            <w:r>
              <w:rPr>
                <w:rFonts w:hint="eastAsia" w:ascii="宋体" w:hAnsi="宋体" w:eastAsia="宋体" w:cs="宋体"/>
                <w:sz w:val="21"/>
                <w:szCs w:val="21"/>
                <w:lang w:eastAsia="zh-CN"/>
              </w:rPr>
              <w:t>余额</w:t>
            </w:r>
          </w:p>
        </w:tc>
        <w:tc>
          <w:tcPr>
            <w:tcW w:w="1560" w:type="dxa"/>
            <w:vAlign w:val="center"/>
          </w:tcPr>
          <w:p>
            <w:pPr>
              <w:jc w:val="right"/>
              <w:rPr>
                <w:szCs w:val="21"/>
              </w:rPr>
            </w:pPr>
            <w:r>
              <w:rPr>
                <w:rFonts w:hint="eastAsia"/>
                <w:color w:val="auto"/>
              </w:rPr>
              <w:t>5,568,166.92</w:t>
            </w:r>
          </w:p>
        </w:tc>
        <w:tc>
          <w:tcPr>
            <w:tcW w:w="1985" w:type="dxa"/>
            <w:vAlign w:val="center"/>
          </w:tcPr>
          <w:p>
            <w:pPr>
              <w:jc w:val="right"/>
              <w:rPr>
                <w:szCs w:val="21"/>
              </w:rPr>
            </w:pPr>
          </w:p>
        </w:tc>
        <w:tc>
          <w:tcPr>
            <w:tcW w:w="1985" w:type="dxa"/>
            <w:vAlign w:val="center"/>
          </w:tcPr>
          <w:p>
            <w:pPr>
              <w:jc w:val="right"/>
              <w:rPr>
                <w:szCs w:val="21"/>
              </w:rPr>
            </w:pPr>
            <w:r>
              <w:rPr>
                <w:rFonts w:hint="eastAsia"/>
                <w:color w:val="auto"/>
              </w:rPr>
              <w:t>61,281,436.14</w:t>
            </w:r>
          </w:p>
        </w:tc>
        <w:tc>
          <w:tcPr>
            <w:tcW w:w="1706" w:type="dxa"/>
            <w:vAlign w:val="center"/>
          </w:tcPr>
          <w:p>
            <w:pPr>
              <w:jc w:val="right"/>
              <w:rPr>
                <w:szCs w:val="21"/>
              </w:rPr>
            </w:pPr>
            <w:r>
              <w:rPr>
                <w:rFonts w:hint="eastAsia"/>
                <w:color w:val="auto"/>
              </w:rPr>
              <w:t>66,849,603.06</w:t>
            </w:r>
          </w:p>
        </w:tc>
      </w:tr>
    </w:tbl>
    <w:p/>
    <w:p>
      <w:pPr>
        <w:autoSpaceDE w:val="0"/>
        <w:autoSpaceDN w:val="0"/>
        <w:adjustRightInd w:val="0"/>
        <w:ind w:right="105" w:rightChars="50"/>
        <w:rPr>
          <w:szCs w:val="21"/>
        </w:rPr>
      </w:pPr>
      <w:r>
        <w:rPr>
          <w:rFonts w:hint="eastAsia"/>
          <w:szCs w:val="21"/>
        </w:rPr>
        <w:t>各阶段划分依据和坏账准备计提比例</w:t>
      </w:r>
    </w:p>
    <w:sdt>
      <w:sdtPr>
        <w:rPr>
          <w:bCs/>
          <w:szCs w:val="22"/>
        </w:rPr>
        <w:alias w:val="其他应收款各阶段划分依据和坏账准备计提比例"/>
        <w:tag w:val="_GBC_3c3eb8d29e064b68909ad636fcd177ff"/>
        <w:id w:val="8238"/>
        <w:placeholder>
          <w:docPart w:val="GBC22222222222222222222222222222"/>
        </w:placeholder>
      </w:sdtPr>
      <w:sdtEndPr>
        <w:rPr>
          <w:bCs/>
          <w:szCs w:val="22"/>
        </w:rPr>
      </w:sdtEndPr>
      <w:sdtContent>
        <w:p>
          <w:pPr>
            <w:rPr>
              <w:bCs/>
              <w:szCs w:val="22"/>
            </w:rPr>
          </w:pPr>
          <w:r>
            <w:rPr>
              <w:rFonts w:hint="eastAsia"/>
              <w:bCs/>
              <w:szCs w:val="22"/>
            </w:rPr>
            <w:t>无</w:t>
          </w:r>
        </w:p>
      </w:sdtContent>
    </w:sdt>
    <w:p>
      <w:pPr>
        <w:rPr>
          <w:bCs/>
          <w:szCs w:val="22"/>
        </w:rPr>
      </w:pPr>
    </w:p>
    <w:p>
      <w:pPr>
        <w:pStyle w:val="73"/>
      </w:pPr>
      <w:r>
        <w:rPr>
          <w:rFonts w:hint="eastAsia"/>
        </w:rPr>
        <w:t>对本期发生损失准备变动的其他应收款账面余额显著变动的情况说明：</w:t>
      </w:r>
    </w:p>
    <w:sdt>
      <w:sdtPr>
        <w:alias w:val="是否适用：母公司其他应收款本期发生损失准备变动且账面余额显著变动的情况说明[双击切换]"/>
        <w:tag w:val="_GBC_ef54a1b6105d438ab26e495100db4163"/>
        <w:id w:val="8239"/>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bookmarkEnd w:id="415"/>
    <w:p>
      <w:bookmarkStart w:id="416" w:name="_Hlk534806894"/>
      <w:r>
        <w:rPr>
          <w:rFonts w:hint="eastAsia"/>
        </w:rPr>
        <w:t>本期坏账准备计提金额以及评估金融工具的信用风险是否显著增加的采用依据：</w:t>
      </w:r>
    </w:p>
    <w:sdt>
      <w:sdtPr>
        <w:alias w:val="是否适用：母公司其他应收款坏账准备计提金额以及评估金融工具的信用风险是否显著增加的采用依据[双击切换]"/>
        <w:tag w:val="_GBC_4dddf1fe216a4414afb56ff70de3d722"/>
        <w:id w:val="8240"/>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bookmarkEnd w:id="416"/>
    <w:p>
      <w:pPr>
        <w:pStyle w:val="6"/>
        <w:numPr>
          <w:ilvl w:val="0"/>
          <w:numId w:val="131"/>
        </w:numPr>
        <w:ind w:leftChars="0"/>
        <w:rPr>
          <w:rFonts w:cs="宋体" w:asciiTheme="minorHAnsi" w:hAnsiTheme="minorHAnsi"/>
          <w:kern w:val="0"/>
          <w:szCs w:val="22"/>
        </w:rPr>
      </w:pPr>
      <w:bookmarkStart w:id="417" w:name="_Hlk153797908"/>
      <w:r>
        <w:rPr>
          <w:rFonts w:hint="eastAsia" w:cs="宋体" w:asciiTheme="minorHAnsi" w:hAnsiTheme="minorHAnsi"/>
          <w:kern w:val="0"/>
          <w:szCs w:val="22"/>
        </w:rPr>
        <w:t>坏账准备的情况</w:t>
      </w:r>
    </w:p>
    <w:sdt>
      <w:sdtPr>
        <w:alias w:val="是否适用：母公司其他应收款坏账准备情况[双击切换]"/>
        <w:tag w:val="_GBC_fe964b2b8e824335995eaad4df852022"/>
        <w:id w:val="8241"/>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pStyle w:val="56"/>
        <w:snapToGrid w:val="0"/>
        <w:spacing w:line="240" w:lineRule="atLeast"/>
        <w:ind w:left="425" w:firstLine="0" w:firstLineChars="0"/>
        <w:jc w:val="right"/>
        <w:rPr>
          <w:szCs w:val="21"/>
        </w:rPr>
      </w:pPr>
      <w:r>
        <w:rPr>
          <w:rFonts w:hint="eastAsia"/>
          <w:szCs w:val="21"/>
        </w:rPr>
        <w:t>单位：</w:t>
      </w:r>
      <w:sdt>
        <w:sdtPr>
          <w:rPr>
            <w:rFonts w:hint="eastAsia"/>
            <w:szCs w:val="21"/>
          </w:rPr>
          <w:alias w:val="单位：母公司其他应收款坏账准备情况"/>
          <w:tag w:val="_GBC_80ca06374aba4f0bbde29d70a0ac7a15"/>
          <w:id w:val="824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母公司其他应收款坏账准备情况"/>
          <w:tag w:val="_GBC_e2ca206ffc72482a9cbe8c86c5688b1f"/>
          <w:id w:val="824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1440"/>
        <w:gridCol w:w="1577"/>
        <w:gridCol w:w="1538"/>
        <w:gridCol w:w="1037"/>
        <w:gridCol w:w="890"/>
        <w:gridCol w:w="855"/>
        <w:gridCol w:w="1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440" w:type="dxa"/>
            <w:vMerge w:val="restart"/>
            <w:shd w:val="clear" w:color="auto" w:fill="FFFFFF"/>
            <w:vAlign w:val="center"/>
          </w:tcPr>
          <w:sdt>
            <w:sdtPr>
              <w:tag w:val="_PLD_599b4552113b431d9950cc345fc3c771"/>
              <w:id w:val="147453397"/>
            </w:sdtPr>
            <w:sdtContent>
              <w:p>
                <w:pPr>
                  <w:widowControl w:val="0"/>
                  <w:jc w:val="center"/>
                </w:pPr>
                <w:r>
                  <w:t>类别</w:t>
                </w:r>
              </w:p>
            </w:sdtContent>
          </w:sdt>
        </w:tc>
        <w:tc>
          <w:tcPr>
            <w:tcW w:w="1577" w:type="dxa"/>
            <w:vMerge w:val="restart"/>
            <w:shd w:val="clear" w:color="auto" w:fill="FFFFFF"/>
            <w:vAlign w:val="center"/>
          </w:tcPr>
          <w:sdt>
            <w:sdtPr>
              <w:tag w:val="_PLD_b04fb91e27324be18dbb1170501ea7c2"/>
              <w:id w:val="147453597"/>
            </w:sdtPr>
            <w:sdtContent>
              <w:p>
                <w:pPr>
                  <w:widowControl w:val="0"/>
                  <w:jc w:val="center"/>
                </w:pPr>
                <w:r>
                  <w:t>期初余额</w:t>
                </w:r>
              </w:p>
            </w:sdtContent>
          </w:sdt>
        </w:tc>
        <w:tc>
          <w:tcPr>
            <w:tcW w:w="4320" w:type="dxa"/>
            <w:gridSpan w:val="4"/>
            <w:shd w:val="clear" w:color="auto" w:fill="FFFFFF"/>
            <w:vAlign w:val="center"/>
          </w:tcPr>
          <w:sdt>
            <w:sdtPr>
              <w:tag w:val="_PLD_3162774660ba4bd791229ed0557bee42"/>
              <w:id w:val="147462226"/>
            </w:sdtPr>
            <w:sdtContent>
              <w:p>
                <w:pPr>
                  <w:widowControl w:val="0"/>
                  <w:jc w:val="center"/>
                </w:pPr>
                <w:r>
                  <w:rPr>
                    <w:rFonts w:hint="eastAsia"/>
                  </w:rPr>
                  <w:t>本期变动</w:t>
                </w:r>
                <w:r>
                  <w:t>金额</w:t>
                </w:r>
              </w:p>
            </w:sdtContent>
          </w:sdt>
        </w:tc>
        <w:tc>
          <w:tcPr>
            <w:tcW w:w="1719" w:type="dxa"/>
            <w:vMerge w:val="restart"/>
            <w:shd w:val="clear" w:color="auto" w:fill="FFFFFF"/>
            <w:vAlign w:val="center"/>
          </w:tcPr>
          <w:sdt>
            <w:sdtPr>
              <w:tag w:val="_PLD_d14d39f809c34e24be6fc317d43acf45"/>
              <w:id w:val="147459740"/>
            </w:sdtPr>
            <w:sdtContent>
              <w:p>
                <w:pPr>
                  <w:widowControl w:val="0"/>
                  <w:jc w:val="center"/>
                </w:pPr>
                <w:r>
                  <w:t>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440" w:type="dxa"/>
            <w:vMerge w:val="continue"/>
            <w:shd w:val="clear" w:color="auto" w:fill="FFFFFF"/>
            <w:vAlign w:val="center"/>
          </w:tcPr>
          <w:p>
            <w:pPr>
              <w:widowControl w:val="0"/>
              <w:jc w:val="center"/>
            </w:pPr>
          </w:p>
        </w:tc>
        <w:tc>
          <w:tcPr>
            <w:tcW w:w="1577" w:type="dxa"/>
            <w:vMerge w:val="continue"/>
            <w:shd w:val="clear" w:color="auto" w:fill="FFFFFF"/>
            <w:vAlign w:val="center"/>
          </w:tcPr>
          <w:p>
            <w:pPr>
              <w:widowControl w:val="0"/>
              <w:jc w:val="center"/>
            </w:pPr>
          </w:p>
        </w:tc>
        <w:tc>
          <w:tcPr>
            <w:tcW w:w="1538" w:type="dxa"/>
            <w:shd w:val="clear" w:color="auto" w:fill="FFFFFF"/>
            <w:vAlign w:val="center"/>
          </w:tcPr>
          <w:sdt>
            <w:sdtPr>
              <w:tag w:val="_PLD_f408f7d036804cc28ba43a0439189aa1"/>
              <w:id w:val="147456721"/>
            </w:sdtPr>
            <w:sdtContent>
              <w:p>
                <w:pPr>
                  <w:widowControl w:val="0"/>
                  <w:jc w:val="center"/>
                </w:pPr>
                <w:r>
                  <w:t>计提</w:t>
                </w:r>
              </w:p>
            </w:sdtContent>
          </w:sdt>
        </w:tc>
        <w:tc>
          <w:tcPr>
            <w:tcW w:w="1037" w:type="dxa"/>
            <w:shd w:val="clear" w:color="auto" w:fill="FFFFFF"/>
            <w:vAlign w:val="center"/>
          </w:tcPr>
          <w:sdt>
            <w:sdtPr>
              <w:tag w:val="_PLD_694fce967684431e964389b1fbfd7773"/>
              <w:id w:val="147465483"/>
            </w:sdtPr>
            <w:sdtContent>
              <w:p>
                <w:pPr>
                  <w:widowControl w:val="0"/>
                  <w:jc w:val="center"/>
                </w:pPr>
                <w:r>
                  <w:rPr>
                    <w:rFonts w:hint="eastAsia"/>
                  </w:rPr>
                  <w:t>收回或转回</w:t>
                </w:r>
              </w:p>
            </w:sdtContent>
          </w:sdt>
        </w:tc>
        <w:tc>
          <w:tcPr>
            <w:tcW w:w="890" w:type="dxa"/>
            <w:shd w:val="clear" w:color="auto" w:fill="FFFFFF"/>
            <w:vAlign w:val="center"/>
          </w:tcPr>
          <w:sdt>
            <w:sdtPr>
              <w:tag w:val="_PLD_59153f559aba461288ad06bff0782b2d"/>
              <w:id w:val="147453340"/>
            </w:sdtPr>
            <w:sdtContent>
              <w:p>
                <w:pPr>
                  <w:widowControl w:val="0"/>
                  <w:jc w:val="center"/>
                </w:pPr>
                <w:r>
                  <w:rPr>
                    <w:rFonts w:hint="eastAsia"/>
                  </w:rPr>
                  <w:t>转销或核销</w:t>
                </w:r>
              </w:p>
            </w:sdtContent>
          </w:sdt>
        </w:tc>
        <w:tc>
          <w:tcPr>
            <w:tcW w:w="855" w:type="dxa"/>
            <w:shd w:val="clear" w:color="auto" w:fill="FFFFFF"/>
            <w:vAlign w:val="center"/>
          </w:tcPr>
          <w:sdt>
            <w:sdtPr>
              <w:tag w:val="_PLD_51a0476d1e2f444f8723da1988f813f5"/>
              <w:id w:val="147456698"/>
            </w:sdtPr>
            <w:sdtContent>
              <w:p>
                <w:pPr>
                  <w:widowControl w:val="0"/>
                  <w:jc w:val="center"/>
                </w:pPr>
                <w:r>
                  <w:rPr>
                    <w:rFonts w:hint="eastAsia"/>
                  </w:rPr>
                  <w:t>其他变动</w:t>
                </w:r>
              </w:p>
            </w:sdtContent>
          </w:sdt>
        </w:tc>
        <w:tc>
          <w:tcPr>
            <w:tcW w:w="1719" w:type="dxa"/>
            <w:vMerge w:val="continue"/>
            <w:shd w:val="clear" w:color="auto" w:fill="FFFFFF"/>
            <w:vAlign w:val="center"/>
          </w:tcPr>
          <w:p>
            <w:pPr>
              <w:widowControl w:val="0"/>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440" w:type="dxa"/>
            <w:vAlign w:val="center"/>
          </w:tcPr>
          <w:p>
            <w:pPr>
              <w:widowControl w:val="0"/>
              <w:ind w:right="-44" w:rightChars="-21"/>
            </w:pPr>
            <w:r>
              <w:rPr>
                <w:rFonts w:hint="eastAsia"/>
                <w:color w:val="auto"/>
              </w:rPr>
              <w:t>单项计提预期信用损失的其他应收款</w:t>
            </w:r>
          </w:p>
        </w:tc>
        <w:tc>
          <w:tcPr>
            <w:tcW w:w="1577" w:type="dxa"/>
            <w:vAlign w:val="center"/>
          </w:tcPr>
          <w:p>
            <w:pPr>
              <w:widowControl w:val="0"/>
              <w:jc w:val="right"/>
            </w:pPr>
            <w:r>
              <w:rPr>
                <w:rFonts w:hint="eastAsia"/>
                <w:color w:val="auto"/>
              </w:rPr>
              <w:t>61,281,436.14</w:t>
            </w:r>
          </w:p>
        </w:tc>
        <w:tc>
          <w:tcPr>
            <w:tcW w:w="1538" w:type="dxa"/>
            <w:vAlign w:val="center"/>
          </w:tcPr>
          <w:p>
            <w:pPr>
              <w:widowControl w:val="0"/>
              <w:jc w:val="right"/>
            </w:pPr>
          </w:p>
        </w:tc>
        <w:tc>
          <w:tcPr>
            <w:tcW w:w="1037" w:type="dxa"/>
            <w:vAlign w:val="center"/>
          </w:tcPr>
          <w:p>
            <w:pPr>
              <w:widowControl w:val="0"/>
              <w:jc w:val="right"/>
            </w:pPr>
          </w:p>
        </w:tc>
        <w:tc>
          <w:tcPr>
            <w:tcW w:w="890" w:type="dxa"/>
            <w:vAlign w:val="center"/>
          </w:tcPr>
          <w:p>
            <w:pPr>
              <w:widowControl w:val="0"/>
              <w:jc w:val="right"/>
            </w:pPr>
          </w:p>
        </w:tc>
        <w:tc>
          <w:tcPr>
            <w:tcW w:w="855" w:type="dxa"/>
            <w:vAlign w:val="center"/>
          </w:tcPr>
          <w:p>
            <w:pPr>
              <w:widowControl w:val="0"/>
              <w:jc w:val="right"/>
            </w:pPr>
          </w:p>
        </w:tc>
        <w:tc>
          <w:tcPr>
            <w:tcW w:w="1719" w:type="dxa"/>
            <w:vAlign w:val="center"/>
          </w:tcPr>
          <w:p>
            <w:pPr>
              <w:widowControl w:val="0"/>
              <w:jc w:val="right"/>
            </w:pPr>
            <w:r>
              <w:rPr>
                <w:rFonts w:hint="eastAsia"/>
                <w:color w:val="auto"/>
              </w:rPr>
              <w:t>61,281,436.14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440" w:type="dxa"/>
            <w:vAlign w:val="center"/>
          </w:tcPr>
          <w:p>
            <w:pPr>
              <w:widowControl w:val="0"/>
            </w:pPr>
            <w:r>
              <w:rPr>
                <w:rFonts w:hint="eastAsia"/>
                <w:color w:val="auto"/>
              </w:rPr>
              <w:t>按组合计提预期信用损失的其他应收款</w:t>
            </w:r>
          </w:p>
        </w:tc>
        <w:tc>
          <w:tcPr>
            <w:tcW w:w="1577" w:type="dxa"/>
            <w:vAlign w:val="center"/>
          </w:tcPr>
          <w:p>
            <w:pPr>
              <w:widowControl w:val="0"/>
              <w:jc w:val="right"/>
            </w:pPr>
            <w:r>
              <w:rPr>
                <w:rFonts w:hint="eastAsia"/>
                <w:color w:val="auto"/>
              </w:rPr>
              <w:t>86,495,798.00</w:t>
            </w:r>
          </w:p>
        </w:tc>
        <w:tc>
          <w:tcPr>
            <w:tcW w:w="1538" w:type="dxa"/>
            <w:vAlign w:val="center"/>
          </w:tcPr>
          <w:p>
            <w:pPr>
              <w:widowControl w:val="0"/>
              <w:jc w:val="right"/>
            </w:pPr>
            <w:r>
              <w:rPr>
                <w:rFonts w:hint="eastAsia"/>
                <w:color w:val="auto"/>
              </w:rPr>
              <w:t>610.98</w:t>
            </w:r>
          </w:p>
        </w:tc>
        <w:tc>
          <w:tcPr>
            <w:tcW w:w="1037" w:type="dxa"/>
            <w:vAlign w:val="center"/>
          </w:tcPr>
          <w:p>
            <w:pPr>
              <w:widowControl w:val="0"/>
              <w:jc w:val="right"/>
            </w:pPr>
          </w:p>
        </w:tc>
        <w:tc>
          <w:tcPr>
            <w:tcW w:w="890" w:type="dxa"/>
            <w:vAlign w:val="center"/>
          </w:tcPr>
          <w:p>
            <w:pPr>
              <w:widowControl w:val="0"/>
              <w:jc w:val="right"/>
            </w:pPr>
          </w:p>
        </w:tc>
        <w:tc>
          <w:tcPr>
            <w:tcW w:w="855" w:type="dxa"/>
            <w:vAlign w:val="center"/>
          </w:tcPr>
          <w:p>
            <w:pPr>
              <w:widowControl w:val="0"/>
              <w:jc w:val="right"/>
            </w:pPr>
          </w:p>
        </w:tc>
        <w:tc>
          <w:tcPr>
            <w:tcW w:w="1719" w:type="dxa"/>
            <w:vAlign w:val="center"/>
          </w:tcPr>
          <w:p>
            <w:pPr>
              <w:widowControl w:val="0"/>
              <w:jc w:val="right"/>
            </w:pPr>
            <w:r>
              <w:rPr>
                <w:rFonts w:hint="eastAsia"/>
                <w:color w:val="auto"/>
              </w:rPr>
              <w:t>87,292,896.92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440" w:type="dxa"/>
            <w:vAlign w:val="center"/>
          </w:tcPr>
          <w:p>
            <w:pPr>
              <w:widowControl w:val="0"/>
            </w:pPr>
            <w:r>
              <w:rPr>
                <w:rFonts w:hint="eastAsia"/>
                <w:color w:val="auto"/>
              </w:rPr>
              <w:t>其中：合并范围关联方</w:t>
            </w:r>
          </w:p>
        </w:tc>
        <w:tc>
          <w:tcPr>
            <w:tcW w:w="1577" w:type="dxa"/>
            <w:vAlign w:val="center"/>
          </w:tcPr>
          <w:p>
            <w:pPr>
              <w:widowControl w:val="0"/>
              <w:jc w:val="right"/>
            </w:pPr>
            <w:r>
              <w:rPr>
                <w:rFonts w:hint="eastAsia"/>
                <w:color w:val="auto"/>
              </w:rPr>
              <w:t>78,869,970.62</w:t>
            </w:r>
          </w:p>
        </w:tc>
        <w:tc>
          <w:tcPr>
            <w:tcW w:w="1538" w:type="dxa"/>
            <w:vAlign w:val="center"/>
          </w:tcPr>
          <w:p>
            <w:pPr>
              <w:widowControl w:val="0"/>
              <w:jc w:val="right"/>
            </w:pPr>
            <w:r>
              <w:rPr>
                <w:rFonts w:hint="eastAsia"/>
                <w:color w:val="auto"/>
              </w:rPr>
              <w:t>　</w:t>
            </w:r>
          </w:p>
        </w:tc>
        <w:tc>
          <w:tcPr>
            <w:tcW w:w="1037" w:type="dxa"/>
            <w:vAlign w:val="center"/>
          </w:tcPr>
          <w:p>
            <w:pPr>
              <w:widowControl w:val="0"/>
              <w:jc w:val="right"/>
            </w:pPr>
          </w:p>
        </w:tc>
        <w:tc>
          <w:tcPr>
            <w:tcW w:w="890" w:type="dxa"/>
            <w:vAlign w:val="center"/>
          </w:tcPr>
          <w:p>
            <w:pPr>
              <w:widowControl w:val="0"/>
              <w:jc w:val="right"/>
            </w:pPr>
          </w:p>
        </w:tc>
        <w:tc>
          <w:tcPr>
            <w:tcW w:w="855" w:type="dxa"/>
            <w:vAlign w:val="center"/>
          </w:tcPr>
          <w:p>
            <w:pPr>
              <w:widowControl w:val="0"/>
              <w:jc w:val="right"/>
            </w:pPr>
          </w:p>
        </w:tc>
        <w:tc>
          <w:tcPr>
            <w:tcW w:w="1719" w:type="dxa"/>
            <w:vAlign w:val="center"/>
          </w:tcPr>
          <w:p>
            <w:pPr>
              <w:widowControl w:val="0"/>
              <w:jc w:val="right"/>
            </w:pPr>
            <w:r>
              <w:rPr>
                <w:rFonts w:hint="eastAsia"/>
                <w:color w:val="auto"/>
              </w:rPr>
              <w:t>79,267,199.96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440" w:type="dxa"/>
            <w:vAlign w:val="center"/>
          </w:tcPr>
          <w:p>
            <w:pPr>
              <w:widowControl w:val="0"/>
            </w:pPr>
            <w:r>
              <w:rPr>
                <w:rFonts w:hint="eastAsia"/>
                <w:color w:val="auto"/>
              </w:rPr>
              <w:t>账龄组合</w:t>
            </w:r>
          </w:p>
        </w:tc>
        <w:tc>
          <w:tcPr>
            <w:tcW w:w="1577" w:type="dxa"/>
            <w:vAlign w:val="center"/>
          </w:tcPr>
          <w:p>
            <w:pPr>
              <w:widowControl w:val="0"/>
              <w:jc w:val="right"/>
            </w:pPr>
            <w:r>
              <w:rPr>
                <w:rFonts w:hint="eastAsia"/>
                <w:color w:val="auto"/>
              </w:rPr>
              <w:t>7,625,827.38</w:t>
            </w:r>
          </w:p>
        </w:tc>
        <w:tc>
          <w:tcPr>
            <w:tcW w:w="1538" w:type="dxa"/>
            <w:vAlign w:val="center"/>
          </w:tcPr>
          <w:p>
            <w:pPr>
              <w:widowControl w:val="0"/>
              <w:jc w:val="right"/>
            </w:pPr>
          </w:p>
        </w:tc>
        <w:tc>
          <w:tcPr>
            <w:tcW w:w="1037" w:type="dxa"/>
            <w:vAlign w:val="center"/>
          </w:tcPr>
          <w:p>
            <w:pPr>
              <w:widowControl w:val="0"/>
              <w:jc w:val="right"/>
            </w:pPr>
          </w:p>
        </w:tc>
        <w:tc>
          <w:tcPr>
            <w:tcW w:w="890" w:type="dxa"/>
            <w:vAlign w:val="center"/>
          </w:tcPr>
          <w:p>
            <w:pPr>
              <w:widowControl w:val="0"/>
              <w:jc w:val="right"/>
            </w:pPr>
          </w:p>
        </w:tc>
        <w:tc>
          <w:tcPr>
            <w:tcW w:w="855" w:type="dxa"/>
            <w:vAlign w:val="center"/>
          </w:tcPr>
          <w:p>
            <w:pPr>
              <w:widowControl w:val="0"/>
              <w:jc w:val="right"/>
            </w:pPr>
          </w:p>
        </w:tc>
        <w:tc>
          <w:tcPr>
            <w:tcW w:w="1719" w:type="dxa"/>
            <w:vAlign w:val="center"/>
          </w:tcPr>
          <w:p>
            <w:pPr>
              <w:widowControl w:val="0"/>
              <w:jc w:val="right"/>
            </w:pPr>
            <w:r>
              <w:rPr>
                <w:rFonts w:hint="eastAsia"/>
                <w:color w:val="auto"/>
              </w:rPr>
              <w:t>8,025,696.96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c>
          <w:tcPr>
            <w:tcW w:w="1440" w:type="dxa"/>
            <w:vAlign w:val="center"/>
          </w:tcPr>
          <w:p>
            <w:pPr>
              <w:widowControl w:val="0"/>
              <w:jc w:val="center"/>
            </w:pPr>
            <w:r>
              <w:rPr>
                <w:rFonts w:hint="eastAsia"/>
              </w:rPr>
              <w:t>合计</w:t>
            </w:r>
          </w:p>
        </w:tc>
        <w:tc>
          <w:tcPr>
            <w:tcW w:w="1577" w:type="dxa"/>
            <w:vAlign w:val="center"/>
          </w:tcPr>
          <w:p>
            <w:pPr>
              <w:widowControl w:val="0"/>
              <w:jc w:val="right"/>
            </w:pPr>
            <w:r>
              <w:rPr>
                <w:rFonts w:hint="eastAsia"/>
                <w:color w:val="auto"/>
              </w:rPr>
              <w:t>147,777,234.14</w:t>
            </w:r>
          </w:p>
        </w:tc>
        <w:tc>
          <w:tcPr>
            <w:tcW w:w="1538" w:type="dxa"/>
            <w:vAlign w:val="center"/>
          </w:tcPr>
          <w:p>
            <w:pPr>
              <w:widowControl w:val="0"/>
              <w:jc w:val="right"/>
            </w:pPr>
            <w:r>
              <w:t>610.98</w:t>
            </w:r>
          </w:p>
        </w:tc>
        <w:tc>
          <w:tcPr>
            <w:tcW w:w="1037" w:type="dxa"/>
            <w:vAlign w:val="center"/>
          </w:tcPr>
          <w:p>
            <w:pPr>
              <w:widowControl w:val="0"/>
              <w:jc w:val="right"/>
            </w:pPr>
          </w:p>
        </w:tc>
        <w:tc>
          <w:tcPr>
            <w:tcW w:w="890" w:type="dxa"/>
            <w:vAlign w:val="center"/>
          </w:tcPr>
          <w:p>
            <w:pPr>
              <w:widowControl w:val="0"/>
              <w:jc w:val="right"/>
            </w:pPr>
          </w:p>
        </w:tc>
        <w:tc>
          <w:tcPr>
            <w:tcW w:w="855" w:type="dxa"/>
            <w:vAlign w:val="center"/>
          </w:tcPr>
          <w:p>
            <w:pPr>
              <w:widowControl w:val="0"/>
              <w:jc w:val="right"/>
            </w:pPr>
          </w:p>
        </w:tc>
        <w:tc>
          <w:tcPr>
            <w:tcW w:w="1719" w:type="dxa"/>
            <w:vAlign w:val="center"/>
          </w:tcPr>
          <w:p>
            <w:pPr>
              <w:widowControl w:val="0"/>
              <w:jc w:val="right"/>
            </w:pPr>
            <w:r>
              <w:rPr>
                <w:rFonts w:hint="eastAsia"/>
                <w:color w:val="auto"/>
              </w:rPr>
              <w:t>148,574,333.06</w:t>
            </w:r>
          </w:p>
        </w:tc>
      </w:tr>
    </w:tbl>
    <w:p/>
    <w:p>
      <w:r>
        <w:rPr>
          <w:rFonts w:hint="eastAsia"/>
        </w:rPr>
        <w:t>其中本期坏账准备转回或收回金额重要的：</w:t>
      </w:r>
    </w:p>
    <w:sdt>
      <w:sdtPr>
        <w:alias w:val="是否适用：母公司其他应收款坏账准备转回或收回金额重要的[双击切换]"/>
        <w:tag w:val="_GBC_f8ce6c07169e42188641fc1bc1ab86d4"/>
        <w:id w:val="8252"/>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ind w:right="-1594" w:rightChars="-759"/>
        <w:rPr>
          <w:szCs w:val="21"/>
        </w:rPr>
      </w:pPr>
    </w:p>
    <w:p>
      <w:pPr>
        <w:ind w:right="-1594" w:rightChars="-759"/>
        <w:rPr>
          <w:szCs w:val="21"/>
        </w:rPr>
      </w:pPr>
      <w:r>
        <w:rPr>
          <w:rFonts w:hint="eastAsia"/>
          <w:szCs w:val="21"/>
        </w:rPr>
        <w:t>其他说明：</w:t>
      </w:r>
    </w:p>
    <w:sdt>
      <w:sdtPr>
        <w:rPr>
          <w:szCs w:val="21"/>
        </w:rPr>
        <w:alias w:val="其他应收款坏账准备情况的说明"/>
        <w:tag w:val="_GBC_66f33e1d4ef94cf78a5265ef0130e24d"/>
        <w:id w:val="8253"/>
        <w:placeholder>
          <w:docPart w:val="GBC22222222222222222222222222222"/>
        </w:placeholder>
      </w:sdtPr>
      <w:sdtEndPr>
        <w:rPr>
          <w:szCs w:val="21"/>
        </w:rPr>
      </w:sdtEndPr>
      <w:sdtContent>
        <w:p>
          <w:pPr>
            <w:ind w:right="-1594" w:rightChars="-759"/>
            <w:rPr>
              <w:szCs w:val="21"/>
            </w:rPr>
          </w:pPr>
          <w:r>
            <w:rPr>
              <w:rFonts w:hint="eastAsia"/>
              <w:szCs w:val="21"/>
            </w:rPr>
            <w:t>无</w:t>
          </w:r>
        </w:p>
      </w:sdtContent>
    </w:sdt>
    <w:p>
      <w:pPr>
        <w:ind w:right="-1594" w:rightChars="-759"/>
        <w:rPr>
          <w:szCs w:val="21"/>
        </w:rPr>
      </w:pPr>
    </w:p>
    <w:bookmarkEnd w:id="417"/>
    <w:p>
      <w:pPr>
        <w:pStyle w:val="6"/>
        <w:numPr>
          <w:ilvl w:val="0"/>
          <w:numId w:val="131"/>
        </w:numPr>
        <w:ind w:leftChars="0"/>
        <w:rPr>
          <w:rFonts w:cs="宋体" w:asciiTheme="minorHAnsi" w:hAnsiTheme="minorHAnsi"/>
          <w:kern w:val="0"/>
          <w:szCs w:val="22"/>
        </w:rPr>
      </w:pPr>
      <w:r>
        <w:rPr>
          <w:rFonts w:hint="eastAsia" w:cs="宋体" w:asciiTheme="minorHAnsi" w:hAnsiTheme="minorHAnsi"/>
          <w:kern w:val="0"/>
          <w:szCs w:val="22"/>
        </w:rPr>
        <w:t>本期实际核销的其他应收款情况</w:t>
      </w:r>
    </w:p>
    <w:sdt>
      <w:sdtPr>
        <w:alias w:val="是否适用：母公司本期实际核销的其他应收款情况[双击切换]"/>
        <w:tag w:val="_GBC_1513ed448adb4dda8e855e090428591f"/>
        <w:id w:val="825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rPr>
          <w:szCs w:val="21"/>
        </w:rPr>
      </w:pPr>
      <w:r>
        <w:rPr>
          <w:rFonts w:hint="eastAsia"/>
          <w:szCs w:val="21"/>
        </w:rPr>
        <w:t>其中重要的其他应收款核销情况：</w:t>
      </w:r>
    </w:p>
    <w:sdt>
      <w:sdtPr>
        <w:rPr>
          <w:szCs w:val="21"/>
        </w:rPr>
        <w:alias w:val="是否适用：母公司其中重要的其他应收款核销情况[双击切换]"/>
        <w:tag w:val="_GBC_9c869030965c44c2962f562c051ed47e"/>
        <w:id w:val="8255"/>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snapToGrid w:val="0"/>
        <w:spacing w:line="240" w:lineRule="atLeast"/>
        <w:rPr>
          <w:szCs w:val="21"/>
        </w:rPr>
      </w:pPr>
    </w:p>
    <w:p>
      <w:pPr>
        <w:snapToGrid w:val="0"/>
        <w:spacing w:line="240" w:lineRule="atLeast"/>
        <w:rPr>
          <w:szCs w:val="21"/>
        </w:rPr>
      </w:pPr>
      <w:r>
        <w:rPr>
          <w:rFonts w:hint="eastAsia"/>
          <w:szCs w:val="21"/>
        </w:rPr>
        <w:t>其他应收款核销说明：</w:t>
      </w:r>
    </w:p>
    <w:sdt>
      <w:sdtPr>
        <w:rPr>
          <w:rFonts w:hint="eastAsia"/>
          <w:szCs w:val="21"/>
        </w:rPr>
        <w:alias w:val="是否适用：母公司其他应收款核销说明[双击切换]"/>
        <w:tag w:val="_GBC_a3327d4637ec4274aa83caff4b6e71fd"/>
        <w:id w:val="8256"/>
        <w:placeholder>
          <w:docPart w:val="GBC22222222222222222222222222222"/>
        </w:placeholder>
      </w:sdtPr>
      <w:sdtEndPr>
        <w:rPr>
          <w:rFonts w:hint="eastAsia"/>
          <w:szCs w:val="21"/>
        </w:rPr>
      </w:sdtEndPr>
      <w:sdtContent>
        <w:p>
          <w:pPr>
            <w:snapToGrid w:val="0"/>
            <w:spacing w:line="240" w:lineRule="atLeast"/>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Pr>
        <w:pStyle w:val="6"/>
        <w:numPr>
          <w:ilvl w:val="0"/>
          <w:numId w:val="131"/>
        </w:numPr>
        <w:ind w:leftChars="0"/>
        <w:rPr>
          <w:rFonts w:cs="宋体" w:asciiTheme="minorHAnsi" w:hAnsiTheme="minorHAnsi"/>
          <w:kern w:val="0"/>
          <w:szCs w:val="22"/>
        </w:rPr>
      </w:pPr>
      <w:bookmarkStart w:id="418" w:name="_Hlk153798048"/>
      <w:r>
        <w:rPr>
          <w:rFonts w:hint="eastAsia" w:cs="宋体" w:asciiTheme="minorHAnsi" w:hAnsiTheme="minorHAnsi"/>
          <w:kern w:val="0"/>
          <w:szCs w:val="22"/>
        </w:rPr>
        <w:t>按欠款方归集的期末余额前五名的其他应收款情况</w:t>
      </w:r>
    </w:p>
    <w:sdt>
      <w:sdtPr>
        <w:alias w:val="是否适用：母公司按欠款方归集的期末余额前五名的其他应收款情况[双击切换]"/>
        <w:tag w:val="_GBC_40b667221c1442478b0cdaa57feca3d8"/>
        <w:id w:val="8257"/>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pPr>
      <w:r>
        <w:rPr>
          <w:rFonts w:hint="eastAsia"/>
        </w:rPr>
        <w:t>单位：</w:t>
      </w:r>
      <w:sdt>
        <w:sdtPr>
          <w:rPr>
            <w:rFonts w:hint="eastAsia"/>
          </w:rPr>
          <w:alias w:val="单位：母公司财务附注：其他应收账款前五名欠款情况"/>
          <w:tag w:val="_GBC_a5049697dafb47839070e9dec68636fd"/>
          <w:id w:val="825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母公司财务附注：其他应收账款前五名欠款情况"/>
          <w:tag w:val="_GBC_6c4661b2d22f41aeb2f5a016fbe1a3ac"/>
          <w:id w:val="825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7"/>
        <w:gridCol w:w="1665"/>
        <w:gridCol w:w="1530"/>
        <w:gridCol w:w="995"/>
        <w:gridCol w:w="1353"/>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97" w:type="dxa"/>
            <w:vAlign w:val="center"/>
          </w:tcPr>
          <w:sdt>
            <w:sdtPr>
              <w:tag w:val="_PLD_97ae589741524eeaa277e2e3a81b13c6"/>
              <w:id w:val="8260"/>
            </w:sdtPr>
            <w:sdtContent>
              <w:p>
                <w:pPr>
                  <w:ind w:right="105"/>
                  <w:jc w:val="center"/>
                  <w:rPr>
                    <w:szCs w:val="21"/>
                  </w:rPr>
                </w:pPr>
                <w:r>
                  <w:rPr>
                    <w:rFonts w:hint="eastAsia"/>
                    <w:szCs w:val="21"/>
                  </w:rPr>
                  <w:t>单位名称</w:t>
                </w:r>
              </w:p>
            </w:sdtContent>
          </w:sdt>
        </w:tc>
        <w:tc>
          <w:tcPr>
            <w:tcW w:w="1665" w:type="dxa"/>
            <w:vAlign w:val="center"/>
          </w:tcPr>
          <w:sdt>
            <w:sdtPr>
              <w:tag w:val="_PLD_c22b4ec5955348c988f93a834a184c51"/>
              <w:id w:val="8261"/>
            </w:sdtPr>
            <w:sdtContent>
              <w:p>
                <w:pPr>
                  <w:ind w:right="73"/>
                  <w:jc w:val="center"/>
                  <w:rPr>
                    <w:szCs w:val="21"/>
                  </w:rPr>
                </w:pPr>
                <w:r>
                  <w:rPr>
                    <w:rFonts w:hint="eastAsia"/>
                    <w:szCs w:val="21"/>
                  </w:rPr>
                  <w:t>期末余额</w:t>
                </w:r>
              </w:p>
            </w:sdtContent>
          </w:sdt>
        </w:tc>
        <w:tc>
          <w:tcPr>
            <w:tcW w:w="1530" w:type="dxa"/>
            <w:vAlign w:val="center"/>
          </w:tcPr>
          <w:sdt>
            <w:sdtPr>
              <w:tag w:val="_PLD_a49ad92f72864a62b0f46c5d7fa4a110"/>
              <w:id w:val="8262"/>
            </w:sdtPr>
            <w:sdtContent>
              <w:p>
                <w:pPr>
                  <w:jc w:val="center"/>
                  <w:rPr>
                    <w:szCs w:val="21"/>
                  </w:rPr>
                </w:pPr>
                <w:r>
                  <w:rPr>
                    <w:rFonts w:hint="eastAsia"/>
                    <w:szCs w:val="21"/>
                  </w:rPr>
                  <w:t>占其他应收款期末余额合计数的比例(</w:t>
                </w:r>
                <w:r>
                  <w:rPr>
                    <w:szCs w:val="21"/>
                  </w:rPr>
                  <w:t>%)</w:t>
                </w:r>
              </w:p>
            </w:sdtContent>
          </w:sdt>
        </w:tc>
        <w:tc>
          <w:tcPr>
            <w:tcW w:w="995" w:type="dxa"/>
            <w:vAlign w:val="center"/>
          </w:tcPr>
          <w:sdt>
            <w:sdtPr>
              <w:tag w:val="_PLD_c8433b11194a41288fcd24feb3e7d527"/>
              <w:id w:val="8263"/>
            </w:sdtPr>
            <w:sdtContent>
              <w:p>
                <w:pPr>
                  <w:ind w:right="73"/>
                  <w:jc w:val="center"/>
                  <w:rPr>
                    <w:szCs w:val="21"/>
                  </w:rPr>
                </w:pPr>
                <w:r>
                  <w:rPr>
                    <w:rFonts w:hint="eastAsia"/>
                    <w:szCs w:val="21"/>
                  </w:rPr>
                  <w:t>款项的性质</w:t>
                </w:r>
              </w:p>
            </w:sdtContent>
          </w:sdt>
        </w:tc>
        <w:tc>
          <w:tcPr>
            <w:tcW w:w="1353" w:type="dxa"/>
            <w:vAlign w:val="center"/>
          </w:tcPr>
          <w:sdt>
            <w:sdtPr>
              <w:tag w:val="_PLD_003c0f3b03b34c10880da6ddba3d0f8c"/>
              <w:id w:val="8264"/>
            </w:sdtPr>
            <w:sdtContent>
              <w:p>
                <w:pPr>
                  <w:ind w:right="73"/>
                  <w:jc w:val="center"/>
                  <w:rPr>
                    <w:szCs w:val="21"/>
                  </w:rPr>
                </w:pPr>
                <w:r>
                  <w:rPr>
                    <w:rFonts w:hint="eastAsia"/>
                    <w:szCs w:val="21"/>
                  </w:rPr>
                  <w:t>账龄</w:t>
                </w:r>
              </w:p>
            </w:sdtContent>
          </w:sdt>
        </w:tc>
        <w:tc>
          <w:tcPr>
            <w:tcW w:w="1706" w:type="dxa"/>
            <w:vAlign w:val="center"/>
          </w:tcPr>
          <w:sdt>
            <w:sdtPr>
              <w:tag w:val="_PLD_de96d0c3523e4231935073b8b7dd47be"/>
              <w:id w:val="8265"/>
            </w:sdtPr>
            <w:sdtContent>
              <w:p>
                <w:pPr>
                  <w:jc w:val="center"/>
                  <w:rPr>
                    <w:szCs w:val="21"/>
                  </w:rPr>
                </w:pPr>
                <w:r>
                  <w:rPr>
                    <w:rFonts w:hint="eastAsia"/>
                    <w:szCs w:val="21"/>
                  </w:rPr>
                  <w:t>坏账准备</w:t>
                </w:r>
              </w:p>
              <w:p>
                <w:pPr>
                  <w:jc w:val="center"/>
                  <w:rPr>
                    <w:szCs w:val="21"/>
                  </w:rPr>
                </w:pPr>
                <w:r>
                  <w:rPr>
                    <w:rFonts w:hint="eastAsia"/>
                    <w:szCs w:val="21"/>
                  </w:rPr>
                  <w:t>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97" w:type="dxa"/>
            <w:vAlign w:val="center"/>
          </w:tcPr>
          <w:p>
            <w:pPr>
              <w:ind w:right="105"/>
              <w:rPr>
                <w:rFonts w:hint="eastAsia"/>
                <w:szCs w:val="21"/>
              </w:rPr>
            </w:pPr>
            <w:r>
              <w:rPr>
                <w:rFonts w:hint="eastAsia"/>
                <w:color w:val="auto"/>
              </w:rPr>
              <w:t>安徽两面针·芳草日化有限公司</w:t>
            </w:r>
          </w:p>
        </w:tc>
        <w:tc>
          <w:tcPr>
            <w:tcW w:w="1665" w:type="dxa"/>
            <w:vAlign w:val="center"/>
          </w:tcPr>
          <w:p>
            <w:pPr>
              <w:ind w:right="73"/>
              <w:jc w:val="right"/>
              <w:rPr>
                <w:szCs w:val="21"/>
              </w:rPr>
            </w:pPr>
            <w:r>
              <w:rPr>
                <w:rFonts w:hint="eastAsia"/>
                <w:color w:val="auto"/>
              </w:rPr>
              <w:t>78,435,574.08</w:t>
            </w:r>
          </w:p>
        </w:tc>
        <w:tc>
          <w:tcPr>
            <w:tcW w:w="1530" w:type="dxa"/>
            <w:vAlign w:val="center"/>
          </w:tcPr>
          <w:p>
            <w:pPr>
              <w:jc w:val="right"/>
              <w:rPr>
                <w:szCs w:val="21"/>
              </w:rPr>
            </w:pPr>
            <w:r>
              <w:rPr>
                <w:rFonts w:hint="eastAsia"/>
                <w:color w:val="auto"/>
              </w:rPr>
              <w:t>52.79</w:t>
            </w:r>
          </w:p>
        </w:tc>
        <w:tc>
          <w:tcPr>
            <w:tcW w:w="995" w:type="dxa"/>
            <w:vAlign w:val="center"/>
          </w:tcPr>
          <w:p>
            <w:pPr>
              <w:ind w:right="73"/>
              <w:jc w:val="center"/>
              <w:rPr>
                <w:szCs w:val="21"/>
              </w:rPr>
            </w:pPr>
            <w:r>
              <w:rPr>
                <w:rFonts w:hint="eastAsia"/>
                <w:color w:val="auto"/>
              </w:rPr>
              <w:t>往来款</w:t>
            </w:r>
          </w:p>
        </w:tc>
        <w:tc>
          <w:tcPr>
            <w:tcW w:w="1353" w:type="dxa"/>
            <w:vAlign w:val="center"/>
          </w:tcPr>
          <w:p>
            <w:pPr>
              <w:ind w:right="73"/>
              <w:jc w:val="center"/>
              <w:rPr>
                <w:szCs w:val="21"/>
              </w:rPr>
            </w:pPr>
            <w:r>
              <w:rPr>
                <w:rFonts w:hint="eastAsia"/>
                <w:color w:val="auto"/>
              </w:rPr>
              <w:t>0.5年以内</w:t>
            </w:r>
          </w:p>
        </w:tc>
        <w:tc>
          <w:tcPr>
            <w:tcW w:w="1706" w:type="dxa"/>
            <w:vAlign w:val="center"/>
          </w:tcPr>
          <w:p>
            <w:pPr>
              <w:jc w:val="right"/>
              <w:rPr>
                <w:szCs w:val="21"/>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97" w:type="dxa"/>
            <w:vAlign w:val="center"/>
          </w:tcPr>
          <w:p>
            <w:pPr>
              <w:ind w:right="101" w:rightChars="0"/>
              <w:rPr>
                <w:rFonts w:hint="eastAsia"/>
                <w:szCs w:val="21"/>
              </w:rPr>
            </w:pPr>
            <w:r>
              <w:rPr>
                <w:rFonts w:hint="eastAsia"/>
                <w:color w:val="auto"/>
              </w:rPr>
              <w:t>柳州惠好卫生用品有限公司</w:t>
            </w:r>
          </w:p>
        </w:tc>
        <w:tc>
          <w:tcPr>
            <w:tcW w:w="1665" w:type="dxa"/>
            <w:vAlign w:val="center"/>
          </w:tcPr>
          <w:p>
            <w:pPr>
              <w:ind w:right="73"/>
              <w:jc w:val="right"/>
              <w:rPr>
                <w:szCs w:val="21"/>
              </w:rPr>
            </w:pPr>
            <w:r>
              <w:rPr>
                <w:rFonts w:hint="eastAsia"/>
                <w:color w:val="auto"/>
              </w:rPr>
              <w:t>57,397,224.99</w:t>
            </w:r>
          </w:p>
        </w:tc>
        <w:tc>
          <w:tcPr>
            <w:tcW w:w="1530" w:type="dxa"/>
            <w:vAlign w:val="center"/>
          </w:tcPr>
          <w:p>
            <w:pPr>
              <w:jc w:val="right"/>
              <w:rPr>
                <w:szCs w:val="21"/>
              </w:rPr>
            </w:pPr>
            <w:r>
              <w:rPr>
                <w:rFonts w:hint="eastAsia"/>
                <w:color w:val="auto"/>
              </w:rPr>
              <w:t>38.63</w:t>
            </w:r>
          </w:p>
        </w:tc>
        <w:tc>
          <w:tcPr>
            <w:tcW w:w="995" w:type="dxa"/>
            <w:vAlign w:val="center"/>
          </w:tcPr>
          <w:p>
            <w:pPr>
              <w:ind w:right="73"/>
              <w:jc w:val="center"/>
              <w:rPr>
                <w:szCs w:val="21"/>
              </w:rPr>
            </w:pPr>
            <w:r>
              <w:rPr>
                <w:rFonts w:hint="eastAsia"/>
                <w:color w:val="auto"/>
              </w:rPr>
              <w:t>往来款</w:t>
            </w:r>
          </w:p>
        </w:tc>
        <w:tc>
          <w:tcPr>
            <w:tcW w:w="1353" w:type="dxa"/>
            <w:vAlign w:val="center"/>
          </w:tcPr>
          <w:p>
            <w:pPr>
              <w:ind w:right="73"/>
              <w:jc w:val="center"/>
              <w:rPr>
                <w:szCs w:val="21"/>
              </w:rPr>
            </w:pPr>
            <w:r>
              <w:rPr>
                <w:rFonts w:hint="eastAsia"/>
                <w:color w:val="auto"/>
              </w:rPr>
              <w:t>5年以上</w:t>
            </w:r>
          </w:p>
        </w:tc>
        <w:tc>
          <w:tcPr>
            <w:tcW w:w="1706" w:type="dxa"/>
            <w:vAlign w:val="center"/>
          </w:tcPr>
          <w:p>
            <w:pPr>
              <w:jc w:val="right"/>
              <w:rPr>
                <w:szCs w:val="21"/>
              </w:rPr>
            </w:pPr>
            <w:r>
              <w:rPr>
                <w:rFonts w:hint="eastAsia"/>
                <w:color w:val="auto"/>
              </w:rPr>
              <w:t>57,397,224.99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97" w:type="dxa"/>
            <w:vAlign w:val="center"/>
          </w:tcPr>
          <w:p>
            <w:pPr>
              <w:ind w:right="105"/>
              <w:rPr>
                <w:rFonts w:hint="eastAsia"/>
                <w:szCs w:val="21"/>
              </w:rPr>
            </w:pPr>
            <w:r>
              <w:rPr>
                <w:rFonts w:hint="eastAsia"/>
                <w:color w:val="auto"/>
              </w:rPr>
              <w:t>广西亿康南药药业种植有限责任公司</w:t>
            </w:r>
          </w:p>
        </w:tc>
        <w:tc>
          <w:tcPr>
            <w:tcW w:w="1665" w:type="dxa"/>
            <w:vAlign w:val="center"/>
          </w:tcPr>
          <w:p>
            <w:pPr>
              <w:ind w:right="73"/>
              <w:jc w:val="right"/>
              <w:rPr>
                <w:szCs w:val="21"/>
              </w:rPr>
            </w:pPr>
            <w:r>
              <w:rPr>
                <w:rFonts w:hint="eastAsia"/>
                <w:color w:val="auto"/>
              </w:rPr>
              <w:t>3,504,455.85</w:t>
            </w:r>
          </w:p>
        </w:tc>
        <w:tc>
          <w:tcPr>
            <w:tcW w:w="1530" w:type="dxa"/>
            <w:vAlign w:val="center"/>
          </w:tcPr>
          <w:p>
            <w:pPr>
              <w:jc w:val="right"/>
              <w:rPr>
                <w:szCs w:val="21"/>
              </w:rPr>
            </w:pPr>
            <w:r>
              <w:rPr>
                <w:rFonts w:hint="eastAsia"/>
                <w:color w:val="auto"/>
              </w:rPr>
              <w:t>2.36</w:t>
            </w:r>
          </w:p>
        </w:tc>
        <w:tc>
          <w:tcPr>
            <w:tcW w:w="995" w:type="dxa"/>
            <w:vAlign w:val="center"/>
          </w:tcPr>
          <w:p>
            <w:pPr>
              <w:ind w:right="73"/>
              <w:jc w:val="center"/>
              <w:rPr>
                <w:szCs w:val="21"/>
              </w:rPr>
            </w:pPr>
            <w:r>
              <w:rPr>
                <w:rFonts w:hint="eastAsia"/>
                <w:color w:val="auto"/>
              </w:rPr>
              <w:t>往来款</w:t>
            </w:r>
          </w:p>
        </w:tc>
        <w:tc>
          <w:tcPr>
            <w:tcW w:w="1353" w:type="dxa"/>
            <w:vAlign w:val="center"/>
          </w:tcPr>
          <w:p>
            <w:pPr>
              <w:ind w:right="73"/>
              <w:jc w:val="center"/>
              <w:rPr>
                <w:szCs w:val="21"/>
              </w:rPr>
            </w:pPr>
            <w:r>
              <w:rPr>
                <w:rFonts w:hint="eastAsia"/>
                <w:color w:val="auto"/>
              </w:rPr>
              <w:t>5年以上</w:t>
            </w:r>
          </w:p>
        </w:tc>
        <w:tc>
          <w:tcPr>
            <w:tcW w:w="1706" w:type="dxa"/>
            <w:vAlign w:val="center"/>
          </w:tcPr>
          <w:p>
            <w:pPr>
              <w:jc w:val="right"/>
              <w:rPr>
                <w:szCs w:val="21"/>
              </w:rPr>
            </w:pPr>
            <w:r>
              <w:rPr>
                <w:rFonts w:hint="eastAsia"/>
                <w:color w:val="auto"/>
              </w:rPr>
              <w:t>3,504,455.85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97" w:type="dxa"/>
            <w:vAlign w:val="center"/>
          </w:tcPr>
          <w:p>
            <w:pPr>
              <w:tabs>
                <w:tab w:val="left" w:pos="1680"/>
              </w:tabs>
              <w:ind w:right="105"/>
              <w:rPr>
                <w:rFonts w:hint="eastAsia"/>
                <w:szCs w:val="21"/>
              </w:rPr>
            </w:pPr>
            <w:r>
              <w:rPr>
                <w:rFonts w:hint="eastAsia"/>
                <w:color w:val="auto"/>
              </w:rPr>
              <w:t>广西博纳文化传播有限公司</w:t>
            </w:r>
          </w:p>
        </w:tc>
        <w:tc>
          <w:tcPr>
            <w:tcW w:w="1665" w:type="dxa"/>
            <w:vAlign w:val="center"/>
          </w:tcPr>
          <w:p>
            <w:pPr>
              <w:ind w:right="73"/>
              <w:jc w:val="right"/>
              <w:rPr>
                <w:szCs w:val="21"/>
              </w:rPr>
            </w:pPr>
            <w:r>
              <w:rPr>
                <w:rFonts w:hint="eastAsia"/>
                <w:color w:val="auto"/>
              </w:rPr>
              <w:t>2,000,000.00</w:t>
            </w:r>
          </w:p>
        </w:tc>
        <w:tc>
          <w:tcPr>
            <w:tcW w:w="1530" w:type="dxa"/>
            <w:vAlign w:val="center"/>
          </w:tcPr>
          <w:p>
            <w:pPr>
              <w:jc w:val="right"/>
              <w:rPr>
                <w:szCs w:val="21"/>
              </w:rPr>
            </w:pPr>
            <w:r>
              <w:rPr>
                <w:rFonts w:hint="eastAsia"/>
                <w:color w:val="auto"/>
              </w:rPr>
              <w:t>1.35</w:t>
            </w:r>
          </w:p>
        </w:tc>
        <w:tc>
          <w:tcPr>
            <w:tcW w:w="995" w:type="dxa"/>
            <w:vAlign w:val="center"/>
          </w:tcPr>
          <w:p>
            <w:pPr>
              <w:ind w:right="73"/>
              <w:jc w:val="center"/>
              <w:rPr>
                <w:szCs w:val="21"/>
              </w:rPr>
            </w:pPr>
            <w:r>
              <w:rPr>
                <w:rFonts w:hint="eastAsia"/>
                <w:color w:val="auto"/>
              </w:rPr>
              <w:t>往来款</w:t>
            </w:r>
          </w:p>
        </w:tc>
        <w:tc>
          <w:tcPr>
            <w:tcW w:w="1353" w:type="dxa"/>
            <w:vAlign w:val="center"/>
          </w:tcPr>
          <w:p>
            <w:pPr>
              <w:ind w:right="73"/>
              <w:jc w:val="center"/>
              <w:rPr>
                <w:szCs w:val="21"/>
              </w:rPr>
            </w:pPr>
            <w:r>
              <w:rPr>
                <w:rFonts w:hint="eastAsia"/>
                <w:color w:val="auto"/>
              </w:rPr>
              <w:t>5年以上</w:t>
            </w:r>
          </w:p>
        </w:tc>
        <w:tc>
          <w:tcPr>
            <w:tcW w:w="1706" w:type="dxa"/>
            <w:vAlign w:val="center"/>
          </w:tcPr>
          <w:p>
            <w:pPr>
              <w:jc w:val="right"/>
              <w:rPr>
                <w:szCs w:val="21"/>
              </w:rPr>
            </w:pPr>
            <w:r>
              <w:rPr>
                <w:rFonts w:hint="eastAsia"/>
                <w:color w:val="auto"/>
              </w:rPr>
              <w:t>2,000,000.00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97" w:type="dxa"/>
            <w:vAlign w:val="center"/>
          </w:tcPr>
          <w:p>
            <w:pPr>
              <w:ind w:right="-99" w:rightChars="0"/>
              <w:rPr>
                <w:rFonts w:hint="eastAsia"/>
                <w:szCs w:val="21"/>
              </w:rPr>
            </w:pPr>
            <w:r>
              <w:rPr>
                <w:rFonts w:hint="eastAsia"/>
                <w:color w:val="auto"/>
              </w:rPr>
              <w:t>广西两面针亿康药业股份有限公司</w:t>
            </w:r>
          </w:p>
        </w:tc>
        <w:tc>
          <w:tcPr>
            <w:tcW w:w="1665" w:type="dxa"/>
            <w:vAlign w:val="center"/>
          </w:tcPr>
          <w:p>
            <w:pPr>
              <w:ind w:right="73"/>
              <w:jc w:val="right"/>
              <w:rPr>
                <w:szCs w:val="21"/>
              </w:rPr>
            </w:pPr>
            <w:r>
              <w:rPr>
                <w:rFonts w:hint="eastAsia"/>
                <w:color w:val="auto"/>
              </w:rPr>
              <w:t>831,625.88</w:t>
            </w:r>
          </w:p>
        </w:tc>
        <w:tc>
          <w:tcPr>
            <w:tcW w:w="1530" w:type="dxa"/>
            <w:vAlign w:val="center"/>
          </w:tcPr>
          <w:p>
            <w:pPr>
              <w:jc w:val="right"/>
              <w:rPr>
                <w:szCs w:val="21"/>
              </w:rPr>
            </w:pPr>
            <w:r>
              <w:rPr>
                <w:rFonts w:hint="eastAsia"/>
                <w:color w:val="auto"/>
              </w:rPr>
              <w:t>0.56</w:t>
            </w:r>
          </w:p>
        </w:tc>
        <w:tc>
          <w:tcPr>
            <w:tcW w:w="995" w:type="dxa"/>
            <w:vAlign w:val="center"/>
          </w:tcPr>
          <w:p>
            <w:pPr>
              <w:ind w:right="73"/>
              <w:jc w:val="center"/>
              <w:rPr>
                <w:szCs w:val="21"/>
              </w:rPr>
            </w:pPr>
            <w:r>
              <w:rPr>
                <w:rFonts w:hint="eastAsia"/>
                <w:color w:val="auto"/>
              </w:rPr>
              <w:t>往来款</w:t>
            </w:r>
          </w:p>
        </w:tc>
        <w:tc>
          <w:tcPr>
            <w:tcW w:w="1353" w:type="dxa"/>
            <w:vAlign w:val="center"/>
          </w:tcPr>
          <w:p>
            <w:pPr>
              <w:ind w:right="73"/>
              <w:jc w:val="center"/>
              <w:rPr>
                <w:szCs w:val="21"/>
              </w:rPr>
            </w:pPr>
            <w:r>
              <w:rPr>
                <w:rFonts w:hint="eastAsia"/>
                <w:color w:val="auto"/>
              </w:rPr>
              <w:t>0.5年以内</w:t>
            </w:r>
          </w:p>
        </w:tc>
        <w:tc>
          <w:tcPr>
            <w:tcW w:w="1706" w:type="dxa"/>
            <w:vAlign w:val="center"/>
          </w:tcPr>
          <w:p>
            <w:pPr>
              <w:jc w:val="right"/>
              <w:rPr>
                <w:szCs w:val="21"/>
              </w:rPr>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97" w:type="dxa"/>
            <w:vAlign w:val="center"/>
          </w:tcPr>
          <w:p>
            <w:pPr>
              <w:ind w:right="105"/>
              <w:jc w:val="center"/>
              <w:rPr>
                <w:szCs w:val="21"/>
              </w:rPr>
            </w:pPr>
            <w:r>
              <w:rPr>
                <w:rFonts w:hint="eastAsia"/>
                <w:szCs w:val="21"/>
              </w:rPr>
              <w:t>合计</w:t>
            </w:r>
          </w:p>
        </w:tc>
        <w:tc>
          <w:tcPr>
            <w:tcW w:w="1665" w:type="dxa"/>
            <w:vAlign w:val="center"/>
          </w:tcPr>
          <w:p>
            <w:pPr>
              <w:ind w:right="73"/>
              <w:jc w:val="right"/>
              <w:rPr>
                <w:szCs w:val="21"/>
              </w:rPr>
            </w:pPr>
            <w:r>
              <w:rPr>
                <w:rFonts w:hint="eastAsia"/>
                <w:color w:val="auto"/>
              </w:rPr>
              <w:t>142,168,880.80</w:t>
            </w:r>
          </w:p>
        </w:tc>
        <w:tc>
          <w:tcPr>
            <w:tcW w:w="1530" w:type="dxa"/>
            <w:vAlign w:val="center"/>
          </w:tcPr>
          <w:p>
            <w:pPr>
              <w:jc w:val="right"/>
              <w:rPr>
                <w:szCs w:val="21"/>
              </w:rPr>
            </w:pPr>
            <w:r>
              <w:rPr>
                <w:rFonts w:hint="eastAsia"/>
                <w:color w:val="auto"/>
              </w:rPr>
              <w:t>95.69</w:t>
            </w:r>
          </w:p>
        </w:tc>
        <w:tc>
          <w:tcPr>
            <w:tcW w:w="995" w:type="dxa"/>
            <w:vAlign w:val="center"/>
          </w:tcPr>
          <w:p>
            <w:pPr>
              <w:ind w:right="73"/>
              <w:jc w:val="center"/>
              <w:rPr>
                <w:szCs w:val="21"/>
              </w:rPr>
            </w:pPr>
            <w:r>
              <w:rPr>
                <w:szCs w:val="21"/>
              </w:rPr>
              <w:t>/</w:t>
            </w:r>
          </w:p>
        </w:tc>
        <w:tc>
          <w:tcPr>
            <w:tcW w:w="1353" w:type="dxa"/>
            <w:vAlign w:val="center"/>
          </w:tcPr>
          <w:p>
            <w:pPr>
              <w:ind w:right="73"/>
              <w:jc w:val="center"/>
              <w:rPr>
                <w:szCs w:val="21"/>
              </w:rPr>
            </w:pPr>
            <w:r>
              <w:rPr>
                <w:szCs w:val="21"/>
              </w:rPr>
              <w:t>/</w:t>
            </w:r>
          </w:p>
        </w:tc>
        <w:tc>
          <w:tcPr>
            <w:tcW w:w="1706" w:type="dxa"/>
            <w:vAlign w:val="center"/>
          </w:tcPr>
          <w:p>
            <w:pPr>
              <w:jc w:val="right"/>
              <w:rPr>
                <w:szCs w:val="21"/>
              </w:rPr>
            </w:pPr>
            <w:r>
              <w:rPr>
                <w:rFonts w:hint="eastAsia"/>
                <w:color w:val="auto"/>
              </w:rPr>
              <w:t>62,901,680.84</w:t>
            </w:r>
          </w:p>
        </w:tc>
      </w:tr>
    </w:tbl>
    <w:p/>
    <w:bookmarkEnd w:id="418"/>
    <w:p>
      <w:pPr>
        <w:pStyle w:val="6"/>
        <w:numPr>
          <w:ilvl w:val="0"/>
          <w:numId w:val="131"/>
        </w:numPr>
        <w:ind w:leftChars="0"/>
        <w:rPr>
          <w:rFonts w:cs="宋体" w:asciiTheme="minorHAnsi" w:hAnsiTheme="minorHAnsi"/>
          <w:kern w:val="0"/>
          <w:szCs w:val="22"/>
        </w:rPr>
      </w:pPr>
      <w:bookmarkStart w:id="419" w:name="_Hlk153798113"/>
      <w:r>
        <w:rPr>
          <w:rFonts w:cs="宋体" w:asciiTheme="minorHAnsi" w:hAnsiTheme="minorHAnsi"/>
          <w:kern w:val="0"/>
          <w:szCs w:val="22"/>
        </w:rPr>
        <w:t>因资金集中管理而列报于其他应收款</w:t>
      </w:r>
    </w:p>
    <w:sdt>
      <w:sdtPr>
        <w:alias w:val="是否适用：母公司因资金集中管理而列报于其他应收款[双击切换]"/>
        <w:tag w:val="_GBC_618dc514c72c4f30836fe51ef5fc4589"/>
        <w:id w:val="8266"/>
        <w:placeholder>
          <w:docPart w:val="GBC22222222222222222222222222222"/>
        </w:placeholder>
      </w:sdtPr>
      <w:sdtContent>
        <w:p>
          <w:pPr>
            <w:snapToGrid w:val="0"/>
            <w:spacing w:line="240" w:lineRule="atLeast"/>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napToGrid w:val="0"/>
        <w:spacing w:line="240" w:lineRule="atLeast"/>
      </w:pPr>
    </w:p>
    <w:bookmarkEnd w:id="419"/>
    <w:p>
      <w:r>
        <w:rPr>
          <w:rFonts w:hint="eastAsia"/>
        </w:rPr>
        <w:t>其他</w:t>
      </w:r>
      <w:r>
        <w:t>说明：</w:t>
      </w:r>
    </w:p>
    <w:sdt>
      <w:sdtPr>
        <w:rPr>
          <w:rFonts w:hint="eastAsia"/>
          <w:szCs w:val="21"/>
        </w:rPr>
        <w:alias w:val="是否适用：母公司其他应收款的其他说明[双击切换]"/>
        <w:tag w:val="_GBC_479bc9ed241548c695a3905f38eb23fd"/>
        <w:id w:val="8267"/>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sectPr>
          <w:pgSz w:w="11906" w:h="16838"/>
          <w:pgMar w:top="1525" w:right="1276" w:bottom="1440" w:left="1797" w:header="856" w:footer="992" w:gutter="0"/>
          <w:cols w:space="425" w:num="1"/>
          <w:docGrid w:linePitch="312" w:charSpace="0"/>
        </w:sectPr>
      </w:pPr>
    </w:p>
    <w:p>
      <w:pPr>
        <w:pStyle w:val="17"/>
      </w:pPr>
    </w:p>
    <w:sdt>
      <w:sdtPr>
        <w:tag w:val="_PLD_699085535ab24567b0ca38cb4ec93614"/>
        <w:id w:val="8268"/>
      </w:sdtPr>
      <w:sdtContent>
        <w:p>
          <w:pPr>
            <w:pStyle w:val="4"/>
            <w:numPr>
              <w:ilvl w:val="0"/>
              <w:numId w:val="127"/>
            </w:numPr>
            <w:rPr>
              <w:rFonts w:hint="eastAsia" w:ascii="宋体" w:hAnsi="宋体"/>
              <w:szCs w:val="21"/>
            </w:rPr>
          </w:pPr>
          <w:r>
            <w:rPr>
              <w:rFonts w:hint="eastAsia" w:ascii="宋体" w:hAnsi="宋体"/>
              <w:szCs w:val="21"/>
            </w:rPr>
            <w:t>长期股权投资</w:t>
          </w:r>
        </w:p>
      </w:sdtContent>
    </w:sdt>
    <w:sdt>
      <w:sdtPr>
        <w:alias w:val="是否适用：母公司长期股权投资[双击切换]"/>
        <w:tag w:val="_GBC_57a2f87498c64eab83308bdf3afc6268"/>
        <w:id w:val="8269"/>
        <w:lock w:val="contentLocked"/>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母公司财务附注：长期股权投资"/>
          <w:tag w:val="_GBC_9d11e81055cb4017a0055a75ae95ae64"/>
          <w:id w:val="827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母公司财务附注：长期股权投资"/>
          <w:tag w:val="_GBC_fbeeb4a7e8254b6dbbd1030f26dad505"/>
          <w:id w:val="827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4"/>
        <w:gridCol w:w="3270"/>
        <w:gridCol w:w="2008"/>
        <w:gridCol w:w="1636"/>
        <w:gridCol w:w="1724"/>
        <w:gridCol w:w="1451"/>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14" w:type="dxa"/>
            <w:vMerge w:val="restart"/>
            <w:vAlign w:val="center"/>
          </w:tcPr>
          <w:sdt>
            <w:sdtPr>
              <w:tag w:val="_PLD_0747ffd7336145fcb6d5e622fab54966"/>
              <w:id w:val="8272"/>
            </w:sdtPr>
            <w:sdtContent>
              <w:p>
                <w:pPr>
                  <w:jc w:val="center"/>
                </w:pPr>
                <w:r>
                  <w:rPr>
                    <w:rFonts w:hint="eastAsia"/>
                  </w:rPr>
                  <w:t>项目</w:t>
                </w:r>
              </w:p>
            </w:sdtContent>
          </w:sdt>
        </w:tc>
        <w:tc>
          <w:tcPr>
            <w:tcW w:w="6914" w:type="dxa"/>
            <w:gridSpan w:val="3"/>
            <w:vAlign w:val="center"/>
          </w:tcPr>
          <w:sdt>
            <w:sdtPr>
              <w:tag w:val="_PLD_0b9f6f6d89c44029bf1de3ed5f6a4aa0"/>
              <w:id w:val="8273"/>
            </w:sdtPr>
            <w:sdtContent>
              <w:p>
                <w:pPr>
                  <w:jc w:val="center"/>
                </w:pPr>
                <w:r>
                  <w:rPr>
                    <w:rFonts w:hint="eastAsia"/>
                  </w:rPr>
                  <w:t>期末余额</w:t>
                </w:r>
              </w:p>
            </w:sdtContent>
          </w:sdt>
        </w:tc>
        <w:tc>
          <w:tcPr>
            <w:tcW w:w="4767" w:type="dxa"/>
            <w:gridSpan w:val="3"/>
            <w:vAlign w:val="center"/>
          </w:tcPr>
          <w:sdt>
            <w:sdtPr>
              <w:tag w:val="_PLD_d1ebeae29ff34029a10a8e0c447a171b"/>
              <w:id w:val="8274"/>
            </w:sdtPr>
            <w:sdtContent>
              <w:p>
                <w:pPr>
                  <w:jc w:val="center"/>
                </w:pPr>
                <w:r>
                  <w:rPr>
                    <w:rFonts w:hint="eastAsia"/>
                  </w:rPr>
                  <w:t>期初余额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14" w:type="dxa"/>
            <w:vMerge w:val="continue"/>
            <w:vAlign w:val="center"/>
          </w:tcPr>
          <w:p>
            <w:pPr>
              <w:jc w:val="center"/>
            </w:pPr>
          </w:p>
        </w:tc>
        <w:tc>
          <w:tcPr>
            <w:tcW w:w="3270" w:type="dxa"/>
            <w:vAlign w:val="center"/>
          </w:tcPr>
          <w:sdt>
            <w:sdtPr>
              <w:tag w:val="_PLD_dd00c7deeb1e4ede9c3e40d64760a230"/>
              <w:id w:val="8275"/>
            </w:sdtPr>
            <w:sdtContent>
              <w:p>
                <w:pPr>
                  <w:jc w:val="center"/>
                </w:pPr>
                <w:r>
                  <w:rPr>
                    <w:rFonts w:hint="eastAsia"/>
                  </w:rPr>
                  <w:t>账面余额</w:t>
                </w:r>
              </w:p>
            </w:sdtContent>
          </w:sdt>
        </w:tc>
        <w:tc>
          <w:tcPr>
            <w:tcW w:w="2008" w:type="dxa"/>
            <w:vAlign w:val="center"/>
          </w:tcPr>
          <w:sdt>
            <w:sdtPr>
              <w:tag w:val="_PLD_dc4e6ed6511949b7a546924cafae2546"/>
              <w:id w:val="8276"/>
            </w:sdtPr>
            <w:sdtContent>
              <w:p>
                <w:pPr>
                  <w:jc w:val="center"/>
                </w:pPr>
                <w:r>
                  <w:rPr>
                    <w:rFonts w:hint="eastAsia"/>
                  </w:rPr>
                  <w:t>减值准备</w:t>
                </w:r>
              </w:p>
            </w:sdtContent>
          </w:sdt>
        </w:tc>
        <w:tc>
          <w:tcPr>
            <w:tcW w:w="1636" w:type="dxa"/>
            <w:vAlign w:val="center"/>
          </w:tcPr>
          <w:sdt>
            <w:sdtPr>
              <w:tag w:val="_PLD_1d7bbdc4e6144c95a3fcb7369904bea6"/>
              <w:id w:val="8277"/>
            </w:sdtPr>
            <w:sdtContent>
              <w:p>
                <w:pPr>
                  <w:jc w:val="center"/>
                </w:pPr>
                <w:r>
                  <w:rPr>
                    <w:rFonts w:hint="eastAsia"/>
                  </w:rPr>
                  <w:t>账面价值</w:t>
                </w:r>
              </w:p>
            </w:sdtContent>
          </w:sdt>
        </w:tc>
        <w:tc>
          <w:tcPr>
            <w:tcW w:w="1724" w:type="dxa"/>
            <w:vAlign w:val="center"/>
          </w:tcPr>
          <w:sdt>
            <w:sdtPr>
              <w:tag w:val="_PLD_bd8a9c944702423e9ff20ddba1c4b3aa"/>
              <w:id w:val="8278"/>
            </w:sdtPr>
            <w:sdtContent>
              <w:p>
                <w:pPr>
                  <w:jc w:val="center"/>
                </w:pPr>
                <w:r>
                  <w:rPr>
                    <w:rFonts w:hint="eastAsia"/>
                  </w:rPr>
                  <w:t>账面余额</w:t>
                </w:r>
              </w:p>
            </w:sdtContent>
          </w:sdt>
        </w:tc>
        <w:tc>
          <w:tcPr>
            <w:tcW w:w="1451" w:type="dxa"/>
            <w:vAlign w:val="center"/>
          </w:tcPr>
          <w:sdt>
            <w:sdtPr>
              <w:tag w:val="_PLD_708c7153bc9a48c792e109da0ba5f2f8"/>
              <w:id w:val="8279"/>
            </w:sdtPr>
            <w:sdtContent>
              <w:p>
                <w:pPr>
                  <w:jc w:val="center"/>
                </w:pPr>
                <w:r>
                  <w:rPr>
                    <w:rFonts w:hint="eastAsia"/>
                  </w:rPr>
                  <w:t>减值准备</w:t>
                </w:r>
              </w:p>
            </w:sdtContent>
          </w:sdt>
        </w:tc>
        <w:tc>
          <w:tcPr>
            <w:tcW w:w="1592" w:type="dxa"/>
            <w:vAlign w:val="center"/>
          </w:tcPr>
          <w:sdt>
            <w:sdtPr>
              <w:tag w:val="_PLD_1516e7000a9747a28074e3f321fa96a7"/>
              <w:id w:val="8280"/>
            </w:sdtPr>
            <w:sdtContent>
              <w:p>
                <w:pPr>
                  <w:jc w:val="center"/>
                </w:pPr>
                <w:r>
                  <w:rPr>
                    <w:rFonts w:hint="eastAsia"/>
                  </w:rPr>
                  <w:t>账面价值</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14" w:type="dxa"/>
            <w:vAlign w:val="center"/>
          </w:tcPr>
          <w:p>
            <w:r>
              <w:rPr>
                <w:rFonts w:hint="eastAsia"/>
              </w:rPr>
              <w:t>对子公司投资</w:t>
            </w:r>
          </w:p>
        </w:tc>
        <w:tc>
          <w:tcPr>
            <w:tcW w:w="3270" w:type="dxa"/>
            <w:vAlign w:val="center"/>
          </w:tcPr>
          <w:p>
            <w:pPr>
              <w:jc w:val="right"/>
            </w:pPr>
            <w:r>
              <w:rPr>
                <w:rFonts w:hint="eastAsia"/>
                <w:color w:val="auto"/>
              </w:rPr>
              <w:t>203,049,523.79</w:t>
            </w:r>
          </w:p>
        </w:tc>
        <w:tc>
          <w:tcPr>
            <w:tcW w:w="2008" w:type="dxa"/>
            <w:vAlign w:val="center"/>
          </w:tcPr>
          <w:p>
            <w:pPr>
              <w:jc w:val="right"/>
            </w:pPr>
            <w:r>
              <w:rPr>
                <w:rFonts w:hint="eastAsia"/>
                <w:color w:val="auto"/>
              </w:rPr>
              <w:t>40,155,106.20</w:t>
            </w:r>
          </w:p>
        </w:tc>
        <w:tc>
          <w:tcPr>
            <w:tcW w:w="1636" w:type="dxa"/>
            <w:vAlign w:val="center"/>
          </w:tcPr>
          <w:p>
            <w:pPr>
              <w:jc w:val="right"/>
            </w:pPr>
            <w:r>
              <w:rPr>
                <w:rFonts w:hint="eastAsia"/>
                <w:color w:val="auto"/>
              </w:rPr>
              <w:t>162,894,417.59</w:t>
            </w:r>
          </w:p>
        </w:tc>
        <w:tc>
          <w:tcPr>
            <w:tcW w:w="1724" w:type="dxa"/>
            <w:vAlign w:val="center"/>
          </w:tcPr>
          <w:p>
            <w:pPr>
              <w:jc w:val="right"/>
            </w:pPr>
            <w:r>
              <w:rPr>
                <w:rFonts w:hint="eastAsia"/>
                <w:color w:val="auto"/>
              </w:rPr>
              <w:t>201,049,523.79</w:t>
            </w:r>
          </w:p>
        </w:tc>
        <w:tc>
          <w:tcPr>
            <w:tcW w:w="1451" w:type="dxa"/>
            <w:vAlign w:val="center"/>
          </w:tcPr>
          <w:p>
            <w:pPr>
              <w:jc w:val="right"/>
            </w:pPr>
            <w:r>
              <w:rPr>
                <w:rFonts w:hint="eastAsia"/>
                <w:color w:val="auto"/>
              </w:rPr>
              <w:t>40,155,106.20</w:t>
            </w:r>
          </w:p>
        </w:tc>
        <w:tc>
          <w:tcPr>
            <w:tcW w:w="1592" w:type="dxa"/>
            <w:vAlign w:val="center"/>
          </w:tcPr>
          <w:p>
            <w:pPr>
              <w:jc w:val="right"/>
            </w:pPr>
            <w:r>
              <w:rPr>
                <w:rFonts w:hint="eastAsia"/>
                <w:color w:val="auto"/>
              </w:rPr>
              <w:t>160,894,417.59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14" w:type="dxa"/>
            <w:vAlign w:val="center"/>
          </w:tcPr>
          <w:p>
            <w:r>
              <w:rPr>
                <w:rFonts w:hint="eastAsia"/>
              </w:rPr>
              <w:t>对联营、合营企业投资</w:t>
            </w:r>
          </w:p>
        </w:tc>
        <w:tc>
          <w:tcPr>
            <w:tcW w:w="3270" w:type="dxa"/>
            <w:vAlign w:val="center"/>
          </w:tcPr>
          <w:p>
            <w:pPr>
              <w:jc w:val="right"/>
            </w:pPr>
            <w:r>
              <w:rPr>
                <w:rFonts w:hint="eastAsia"/>
                <w:color w:val="auto"/>
              </w:rPr>
              <w:t>7,770,671.63</w:t>
            </w:r>
          </w:p>
        </w:tc>
        <w:tc>
          <w:tcPr>
            <w:tcW w:w="2008" w:type="dxa"/>
            <w:vAlign w:val="center"/>
          </w:tcPr>
          <w:p>
            <w:pPr>
              <w:jc w:val="right"/>
            </w:pPr>
            <w:r>
              <w:rPr>
                <w:rFonts w:hint="eastAsia"/>
                <w:color w:val="auto"/>
              </w:rPr>
              <w:t>7,770,671.63</w:t>
            </w:r>
          </w:p>
        </w:tc>
        <w:tc>
          <w:tcPr>
            <w:tcW w:w="1636" w:type="dxa"/>
            <w:vAlign w:val="center"/>
          </w:tcPr>
          <w:p>
            <w:pPr>
              <w:jc w:val="right"/>
            </w:pPr>
            <w:r>
              <w:rPr>
                <w:rFonts w:hint="eastAsia"/>
                <w:color w:val="auto"/>
              </w:rPr>
              <w:t> </w:t>
            </w:r>
          </w:p>
        </w:tc>
        <w:tc>
          <w:tcPr>
            <w:tcW w:w="1724" w:type="dxa"/>
            <w:vAlign w:val="center"/>
          </w:tcPr>
          <w:p>
            <w:pPr>
              <w:jc w:val="right"/>
            </w:pPr>
            <w:r>
              <w:rPr>
                <w:rFonts w:hint="eastAsia"/>
                <w:color w:val="auto"/>
              </w:rPr>
              <w:t>7,770,671.63</w:t>
            </w:r>
          </w:p>
        </w:tc>
        <w:tc>
          <w:tcPr>
            <w:tcW w:w="1451" w:type="dxa"/>
            <w:vAlign w:val="center"/>
          </w:tcPr>
          <w:p>
            <w:pPr>
              <w:jc w:val="right"/>
            </w:pPr>
            <w:r>
              <w:rPr>
                <w:rFonts w:hint="eastAsia"/>
                <w:color w:val="auto"/>
              </w:rPr>
              <w:t>7,770,671.63</w:t>
            </w:r>
          </w:p>
        </w:tc>
        <w:tc>
          <w:tcPr>
            <w:tcW w:w="1592" w:type="dxa"/>
            <w:vAlign w:val="center"/>
          </w:tcPr>
          <w:p>
            <w:pPr>
              <w:jc w:val="right"/>
            </w:pPr>
            <w:r>
              <w:rPr>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14" w:type="dxa"/>
            <w:vAlign w:val="center"/>
          </w:tcPr>
          <w:p>
            <w:pPr>
              <w:jc w:val="center"/>
            </w:pPr>
            <w:r>
              <w:rPr>
                <w:rFonts w:hint="eastAsia"/>
              </w:rPr>
              <w:t>合计</w:t>
            </w:r>
          </w:p>
        </w:tc>
        <w:tc>
          <w:tcPr>
            <w:tcW w:w="3270" w:type="dxa"/>
            <w:vAlign w:val="center"/>
          </w:tcPr>
          <w:p>
            <w:pPr>
              <w:jc w:val="right"/>
            </w:pPr>
            <w:r>
              <w:rPr>
                <w:rFonts w:hint="eastAsia"/>
                <w:color w:val="auto"/>
              </w:rPr>
              <w:t>210,820,195.42</w:t>
            </w:r>
          </w:p>
        </w:tc>
        <w:tc>
          <w:tcPr>
            <w:tcW w:w="2008" w:type="dxa"/>
            <w:vAlign w:val="center"/>
          </w:tcPr>
          <w:p>
            <w:pPr>
              <w:jc w:val="right"/>
            </w:pPr>
            <w:r>
              <w:rPr>
                <w:rFonts w:hint="eastAsia"/>
                <w:color w:val="auto"/>
              </w:rPr>
              <w:t>47,925,777.83</w:t>
            </w:r>
          </w:p>
        </w:tc>
        <w:tc>
          <w:tcPr>
            <w:tcW w:w="1636" w:type="dxa"/>
            <w:vAlign w:val="center"/>
          </w:tcPr>
          <w:p>
            <w:pPr>
              <w:jc w:val="right"/>
            </w:pPr>
            <w:r>
              <w:rPr>
                <w:rFonts w:hint="eastAsia"/>
                <w:color w:val="auto"/>
              </w:rPr>
              <w:t>162,894,417.59</w:t>
            </w:r>
          </w:p>
        </w:tc>
        <w:tc>
          <w:tcPr>
            <w:tcW w:w="1724" w:type="dxa"/>
            <w:vAlign w:val="center"/>
          </w:tcPr>
          <w:p>
            <w:pPr>
              <w:jc w:val="right"/>
            </w:pPr>
            <w:r>
              <w:rPr>
                <w:rFonts w:hint="eastAsia"/>
                <w:color w:val="auto"/>
              </w:rPr>
              <w:t>208,820,195.42</w:t>
            </w:r>
          </w:p>
        </w:tc>
        <w:tc>
          <w:tcPr>
            <w:tcW w:w="1451" w:type="dxa"/>
            <w:vAlign w:val="center"/>
          </w:tcPr>
          <w:p>
            <w:pPr>
              <w:jc w:val="right"/>
            </w:pPr>
            <w:r>
              <w:rPr>
                <w:rFonts w:hint="eastAsia"/>
                <w:color w:val="auto"/>
              </w:rPr>
              <w:t>47,925,777.83</w:t>
            </w:r>
          </w:p>
        </w:tc>
        <w:tc>
          <w:tcPr>
            <w:tcW w:w="1592" w:type="dxa"/>
            <w:vAlign w:val="center"/>
          </w:tcPr>
          <w:p>
            <w:pPr>
              <w:jc w:val="right"/>
            </w:pPr>
            <w:r>
              <w:rPr>
                <w:rFonts w:hint="eastAsia"/>
                <w:color w:val="auto"/>
              </w:rPr>
              <w:t>160,894,417.59</w:t>
            </w:r>
          </w:p>
        </w:tc>
      </w:tr>
    </w:tbl>
    <w:p>
      <w:pPr>
        <w:rPr>
          <w:szCs w:val="21"/>
        </w:rPr>
      </w:pPr>
    </w:p>
    <w:p>
      <w:pPr>
        <w:pStyle w:val="5"/>
        <w:numPr>
          <w:ilvl w:val="0"/>
          <w:numId w:val="132"/>
        </w:numPr>
        <w:rPr>
          <w:rFonts w:hint="eastAsia"/>
        </w:rPr>
      </w:pPr>
      <w:bookmarkStart w:id="420" w:name="_Hlk183097113"/>
      <w:r>
        <w:rPr>
          <w:rFonts w:hint="eastAsia"/>
        </w:rPr>
        <w:t>对子公司投资</w:t>
      </w:r>
    </w:p>
    <w:sdt>
      <w:sdtPr>
        <w:alias w:val="是否适用：母公司对子公司投资[双击切换]"/>
        <w:tag w:val="_GBC_db6ca6099b0a42bca0cbba7ead69557f"/>
        <w:id w:val="8281"/>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母公司财务附注：对子公司投资"/>
          <w:tag w:val="_GBC_744810ff600d4176af7d45c0bf0b7978"/>
          <w:id w:val="828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母公司财务附注：对子公司投资"/>
          <w:tag w:val="_GBC_d2f8249dd813484db8850cd3e6e60609"/>
          <w:id w:val="828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7"/>
        <w:gridCol w:w="1571"/>
        <w:gridCol w:w="1953"/>
        <w:gridCol w:w="1396"/>
        <w:gridCol w:w="1102"/>
        <w:gridCol w:w="1167"/>
        <w:gridCol w:w="1342"/>
        <w:gridCol w:w="1632"/>
        <w:gridCol w:w="1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2017" w:type="dxa"/>
            <w:vMerge w:val="restart"/>
            <w:tcBorders>
              <w:top w:val="single" w:color="auto" w:sz="4" w:space="0"/>
              <w:left w:val="single" w:color="auto" w:sz="4" w:space="0"/>
              <w:right w:val="single" w:color="auto" w:sz="4" w:space="0"/>
            </w:tcBorders>
            <w:vAlign w:val="center"/>
          </w:tcPr>
          <w:sdt>
            <w:sdtPr>
              <w:tag w:val="_PLD_d6bd1b977853473e95bd45b9709f33ad"/>
              <w:id w:val="8284"/>
            </w:sdtPr>
            <w:sdtContent>
              <w:p>
                <w:pPr>
                  <w:jc w:val="center"/>
                </w:pPr>
                <w:r>
                  <w:rPr>
                    <w:rFonts w:hint="eastAsia"/>
                  </w:rPr>
                  <w:t>被投资单位</w:t>
                </w:r>
              </w:p>
            </w:sdtContent>
          </w:sdt>
        </w:tc>
        <w:tc>
          <w:tcPr>
            <w:tcW w:w="1571" w:type="dxa"/>
            <w:vMerge w:val="restart"/>
            <w:tcBorders>
              <w:top w:val="single" w:color="auto" w:sz="4" w:space="0"/>
              <w:left w:val="single" w:color="auto" w:sz="4" w:space="0"/>
              <w:right w:val="single" w:color="auto" w:sz="4" w:space="0"/>
            </w:tcBorders>
            <w:vAlign w:val="center"/>
          </w:tcPr>
          <w:sdt>
            <w:sdtPr>
              <w:tag w:val="_PLD_dfca273db8c94621ae808db0b8393c3e"/>
              <w:id w:val="8285"/>
            </w:sdtPr>
            <w:sdtContent>
              <w:p>
                <w:pPr>
                  <w:jc w:val="center"/>
                </w:pPr>
                <w:r>
                  <w:rPr>
                    <w:rFonts w:hint="eastAsia"/>
                  </w:rPr>
                  <w:t>期初余额（账面价值）</w:t>
                </w:r>
              </w:p>
            </w:sdtContent>
          </w:sdt>
        </w:tc>
        <w:tc>
          <w:tcPr>
            <w:tcW w:w="1953" w:type="dxa"/>
            <w:vMerge w:val="restart"/>
            <w:tcBorders>
              <w:top w:val="single" w:color="auto" w:sz="4" w:space="0"/>
              <w:left w:val="single" w:color="auto" w:sz="4" w:space="0"/>
              <w:right w:val="single" w:color="auto" w:sz="4" w:space="0"/>
            </w:tcBorders>
            <w:vAlign w:val="center"/>
          </w:tcPr>
          <w:sdt>
            <w:sdtPr>
              <w:tag w:val="_PLD_207fa0db16cd408da51641aebf065076"/>
              <w:id w:val="8286"/>
            </w:sdtPr>
            <w:sdtContent>
              <w:p>
                <w:pPr>
                  <w:jc w:val="center"/>
                </w:pPr>
                <w:r>
                  <w:rPr>
                    <w:rFonts w:hint="eastAsia"/>
                  </w:rPr>
                  <w:t>减值准备期初余额</w:t>
                </w:r>
              </w:p>
            </w:sdtContent>
          </w:sdt>
        </w:tc>
        <w:tc>
          <w:tcPr>
            <w:tcW w:w="5007" w:type="dxa"/>
            <w:gridSpan w:val="4"/>
            <w:tcBorders>
              <w:top w:val="single" w:color="auto" w:sz="4" w:space="0"/>
              <w:left w:val="single" w:color="auto" w:sz="4" w:space="0"/>
              <w:bottom w:val="single" w:color="auto" w:sz="4" w:space="0"/>
              <w:right w:val="single" w:color="auto" w:sz="4" w:space="0"/>
            </w:tcBorders>
            <w:vAlign w:val="center"/>
          </w:tcPr>
          <w:sdt>
            <w:sdtPr>
              <w:tag w:val="_PLD_102d3532a197425b9668f17eda325ed9"/>
              <w:id w:val="8287"/>
            </w:sdtPr>
            <w:sdtContent>
              <w:p>
                <w:pPr>
                  <w:jc w:val="center"/>
                </w:pPr>
                <w:r>
                  <w:rPr>
                    <w:rFonts w:hint="eastAsia"/>
                  </w:rPr>
                  <w:t>本期增减变动</w:t>
                </w:r>
              </w:p>
            </w:sdtContent>
          </w:sdt>
        </w:tc>
        <w:tc>
          <w:tcPr>
            <w:tcW w:w="1632" w:type="dxa"/>
            <w:vMerge w:val="restart"/>
            <w:tcBorders>
              <w:top w:val="single" w:color="auto" w:sz="4" w:space="0"/>
              <w:left w:val="single" w:color="auto" w:sz="4" w:space="0"/>
              <w:right w:val="single" w:color="auto" w:sz="4" w:space="0"/>
            </w:tcBorders>
            <w:vAlign w:val="center"/>
          </w:tcPr>
          <w:sdt>
            <w:sdtPr>
              <w:tag w:val="_PLD_2554c67582634570800484fc9e2a0422"/>
              <w:id w:val="8288"/>
            </w:sdtPr>
            <w:sdtContent>
              <w:p>
                <w:pPr>
                  <w:jc w:val="center"/>
                  <w:rPr>
                    <w:szCs w:val="21"/>
                  </w:rPr>
                </w:pPr>
                <w:r>
                  <w:rPr>
                    <w:rFonts w:hint="eastAsia"/>
                    <w:szCs w:val="21"/>
                  </w:rPr>
                  <w:t>期末余额（账面价值）</w:t>
                </w:r>
              </w:p>
            </w:sdtContent>
          </w:sdt>
        </w:tc>
        <w:tc>
          <w:tcPr>
            <w:tcW w:w="1783" w:type="dxa"/>
            <w:vMerge w:val="restart"/>
            <w:tcBorders>
              <w:top w:val="single" w:color="auto" w:sz="4" w:space="0"/>
              <w:left w:val="single" w:color="auto" w:sz="4" w:space="0"/>
              <w:right w:val="single" w:color="auto" w:sz="4" w:space="0"/>
            </w:tcBorders>
            <w:vAlign w:val="center"/>
          </w:tcPr>
          <w:sdt>
            <w:sdtPr>
              <w:tag w:val="_PLD_506ae787a0d747fd8b850b3b13cc1e28"/>
              <w:id w:val="8289"/>
            </w:sdtPr>
            <w:sdtContent>
              <w:p>
                <w:pPr>
                  <w:jc w:val="center"/>
                </w:pPr>
                <w:r>
                  <w:rPr>
                    <w:rFonts w:hint="eastAsia"/>
                  </w:rPr>
                  <w:t>减值准备期末余额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2017" w:type="dxa"/>
            <w:vMerge w:val="continue"/>
            <w:tcBorders>
              <w:left w:val="single" w:color="auto" w:sz="4" w:space="0"/>
              <w:bottom w:val="single" w:color="auto" w:sz="4" w:space="0"/>
              <w:right w:val="single" w:color="auto" w:sz="4" w:space="0"/>
            </w:tcBorders>
            <w:vAlign w:val="center"/>
          </w:tcPr>
          <w:p>
            <w:pPr>
              <w:jc w:val="center"/>
            </w:pPr>
          </w:p>
        </w:tc>
        <w:tc>
          <w:tcPr>
            <w:tcW w:w="1571" w:type="dxa"/>
            <w:vMerge w:val="continue"/>
            <w:tcBorders>
              <w:left w:val="single" w:color="auto" w:sz="4" w:space="0"/>
              <w:bottom w:val="single" w:color="auto" w:sz="4" w:space="0"/>
              <w:right w:val="single" w:color="auto" w:sz="4" w:space="0"/>
            </w:tcBorders>
            <w:vAlign w:val="center"/>
          </w:tcPr>
          <w:p>
            <w:pPr>
              <w:jc w:val="center"/>
            </w:pPr>
          </w:p>
        </w:tc>
        <w:tc>
          <w:tcPr>
            <w:tcW w:w="1953" w:type="dxa"/>
            <w:vMerge w:val="continue"/>
            <w:tcBorders>
              <w:left w:val="single" w:color="auto" w:sz="4" w:space="0"/>
              <w:bottom w:val="single" w:color="auto" w:sz="4" w:space="0"/>
              <w:right w:val="single" w:color="auto" w:sz="4" w:space="0"/>
            </w:tcBorders>
            <w:vAlign w:val="center"/>
          </w:tcPr>
          <w:p>
            <w:pPr>
              <w:jc w:val="center"/>
            </w:pPr>
          </w:p>
        </w:tc>
        <w:tc>
          <w:tcPr>
            <w:tcW w:w="1396" w:type="dxa"/>
            <w:tcBorders>
              <w:top w:val="single" w:color="auto" w:sz="4" w:space="0"/>
              <w:left w:val="single" w:color="auto" w:sz="4" w:space="0"/>
              <w:bottom w:val="single" w:color="auto" w:sz="4" w:space="0"/>
              <w:right w:val="single" w:color="auto" w:sz="4" w:space="0"/>
            </w:tcBorders>
            <w:vAlign w:val="center"/>
          </w:tcPr>
          <w:sdt>
            <w:sdtPr>
              <w:tag w:val="_PLD_82e1276ea16049878dd86dc7f97ce1b8"/>
              <w:id w:val="8290"/>
            </w:sdtPr>
            <w:sdtContent>
              <w:p>
                <w:pPr>
                  <w:jc w:val="center"/>
                </w:pPr>
                <w:r>
                  <w:rPr>
                    <w:rFonts w:hint="eastAsia"/>
                  </w:rPr>
                  <w:t>追加投资</w:t>
                </w:r>
              </w:p>
            </w:sdtContent>
          </w:sdt>
        </w:tc>
        <w:tc>
          <w:tcPr>
            <w:tcW w:w="1102" w:type="dxa"/>
            <w:tcBorders>
              <w:left w:val="single" w:color="auto" w:sz="4" w:space="0"/>
              <w:bottom w:val="single" w:color="auto" w:sz="4" w:space="0"/>
              <w:right w:val="single" w:color="auto" w:sz="4" w:space="0"/>
            </w:tcBorders>
            <w:vAlign w:val="center"/>
          </w:tcPr>
          <w:sdt>
            <w:sdtPr>
              <w:tag w:val="_PLD_38bb9dba87bb42bfaf6b04b85c4cc3d4"/>
              <w:id w:val="8291"/>
            </w:sdtPr>
            <w:sdtContent>
              <w:p>
                <w:pPr>
                  <w:jc w:val="center"/>
                </w:pPr>
                <w:r>
                  <w:rPr>
                    <w:rFonts w:hint="eastAsia"/>
                  </w:rPr>
                  <w:t>减少投资</w:t>
                </w:r>
              </w:p>
            </w:sdtContent>
          </w:sdt>
        </w:tc>
        <w:tc>
          <w:tcPr>
            <w:tcW w:w="1167" w:type="dxa"/>
            <w:tcBorders>
              <w:left w:val="single" w:color="auto" w:sz="4" w:space="0"/>
              <w:bottom w:val="single" w:color="auto" w:sz="4" w:space="0"/>
              <w:right w:val="single" w:color="auto" w:sz="4" w:space="0"/>
            </w:tcBorders>
            <w:vAlign w:val="center"/>
          </w:tcPr>
          <w:sdt>
            <w:sdtPr>
              <w:tag w:val="_PLD_c8ba4c1973d24083b160e5d4377dba54"/>
              <w:id w:val="8292"/>
            </w:sdtPr>
            <w:sdtContent>
              <w:p>
                <w:pPr>
                  <w:jc w:val="center"/>
                </w:pPr>
                <w:r>
                  <w:rPr>
                    <w:rFonts w:hint="eastAsia"/>
                  </w:rPr>
                  <w:t>计提减值准备</w:t>
                </w:r>
              </w:p>
            </w:sdtContent>
          </w:sdt>
        </w:tc>
        <w:tc>
          <w:tcPr>
            <w:tcW w:w="1342" w:type="dxa"/>
            <w:tcBorders>
              <w:left w:val="single" w:color="auto" w:sz="4" w:space="0"/>
              <w:bottom w:val="single" w:color="auto" w:sz="4" w:space="0"/>
              <w:right w:val="single" w:color="auto" w:sz="4" w:space="0"/>
            </w:tcBorders>
            <w:vAlign w:val="center"/>
          </w:tcPr>
          <w:sdt>
            <w:sdtPr>
              <w:tag w:val="_PLD_1fc11db026f7483585537cdf471d9062"/>
              <w:id w:val="8293"/>
            </w:sdtPr>
            <w:sdtContent>
              <w:p>
                <w:pPr>
                  <w:jc w:val="center"/>
                </w:pPr>
                <w:r>
                  <w:rPr>
                    <w:rFonts w:hint="eastAsia"/>
                  </w:rPr>
                  <w:t>其他</w:t>
                </w:r>
              </w:p>
            </w:sdtContent>
          </w:sdt>
        </w:tc>
        <w:tc>
          <w:tcPr>
            <w:tcW w:w="1632" w:type="dxa"/>
            <w:vMerge w:val="continue"/>
            <w:tcBorders>
              <w:left w:val="single" w:color="auto" w:sz="4" w:space="0"/>
              <w:bottom w:val="single" w:color="auto" w:sz="4" w:space="0"/>
              <w:right w:val="single" w:color="auto" w:sz="4" w:space="0"/>
            </w:tcBorders>
            <w:vAlign w:val="center"/>
          </w:tcPr>
          <w:p>
            <w:pPr>
              <w:jc w:val="center"/>
            </w:pPr>
          </w:p>
        </w:tc>
        <w:tc>
          <w:tcPr>
            <w:tcW w:w="1783" w:type="dxa"/>
            <w:vMerge w:val="continue"/>
            <w:tcBorders>
              <w:left w:val="single" w:color="auto" w:sz="4" w:space="0"/>
              <w:bottom w:val="single" w:color="auto" w:sz="4" w:space="0"/>
              <w:right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dxa"/>
            <w:tcBorders>
              <w:top w:val="single" w:color="auto" w:sz="4" w:space="0"/>
              <w:left w:val="single" w:color="auto" w:sz="4" w:space="0"/>
              <w:bottom w:val="single" w:color="auto" w:sz="4" w:space="0"/>
              <w:right w:val="single" w:color="auto" w:sz="4" w:space="0"/>
            </w:tcBorders>
            <w:vAlign w:val="center"/>
          </w:tcPr>
          <w:p>
            <w:r>
              <w:rPr>
                <w:rStyle w:val="71"/>
                <w:rFonts w:hint="eastAsia"/>
                <w:color w:val="auto"/>
              </w:rPr>
              <w:t>柳州惠好卫生用品有限公司</w:t>
            </w:r>
          </w:p>
        </w:tc>
        <w:tc>
          <w:tcPr>
            <w:tcW w:w="1571" w:type="dxa"/>
            <w:tcBorders>
              <w:top w:val="single" w:color="auto" w:sz="4" w:space="0"/>
              <w:left w:val="single" w:color="auto" w:sz="4" w:space="0"/>
              <w:bottom w:val="single" w:color="auto" w:sz="4" w:space="0"/>
              <w:right w:val="single" w:color="auto" w:sz="4" w:space="0"/>
            </w:tcBorders>
            <w:vAlign w:val="center"/>
          </w:tcPr>
          <w:p>
            <w:pPr>
              <w:jc w:val="right"/>
            </w:pPr>
          </w:p>
        </w:tc>
        <w:tc>
          <w:tcPr>
            <w:tcW w:w="1953"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13,105,106.20</w:t>
            </w:r>
          </w:p>
        </w:tc>
        <w:tc>
          <w:tcPr>
            <w:tcW w:w="1396"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 </w:t>
            </w:r>
          </w:p>
        </w:tc>
        <w:tc>
          <w:tcPr>
            <w:tcW w:w="1102" w:type="dxa"/>
            <w:tcBorders>
              <w:top w:val="single" w:color="auto" w:sz="4" w:space="0"/>
              <w:left w:val="single" w:color="auto" w:sz="4" w:space="0"/>
              <w:bottom w:val="single" w:color="auto" w:sz="4" w:space="0"/>
              <w:right w:val="single" w:color="auto" w:sz="4" w:space="0"/>
            </w:tcBorders>
            <w:vAlign w:val="center"/>
          </w:tcPr>
          <w:p>
            <w:pPr>
              <w:jc w:val="right"/>
            </w:pPr>
          </w:p>
        </w:tc>
        <w:tc>
          <w:tcPr>
            <w:tcW w:w="1167" w:type="dxa"/>
            <w:tcBorders>
              <w:top w:val="single" w:color="auto" w:sz="4" w:space="0"/>
              <w:left w:val="single" w:color="auto" w:sz="4" w:space="0"/>
              <w:bottom w:val="single" w:color="auto" w:sz="4" w:space="0"/>
              <w:right w:val="single" w:color="auto" w:sz="4" w:space="0"/>
            </w:tcBorders>
            <w:vAlign w:val="center"/>
          </w:tcPr>
          <w:p>
            <w:pPr>
              <w:jc w:val="right"/>
            </w:pPr>
          </w:p>
        </w:tc>
        <w:tc>
          <w:tcPr>
            <w:tcW w:w="1342" w:type="dxa"/>
            <w:tcBorders>
              <w:top w:val="single" w:color="auto" w:sz="4" w:space="0"/>
              <w:left w:val="single" w:color="auto" w:sz="4" w:space="0"/>
              <w:bottom w:val="single" w:color="auto" w:sz="4" w:space="0"/>
              <w:right w:val="single" w:color="auto" w:sz="4" w:space="0"/>
            </w:tcBorders>
            <w:vAlign w:val="center"/>
          </w:tcPr>
          <w:p>
            <w:pPr>
              <w:jc w:val="right"/>
            </w:pPr>
          </w:p>
        </w:tc>
        <w:tc>
          <w:tcPr>
            <w:tcW w:w="1632" w:type="dxa"/>
            <w:tcBorders>
              <w:top w:val="single" w:color="auto" w:sz="4" w:space="0"/>
              <w:left w:val="single" w:color="auto" w:sz="4" w:space="0"/>
              <w:bottom w:val="single" w:color="auto" w:sz="4" w:space="0"/>
              <w:right w:val="single" w:color="auto" w:sz="4" w:space="0"/>
            </w:tcBorders>
            <w:vAlign w:val="center"/>
          </w:tcPr>
          <w:p>
            <w:pPr>
              <w:jc w:val="right"/>
            </w:pPr>
          </w:p>
        </w:tc>
        <w:tc>
          <w:tcPr>
            <w:tcW w:w="1783"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13,105,106.20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2017" w:type="dxa"/>
            <w:tcBorders>
              <w:top w:val="single" w:color="auto" w:sz="4" w:space="0"/>
              <w:left w:val="single" w:color="auto" w:sz="4" w:space="0"/>
              <w:bottom w:val="single" w:color="auto" w:sz="4" w:space="0"/>
              <w:right w:val="single" w:color="auto" w:sz="4" w:space="0"/>
            </w:tcBorders>
            <w:vAlign w:val="center"/>
          </w:tcPr>
          <w:p>
            <w:r>
              <w:rPr>
                <w:rStyle w:val="71"/>
                <w:rFonts w:hint="eastAsia"/>
                <w:color w:val="auto"/>
              </w:rPr>
              <w:t>柳州两面针进出口贸易有限公司</w:t>
            </w:r>
          </w:p>
        </w:tc>
        <w:tc>
          <w:tcPr>
            <w:tcW w:w="1571" w:type="dxa"/>
            <w:tcBorders>
              <w:top w:val="single" w:color="auto" w:sz="4" w:space="0"/>
              <w:left w:val="single" w:color="auto" w:sz="4" w:space="0"/>
              <w:bottom w:val="single" w:color="auto" w:sz="4" w:space="0"/>
              <w:right w:val="single" w:color="auto" w:sz="4" w:space="0"/>
            </w:tcBorders>
            <w:vAlign w:val="center"/>
          </w:tcPr>
          <w:p>
            <w:pPr>
              <w:jc w:val="right"/>
            </w:pPr>
          </w:p>
        </w:tc>
        <w:tc>
          <w:tcPr>
            <w:tcW w:w="1953"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2,550,000.00</w:t>
            </w:r>
          </w:p>
        </w:tc>
        <w:tc>
          <w:tcPr>
            <w:tcW w:w="1396"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 </w:t>
            </w:r>
          </w:p>
        </w:tc>
        <w:tc>
          <w:tcPr>
            <w:tcW w:w="1102" w:type="dxa"/>
            <w:tcBorders>
              <w:top w:val="single" w:color="auto" w:sz="4" w:space="0"/>
              <w:left w:val="single" w:color="auto" w:sz="4" w:space="0"/>
              <w:bottom w:val="single" w:color="auto" w:sz="4" w:space="0"/>
              <w:right w:val="single" w:color="auto" w:sz="4" w:space="0"/>
            </w:tcBorders>
            <w:vAlign w:val="center"/>
          </w:tcPr>
          <w:p>
            <w:pPr>
              <w:jc w:val="right"/>
            </w:pPr>
          </w:p>
        </w:tc>
        <w:tc>
          <w:tcPr>
            <w:tcW w:w="1167" w:type="dxa"/>
            <w:tcBorders>
              <w:top w:val="single" w:color="auto" w:sz="4" w:space="0"/>
              <w:left w:val="single" w:color="auto" w:sz="4" w:space="0"/>
              <w:bottom w:val="single" w:color="auto" w:sz="4" w:space="0"/>
              <w:right w:val="single" w:color="auto" w:sz="4" w:space="0"/>
            </w:tcBorders>
            <w:vAlign w:val="center"/>
          </w:tcPr>
          <w:p>
            <w:pPr>
              <w:jc w:val="right"/>
            </w:pPr>
          </w:p>
        </w:tc>
        <w:tc>
          <w:tcPr>
            <w:tcW w:w="1342" w:type="dxa"/>
            <w:tcBorders>
              <w:top w:val="single" w:color="auto" w:sz="4" w:space="0"/>
              <w:left w:val="single" w:color="auto" w:sz="4" w:space="0"/>
              <w:bottom w:val="single" w:color="auto" w:sz="4" w:space="0"/>
              <w:right w:val="single" w:color="auto" w:sz="4" w:space="0"/>
            </w:tcBorders>
            <w:vAlign w:val="center"/>
          </w:tcPr>
          <w:p>
            <w:pPr>
              <w:jc w:val="right"/>
            </w:pPr>
          </w:p>
        </w:tc>
        <w:tc>
          <w:tcPr>
            <w:tcW w:w="1632" w:type="dxa"/>
            <w:tcBorders>
              <w:top w:val="single" w:color="auto" w:sz="4" w:space="0"/>
              <w:left w:val="single" w:color="auto" w:sz="4" w:space="0"/>
              <w:bottom w:val="single" w:color="auto" w:sz="4" w:space="0"/>
              <w:right w:val="single" w:color="auto" w:sz="4" w:space="0"/>
            </w:tcBorders>
            <w:vAlign w:val="center"/>
          </w:tcPr>
          <w:p>
            <w:pPr>
              <w:jc w:val="right"/>
            </w:pPr>
          </w:p>
        </w:tc>
        <w:tc>
          <w:tcPr>
            <w:tcW w:w="1783"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2,550,000.00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dxa"/>
            <w:tcBorders>
              <w:top w:val="single" w:color="auto" w:sz="4" w:space="0"/>
              <w:left w:val="single" w:color="auto" w:sz="4" w:space="0"/>
              <w:bottom w:val="single" w:color="auto" w:sz="4" w:space="0"/>
              <w:right w:val="single" w:color="auto" w:sz="4" w:space="0"/>
            </w:tcBorders>
            <w:vAlign w:val="center"/>
          </w:tcPr>
          <w:p>
            <w:r>
              <w:rPr>
                <w:rStyle w:val="71"/>
                <w:rFonts w:hint="eastAsia"/>
                <w:color w:val="auto"/>
              </w:rPr>
              <w:t>广西两面针亿康药业股份有限公司</w:t>
            </w:r>
          </w:p>
        </w:tc>
        <w:tc>
          <w:tcPr>
            <w:tcW w:w="1571"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87,621,417.59</w:t>
            </w:r>
          </w:p>
        </w:tc>
        <w:tc>
          <w:tcPr>
            <w:tcW w:w="1953"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 </w:t>
            </w:r>
          </w:p>
        </w:tc>
        <w:tc>
          <w:tcPr>
            <w:tcW w:w="1396"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 </w:t>
            </w:r>
          </w:p>
        </w:tc>
        <w:tc>
          <w:tcPr>
            <w:tcW w:w="1102" w:type="dxa"/>
            <w:tcBorders>
              <w:top w:val="single" w:color="auto" w:sz="4" w:space="0"/>
              <w:left w:val="single" w:color="auto" w:sz="4" w:space="0"/>
              <w:bottom w:val="single" w:color="auto" w:sz="4" w:space="0"/>
              <w:right w:val="single" w:color="auto" w:sz="4" w:space="0"/>
            </w:tcBorders>
            <w:vAlign w:val="center"/>
          </w:tcPr>
          <w:p>
            <w:pPr>
              <w:jc w:val="right"/>
            </w:pPr>
          </w:p>
        </w:tc>
        <w:tc>
          <w:tcPr>
            <w:tcW w:w="1167" w:type="dxa"/>
            <w:tcBorders>
              <w:top w:val="single" w:color="auto" w:sz="4" w:space="0"/>
              <w:left w:val="single" w:color="auto" w:sz="4" w:space="0"/>
              <w:bottom w:val="single" w:color="auto" w:sz="4" w:space="0"/>
              <w:right w:val="single" w:color="auto" w:sz="4" w:space="0"/>
            </w:tcBorders>
            <w:vAlign w:val="center"/>
          </w:tcPr>
          <w:p>
            <w:pPr>
              <w:jc w:val="right"/>
            </w:pPr>
          </w:p>
        </w:tc>
        <w:tc>
          <w:tcPr>
            <w:tcW w:w="1342" w:type="dxa"/>
            <w:tcBorders>
              <w:top w:val="single" w:color="auto" w:sz="4" w:space="0"/>
              <w:left w:val="single" w:color="auto" w:sz="4" w:space="0"/>
              <w:bottom w:val="single" w:color="auto" w:sz="4" w:space="0"/>
              <w:right w:val="single" w:color="auto" w:sz="4" w:space="0"/>
            </w:tcBorders>
            <w:vAlign w:val="center"/>
          </w:tcPr>
          <w:p>
            <w:pPr>
              <w:jc w:val="right"/>
            </w:pPr>
          </w:p>
        </w:tc>
        <w:tc>
          <w:tcPr>
            <w:tcW w:w="1632"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87,621,417.59</w:t>
            </w:r>
          </w:p>
        </w:tc>
        <w:tc>
          <w:tcPr>
            <w:tcW w:w="1783"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dxa"/>
            <w:tcBorders>
              <w:top w:val="single" w:color="auto" w:sz="4" w:space="0"/>
              <w:left w:val="single" w:color="auto" w:sz="4" w:space="0"/>
              <w:bottom w:val="single" w:color="auto" w:sz="4" w:space="0"/>
              <w:right w:val="single" w:color="auto" w:sz="4" w:space="0"/>
            </w:tcBorders>
            <w:vAlign w:val="center"/>
          </w:tcPr>
          <w:p>
            <w:r>
              <w:rPr>
                <w:rStyle w:val="71"/>
                <w:rFonts w:hint="eastAsia"/>
                <w:color w:val="auto"/>
              </w:rPr>
              <w:t>安徽两面针•芳草日化有限公司</w:t>
            </w:r>
          </w:p>
        </w:tc>
        <w:tc>
          <w:tcPr>
            <w:tcW w:w="1571" w:type="dxa"/>
            <w:tcBorders>
              <w:top w:val="single" w:color="auto" w:sz="4" w:space="0"/>
              <w:left w:val="single" w:color="auto" w:sz="4" w:space="0"/>
              <w:bottom w:val="single" w:color="auto" w:sz="4" w:space="0"/>
              <w:right w:val="single" w:color="auto" w:sz="4" w:space="0"/>
            </w:tcBorders>
            <w:vAlign w:val="center"/>
          </w:tcPr>
          <w:p>
            <w:pPr>
              <w:jc w:val="right"/>
            </w:pPr>
          </w:p>
        </w:tc>
        <w:tc>
          <w:tcPr>
            <w:tcW w:w="1953"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24,500,000.00</w:t>
            </w:r>
          </w:p>
        </w:tc>
        <w:tc>
          <w:tcPr>
            <w:tcW w:w="1396"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 </w:t>
            </w:r>
          </w:p>
        </w:tc>
        <w:tc>
          <w:tcPr>
            <w:tcW w:w="1102" w:type="dxa"/>
            <w:tcBorders>
              <w:top w:val="single" w:color="auto" w:sz="4" w:space="0"/>
              <w:left w:val="single" w:color="auto" w:sz="4" w:space="0"/>
              <w:bottom w:val="single" w:color="auto" w:sz="4" w:space="0"/>
              <w:right w:val="single" w:color="auto" w:sz="4" w:space="0"/>
            </w:tcBorders>
            <w:vAlign w:val="center"/>
          </w:tcPr>
          <w:p>
            <w:pPr>
              <w:jc w:val="right"/>
            </w:pPr>
          </w:p>
        </w:tc>
        <w:tc>
          <w:tcPr>
            <w:tcW w:w="1167" w:type="dxa"/>
            <w:tcBorders>
              <w:top w:val="single" w:color="auto" w:sz="4" w:space="0"/>
              <w:left w:val="single" w:color="auto" w:sz="4" w:space="0"/>
              <w:bottom w:val="single" w:color="auto" w:sz="4" w:space="0"/>
              <w:right w:val="single" w:color="auto" w:sz="4" w:space="0"/>
            </w:tcBorders>
            <w:vAlign w:val="center"/>
          </w:tcPr>
          <w:p>
            <w:pPr>
              <w:jc w:val="right"/>
            </w:pPr>
          </w:p>
        </w:tc>
        <w:tc>
          <w:tcPr>
            <w:tcW w:w="1342" w:type="dxa"/>
            <w:tcBorders>
              <w:top w:val="single" w:color="auto" w:sz="4" w:space="0"/>
              <w:left w:val="single" w:color="auto" w:sz="4" w:space="0"/>
              <w:bottom w:val="single" w:color="auto" w:sz="4" w:space="0"/>
              <w:right w:val="single" w:color="auto" w:sz="4" w:space="0"/>
            </w:tcBorders>
            <w:vAlign w:val="center"/>
          </w:tcPr>
          <w:p>
            <w:pPr>
              <w:jc w:val="right"/>
            </w:pPr>
          </w:p>
        </w:tc>
        <w:tc>
          <w:tcPr>
            <w:tcW w:w="1632" w:type="dxa"/>
            <w:tcBorders>
              <w:top w:val="single" w:color="auto" w:sz="4" w:space="0"/>
              <w:left w:val="single" w:color="auto" w:sz="4" w:space="0"/>
              <w:bottom w:val="single" w:color="auto" w:sz="4" w:space="0"/>
              <w:right w:val="single" w:color="auto" w:sz="4" w:space="0"/>
            </w:tcBorders>
            <w:vAlign w:val="center"/>
          </w:tcPr>
          <w:p>
            <w:pPr>
              <w:jc w:val="right"/>
            </w:pPr>
          </w:p>
        </w:tc>
        <w:tc>
          <w:tcPr>
            <w:tcW w:w="1783"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24,500,000.00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dxa"/>
            <w:tcBorders>
              <w:top w:val="single" w:color="auto" w:sz="4" w:space="0"/>
              <w:left w:val="single" w:color="auto" w:sz="4" w:space="0"/>
              <w:bottom w:val="single" w:color="auto" w:sz="4" w:space="0"/>
              <w:right w:val="single" w:color="auto" w:sz="4" w:space="0"/>
            </w:tcBorders>
            <w:vAlign w:val="center"/>
          </w:tcPr>
          <w:p>
            <w:r>
              <w:rPr>
                <w:rStyle w:val="71"/>
                <w:rFonts w:hint="eastAsia"/>
                <w:color w:val="auto"/>
              </w:rPr>
              <w:t>两面针(江苏)实业有限公司</w:t>
            </w:r>
          </w:p>
        </w:tc>
        <w:tc>
          <w:tcPr>
            <w:tcW w:w="1571"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73,273,000.00</w:t>
            </w:r>
          </w:p>
        </w:tc>
        <w:tc>
          <w:tcPr>
            <w:tcW w:w="1953"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 </w:t>
            </w:r>
          </w:p>
        </w:tc>
        <w:tc>
          <w:tcPr>
            <w:tcW w:w="1396"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 </w:t>
            </w:r>
          </w:p>
        </w:tc>
        <w:tc>
          <w:tcPr>
            <w:tcW w:w="1102" w:type="dxa"/>
            <w:tcBorders>
              <w:top w:val="single" w:color="auto" w:sz="4" w:space="0"/>
              <w:left w:val="single" w:color="auto" w:sz="4" w:space="0"/>
              <w:bottom w:val="single" w:color="auto" w:sz="4" w:space="0"/>
              <w:right w:val="single" w:color="auto" w:sz="4" w:space="0"/>
            </w:tcBorders>
            <w:vAlign w:val="center"/>
          </w:tcPr>
          <w:p>
            <w:pPr>
              <w:jc w:val="right"/>
            </w:pPr>
          </w:p>
        </w:tc>
        <w:tc>
          <w:tcPr>
            <w:tcW w:w="1167" w:type="dxa"/>
            <w:tcBorders>
              <w:top w:val="single" w:color="auto" w:sz="4" w:space="0"/>
              <w:left w:val="single" w:color="auto" w:sz="4" w:space="0"/>
              <w:bottom w:val="single" w:color="auto" w:sz="4" w:space="0"/>
              <w:right w:val="single" w:color="auto" w:sz="4" w:space="0"/>
            </w:tcBorders>
            <w:vAlign w:val="center"/>
          </w:tcPr>
          <w:p>
            <w:pPr>
              <w:jc w:val="right"/>
            </w:pPr>
          </w:p>
        </w:tc>
        <w:tc>
          <w:tcPr>
            <w:tcW w:w="1342" w:type="dxa"/>
            <w:tcBorders>
              <w:top w:val="single" w:color="auto" w:sz="4" w:space="0"/>
              <w:left w:val="single" w:color="auto" w:sz="4" w:space="0"/>
              <w:bottom w:val="single" w:color="auto" w:sz="4" w:space="0"/>
              <w:right w:val="single" w:color="auto" w:sz="4" w:space="0"/>
            </w:tcBorders>
            <w:vAlign w:val="center"/>
          </w:tcPr>
          <w:p>
            <w:pPr>
              <w:jc w:val="right"/>
            </w:pPr>
          </w:p>
        </w:tc>
        <w:tc>
          <w:tcPr>
            <w:tcW w:w="1632"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73,273,000.00</w:t>
            </w:r>
          </w:p>
        </w:tc>
        <w:tc>
          <w:tcPr>
            <w:tcW w:w="1783"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dxa"/>
            <w:tcBorders>
              <w:top w:val="single" w:color="auto" w:sz="4" w:space="0"/>
              <w:left w:val="single" w:color="auto" w:sz="4" w:space="0"/>
              <w:bottom w:val="single" w:color="auto" w:sz="4" w:space="0"/>
              <w:right w:val="single" w:color="auto" w:sz="4" w:space="0"/>
            </w:tcBorders>
            <w:vAlign w:val="center"/>
          </w:tcPr>
          <w:p>
            <w:r>
              <w:rPr>
                <w:rStyle w:val="71"/>
                <w:rFonts w:hint="eastAsia"/>
                <w:color w:val="auto"/>
              </w:rPr>
              <w:t>柳州两面针供应链有限公司</w:t>
            </w:r>
          </w:p>
        </w:tc>
        <w:tc>
          <w:tcPr>
            <w:tcW w:w="1571"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 </w:t>
            </w:r>
          </w:p>
        </w:tc>
        <w:tc>
          <w:tcPr>
            <w:tcW w:w="1953" w:type="dxa"/>
            <w:tcBorders>
              <w:top w:val="single" w:color="auto" w:sz="4" w:space="0"/>
              <w:left w:val="single" w:color="auto" w:sz="4" w:space="0"/>
              <w:bottom w:val="single" w:color="auto" w:sz="4" w:space="0"/>
              <w:right w:val="single" w:color="auto" w:sz="4" w:space="0"/>
            </w:tcBorders>
            <w:vAlign w:val="center"/>
          </w:tcPr>
          <w:p>
            <w:pPr>
              <w:jc w:val="right"/>
            </w:pPr>
          </w:p>
        </w:tc>
        <w:tc>
          <w:tcPr>
            <w:tcW w:w="1396"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2,000,000.00</w:t>
            </w:r>
          </w:p>
        </w:tc>
        <w:tc>
          <w:tcPr>
            <w:tcW w:w="1102" w:type="dxa"/>
            <w:tcBorders>
              <w:top w:val="single" w:color="auto" w:sz="4" w:space="0"/>
              <w:left w:val="single" w:color="auto" w:sz="4" w:space="0"/>
              <w:bottom w:val="single" w:color="auto" w:sz="4" w:space="0"/>
              <w:right w:val="single" w:color="auto" w:sz="4" w:space="0"/>
            </w:tcBorders>
            <w:vAlign w:val="center"/>
          </w:tcPr>
          <w:p>
            <w:pPr>
              <w:jc w:val="right"/>
            </w:pPr>
          </w:p>
        </w:tc>
        <w:tc>
          <w:tcPr>
            <w:tcW w:w="1167" w:type="dxa"/>
            <w:tcBorders>
              <w:top w:val="single" w:color="auto" w:sz="4" w:space="0"/>
              <w:left w:val="single" w:color="auto" w:sz="4" w:space="0"/>
              <w:bottom w:val="single" w:color="auto" w:sz="4" w:space="0"/>
              <w:right w:val="single" w:color="auto" w:sz="4" w:space="0"/>
            </w:tcBorders>
            <w:vAlign w:val="center"/>
          </w:tcPr>
          <w:p>
            <w:pPr>
              <w:jc w:val="right"/>
            </w:pPr>
          </w:p>
        </w:tc>
        <w:tc>
          <w:tcPr>
            <w:tcW w:w="1342" w:type="dxa"/>
            <w:tcBorders>
              <w:top w:val="single" w:color="auto" w:sz="4" w:space="0"/>
              <w:left w:val="single" w:color="auto" w:sz="4" w:space="0"/>
              <w:bottom w:val="single" w:color="auto" w:sz="4" w:space="0"/>
              <w:right w:val="single" w:color="auto" w:sz="4" w:space="0"/>
            </w:tcBorders>
            <w:vAlign w:val="center"/>
          </w:tcPr>
          <w:p>
            <w:pPr>
              <w:jc w:val="right"/>
            </w:pPr>
          </w:p>
        </w:tc>
        <w:tc>
          <w:tcPr>
            <w:tcW w:w="1632"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2,000,000.00</w:t>
            </w:r>
          </w:p>
        </w:tc>
        <w:tc>
          <w:tcPr>
            <w:tcW w:w="1783" w:type="dxa"/>
            <w:tcBorders>
              <w:top w:val="single" w:color="auto" w:sz="4" w:space="0"/>
              <w:left w:val="single" w:color="auto" w:sz="4" w:space="0"/>
              <w:bottom w:val="single" w:color="auto" w:sz="4" w:space="0"/>
              <w:right w:val="single" w:color="auto" w:sz="4" w:space="0"/>
            </w:tcBorders>
            <w:vAlign w:val="center"/>
          </w:tcPr>
          <w:p>
            <w:pPr>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合计</w:t>
            </w:r>
          </w:p>
        </w:tc>
        <w:tc>
          <w:tcPr>
            <w:tcW w:w="1571"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160,894,417.59</w:t>
            </w:r>
          </w:p>
        </w:tc>
        <w:tc>
          <w:tcPr>
            <w:tcW w:w="1953"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40,155,106.20</w:t>
            </w:r>
          </w:p>
        </w:tc>
        <w:tc>
          <w:tcPr>
            <w:tcW w:w="1396"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2,000,000.00</w:t>
            </w:r>
          </w:p>
        </w:tc>
        <w:tc>
          <w:tcPr>
            <w:tcW w:w="1102" w:type="dxa"/>
            <w:tcBorders>
              <w:top w:val="single" w:color="auto" w:sz="4" w:space="0"/>
              <w:left w:val="single" w:color="auto" w:sz="4" w:space="0"/>
              <w:bottom w:val="single" w:color="auto" w:sz="4" w:space="0"/>
              <w:right w:val="single" w:color="auto" w:sz="4" w:space="0"/>
            </w:tcBorders>
            <w:vAlign w:val="center"/>
          </w:tcPr>
          <w:p>
            <w:pPr>
              <w:jc w:val="right"/>
            </w:pPr>
          </w:p>
        </w:tc>
        <w:tc>
          <w:tcPr>
            <w:tcW w:w="1167" w:type="dxa"/>
            <w:tcBorders>
              <w:top w:val="single" w:color="auto" w:sz="4" w:space="0"/>
              <w:left w:val="single" w:color="auto" w:sz="4" w:space="0"/>
              <w:bottom w:val="single" w:color="auto" w:sz="4" w:space="0"/>
              <w:right w:val="single" w:color="auto" w:sz="4" w:space="0"/>
            </w:tcBorders>
            <w:vAlign w:val="center"/>
          </w:tcPr>
          <w:p>
            <w:pPr>
              <w:jc w:val="right"/>
            </w:pPr>
          </w:p>
        </w:tc>
        <w:tc>
          <w:tcPr>
            <w:tcW w:w="1342" w:type="dxa"/>
            <w:tcBorders>
              <w:top w:val="single" w:color="auto" w:sz="4" w:space="0"/>
              <w:left w:val="single" w:color="auto" w:sz="4" w:space="0"/>
              <w:bottom w:val="single" w:color="auto" w:sz="4" w:space="0"/>
              <w:right w:val="single" w:color="auto" w:sz="4" w:space="0"/>
            </w:tcBorders>
            <w:vAlign w:val="center"/>
          </w:tcPr>
          <w:p>
            <w:pPr>
              <w:jc w:val="right"/>
            </w:pPr>
          </w:p>
        </w:tc>
        <w:tc>
          <w:tcPr>
            <w:tcW w:w="1632"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162,894,417.59</w:t>
            </w:r>
          </w:p>
        </w:tc>
        <w:tc>
          <w:tcPr>
            <w:tcW w:w="1783" w:type="dxa"/>
            <w:tcBorders>
              <w:top w:val="single" w:color="auto" w:sz="4" w:space="0"/>
              <w:left w:val="single" w:color="auto" w:sz="4" w:space="0"/>
              <w:bottom w:val="single" w:color="auto" w:sz="4" w:space="0"/>
              <w:right w:val="single" w:color="auto" w:sz="4" w:space="0"/>
            </w:tcBorders>
            <w:vAlign w:val="center"/>
          </w:tcPr>
          <w:p>
            <w:pPr>
              <w:jc w:val="right"/>
            </w:pPr>
            <w:r>
              <w:rPr>
                <w:rStyle w:val="71"/>
                <w:rFonts w:hint="eastAsia"/>
                <w:color w:val="auto"/>
              </w:rPr>
              <w:t>40,155,106.20</w:t>
            </w:r>
          </w:p>
        </w:tc>
      </w:tr>
      <w:bookmarkEnd w:id="420"/>
    </w:tbl>
    <w:p>
      <w:pPr>
        <w:pStyle w:val="5"/>
        <w:numPr>
          <w:ilvl w:val="0"/>
          <w:numId w:val="132"/>
        </w:numPr>
        <w:rPr>
          <w:rFonts w:hint="eastAsia"/>
        </w:rPr>
      </w:pPr>
      <w:r>
        <w:rPr>
          <w:rFonts w:hint="eastAsia"/>
        </w:rPr>
        <w:t>对联营、合营企业投资</w:t>
      </w:r>
    </w:p>
    <w:sdt>
      <w:sdtPr>
        <w:alias w:val="是否适用：母公司对联营、合营企业投资[双击切换]"/>
        <w:tag w:val="_GBC_2e4760cb979247e69579530b3868e897"/>
        <w:id w:val="829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母公司财务附注：对联营、合营企业投资"/>
          <w:tag w:val="_GBC_ccad125c53784121bdbf82967e585280"/>
          <w:id w:val="829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rPr>
            <w:t>元</w:t>
          </w:r>
        </w:sdtContent>
      </w:sdt>
      <w:r>
        <w:rPr>
          <w:rFonts w:hint="eastAsia"/>
          <w:szCs w:val="21"/>
        </w:rPr>
        <w:t xml:space="preserve">  币种：</w:t>
      </w:r>
      <w:sdt>
        <w:sdtPr>
          <w:rPr>
            <w:rFonts w:hint="eastAsia"/>
            <w:szCs w:val="21"/>
          </w:rPr>
          <w:alias w:val="币种：母公司财务附注：对联营、合营企业投资"/>
          <w:tag w:val="_GBC_f572fc517d504bef8d5942b395a68d39"/>
          <w:id w:val="829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0"/>
        <w:gridCol w:w="2008"/>
        <w:gridCol w:w="611"/>
        <w:gridCol w:w="877"/>
        <w:gridCol w:w="1073"/>
        <w:gridCol w:w="1027"/>
        <w:gridCol w:w="693"/>
        <w:gridCol w:w="1096"/>
        <w:gridCol w:w="877"/>
        <w:gridCol w:w="888"/>
        <w:gridCol w:w="1616"/>
        <w:gridCol w:w="1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Merge w:val="restart"/>
            <w:tcBorders>
              <w:top w:val="single" w:color="auto" w:sz="4" w:space="0"/>
              <w:left w:val="single" w:color="auto" w:sz="4" w:space="0"/>
              <w:right w:val="single" w:color="auto" w:sz="4" w:space="0"/>
            </w:tcBorders>
            <w:vAlign w:val="center"/>
          </w:tcPr>
          <w:sdt>
            <w:sdtPr>
              <w:tag w:val="_PLD_cddf860d624b41069bef0850b92b7db2"/>
              <w:id w:val="8297"/>
            </w:sdtPr>
            <w:sdtContent>
              <w:p>
                <w:pPr>
                  <w:jc w:val="center"/>
                  <w:rPr>
                    <w:szCs w:val="21"/>
                  </w:rPr>
                </w:pPr>
                <w:r>
                  <w:rPr>
                    <w:rFonts w:hint="eastAsia"/>
                    <w:szCs w:val="21"/>
                  </w:rPr>
                  <w:t>投资</w:t>
                </w:r>
              </w:p>
              <w:p>
                <w:pPr>
                  <w:jc w:val="center"/>
                  <w:rPr>
                    <w:szCs w:val="21"/>
                  </w:rPr>
                </w:pPr>
                <w:r>
                  <w:rPr>
                    <w:rFonts w:hint="eastAsia"/>
                    <w:szCs w:val="21"/>
                  </w:rPr>
                  <w:t>单位</w:t>
                </w:r>
              </w:p>
            </w:sdtContent>
          </w:sdt>
        </w:tc>
        <w:tc>
          <w:tcPr>
            <w:tcW w:w="2008" w:type="dxa"/>
            <w:vMerge w:val="restart"/>
            <w:tcBorders>
              <w:top w:val="single" w:color="auto" w:sz="4" w:space="0"/>
              <w:left w:val="single" w:color="auto" w:sz="4" w:space="0"/>
              <w:right w:val="single" w:color="auto" w:sz="4" w:space="0"/>
            </w:tcBorders>
            <w:vAlign w:val="center"/>
          </w:tcPr>
          <w:sdt>
            <w:sdtPr>
              <w:tag w:val="_PLD_1e9893e3e3854470a87271f1c7db6cdb"/>
              <w:id w:val="8298"/>
            </w:sdtPr>
            <w:sdtContent>
              <w:p>
                <w:pPr>
                  <w:jc w:val="center"/>
                  <w:rPr>
                    <w:szCs w:val="21"/>
                  </w:rPr>
                </w:pPr>
                <w:r>
                  <w:rPr>
                    <w:rFonts w:hint="eastAsia"/>
                    <w:szCs w:val="21"/>
                  </w:rPr>
                  <w:t>期初</w:t>
                </w:r>
              </w:p>
              <w:p>
                <w:pPr>
                  <w:jc w:val="center"/>
                  <w:rPr>
                    <w:szCs w:val="21"/>
                  </w:rPr>
                </w:pPr>
                <w:r>
                  <w:rPr>
                    <w:rFonts w:hint="eastAsia"/>
                    <w:szCs w:val="21"/>
                  </w:rPr>
                  <w:t>余额（账面价值）</w:t>
                </w:r>
              </w:p>
            </w:sdtContent>
          </w:sdt>
        </w:tc>
        <w:tc>
          <w:tcPr>
            <w:tcW w:w="7142" w:type="dxa"/>
            <w:gridSpan w:val="8"/>
            <w:tcBorders>
              <w:top w:val="single" w:color="auto" w:sz="4" w:space="0"/>
              <w:left w:val="single" w:color="auto" w:sz="4" w:space="0"/>
              <w:bottom w:val="single" w:color="auto" w:sz="4" w:space="0"/>
              <w:right w:val="single" w:color="auto" w:sz="4" w:space="0"/>
            </w:tcBorders>
            <w:vAlign w:val="center"/>
          </w:tcPr>
          <w:sdt>
            <w:sdtPr>
              <w:tag w:val="_PLD_51e202fa7d4541e8b1073ad1aab00e23"/>
              <w:id w:val="8299"/>
            </w:sdtPr>
            <w:sdtContent>
              <w:p>
                <w:pPr>
                  <w:jc w:val="center"/>
                  <w:rPr>
                    <w:szCs w:val="21"/>
                  </w:rPr>
                </w:pPr>
                <w:r>
                  <w:rPr>
                    <w:rFonts w:hint="eastAsia"/>
                    <w:szCs w:val="21"/>
                  </w:rPr>
                  <w:t>本期增减变动</w:t>
                </w:r>
              </w:p>
            </w:sdtContent>
          </w:sdt>
        </w:tc>
        <w:tc>
          <w:tcPr>
            <w:tcW w:w="1616" w:type="dxa"/>
            <w:vMerge w:val="restart"/>
            <w:tcBorders>
              <w:top w:val="single" w:color="auto" w:sz="4" w:space="0"/>
              <w:left w:val="single" w:color="auto" w:sz="4" w:space="0"/>
              <w:right w:val="single" w:color="auto" w:sz="4" w:space="0"/>
            </w:tcBorders>
            <w:vAlign w:val="center"/>
          </w:tcPr>
          <w:sdt>
            <w:sdtPr>
              <w:tag w:val="_PLD_fb68ab3bfe254cb4ac4728b9c324a1ea"/>
              <w:id w:val="8300"/>
            </w:sdtPr>
            <w:sdtContent>
              <w:p>
                <w:pPr>
                  <w:jc w:val="center"/>
                  <w:rPr>
                    <w:szCs w:val="21"/>
                  </w:rPr>
                </w:pPr>
                <w:r>
                  <w:rPr>
                    <w:rFonts w:hint="eastAsia"/>
                    <w:szCs w:val="21"/>
                  </w:rPr>
                  <w:t>期末</w:t>
                </w:r>
              </w:p>
              <w:p>
                <w:pPr>
                  <w:jc w:val="center"/>
                  <w:rPr>
                    <w:rFonts w:hint="eastAsia"/>
                    <w:szCs w:val="21"/>
                  </w:rPr>
                </w:pPr>
                <w:r>
                  <w:rPr>
                    <w:rFonts w:hint="eastAsia"/>
                    <w:szCs w:val="21"/>
                  </w:rPr>
                  <w:t>余额</w:t>
                </w:r>
              </w:p>
              <w:p>
                <w:pPr>
                  <w:jc w:val="center"/>
                  <w:rPr>
                    <w:szCs w:val="21"/>
                  </w:rPr>
                </w:pPr>
                <w:r>
                  <w:rPr>
                    <w:rFonts w:hint="eastAsia"/>
                    <w:szCs w:val="21"/>
                  </w:rPr>
                  <w:t>（账面价值）</w:t>
                </w:r>
              </w:p>
            </w:sdtContent>
          </w:sdt>
        </w:tc>
        <w:tc>
          <w:tcPr>
            <w:tcW w:w="1638" w:type="dxa"/>
            <w:vMerge w:val="restart"/>
            <w:tcBorders>
              <w:top w:val="single" w:color="auto" w:sz="4" w:space="0"/>
              <w:left w:val="single" w:color="auto" w:sz="4" w:space="0"/>
              <w:right w:val="single" w:color="auto" w:sz="4" w:space="0"/>
            </w:tcBorders>
            <w:vAlign w:val="center"/>
          </w:tcPr>
          <w:sdt>
            <w:sdtPr>
              <w:tag w:val="_PLD_79ea6426597c4707b961bbd96c8cf19f"/>
              <w:id w:val="8301"/>
            </w:sdtPr>
            <w:sdtContent>
              <w:p>
                <w:pPr>
                  <w:jc w:val="center"/>
                  <w:rPr>
                    <w:szCs w:val="21"/>
                  </w:rPr>
                </w:pPr>
                <w:r>
                  <w:rPr>
                    <w:rFonts w:hint="eastAsia"/>
                    <w:szCs w:val="21"/>
                  </w:rPr>
                  <w:t>减值准备期末余额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Merge w:val="continue"/>
            <w:tcBorders>
              <w:left w:val="single" w:color="auto" w:sz="4" w:space="0"/>
              <w:bottom w:val="single" w:color="auto" w:sz="4" w:space="0"/>
              <w:right w:val="single" w:color="auto" w:sz="4" w:space="0"/>
            </w:tcBorders>
            <w:vAlign w:val="center"/>
          </w:tcPr>
          <w:p>
            <w:pPr>
              <w:jc w:val="center"/>
              <w:rPr>
                <w:szCs w:val="21"/>
              </w:rPr>
            </w:pPr>
          </w:p>
        </w:tc>
        <w:tc>
          <w:tcPr>
            <w:tcW w:w="2008" w:type="dxa"/>
            <w:vMerge w:val="continue"/>
            <w:tcBorders>
              <w:left w:val="single" w:color="auto" w:sz="4" w:space="0"/>
              <w:bottom w:val="single" w:color="auto" w:sz="4" w:space="0"/>
              <w:right w:val="single" w:color="auto" w:sz="4" w:space="0"/>
            </w:tcBorders>
            <w:vAlign w:val="center"/>
          </w:tcPr>
          <w:p>
            <w:pPr>
              <w:jc w:val="center"/>
              <w:rPr>
                <w:szCs w:val="21"/>
              </w:rPr>
            </w:pPr>
          </w:p>
        </w:tc>
        <w:tc>
          <w:tcPr>
            <w:tcW w:w="611" w:type="dxa"/>
            <w:tcBorders>
              <w:top w:val="single" w:color="auto" w:sz="4" w:space="0"/>
              <w:left w:val="single" w:color="auto" w:sz="4" w:space="0"/>
              <w:bottom w:val="single" w:color="auto" w:sz="4" w:space="0"/>
              <w:right w:val="single" w:color="auto" w:sz="4" w:space="0"/>
            </w:tcBorders>
            <w:vAlign w:val="center"/>
          </w:tcPr>
          <w:sdt>
            <w:sdtPr>
              <w:tag w:val="_PLD_759fe0f59b6046308988b932a5f90e06"/>
              <w:id w:val="8302"/>
            </w:sdtPr>
            <w:sdtContent>
              <w:p>
                <w:pPr>
                  <w:jc w:val="center"/>
                  <w:rPr>
                    <w:szCs w:val="21"/>
                  </w:rPr>
                </w:pPr>
                <w:r>
                  <w:rPr>
                    <w:rFonts w:hint="eastAsia"/>
                    <w:szCs w:val="21"/>
                  </w:rPr>
                  <w:t>追加投资</w:t>
                </w:r>
              </w:p>
            </w:sdtContent>
          </w:sdt>
        </w:tc>
        <w:tc>
          <w:tcPr>
            <w:tcW w:w="877" w:type="dxa"/>
            <w:tcBorders>
              <w:top w:val="single" w:color="auto" w:sz="4" w:space="0"/>
              <w:left w:val="single" w:color="auto" w:sz="4" w:space="0"/>
              <w:bottom w:val="single" w:color="auto" w:sz="4" w:space="0"/>
              <w:right w:val="single" w:color="auto" w:sz="4" w:space="0"/>
            </w:tcBorders>
            <w:vAlign w:val="center"/>
          </w:tcPr>
          <w:sdt>
            <w:sdtPr>
              <w:tag w:val="_PLD_6f033bedb79a4bd7bc36dc52845a5ea0"/>
              <w:id w:val="8303"/>
            </w:sdtPr>
            <w:sdtContent>
              <w:p>
                <w:pPr>
                  <w:jc w:val="center"/>
                  <w:rPr>
                    <w:szCs w:val="21"/>
                  </w:rPr>
                </w:pPr>
                <w:r>
                  <w:rPr>
                    <w:rFonts w:hint="eastAsia"/>
                    <w:szCs w:val="21"/>
                  </w:rPr>
                  <w:t>减少投资</w:t>
                </w:r>
              </w:p>
            </w:sdtContent>
          </w:sdt>
        </w:tc>
        <w:tc>
          <w:tcPr>
            <w:tcW w:w="1073" w:type="dxa"/>
            <w:tcBorders>
              <w:top w:val="single" w:color="auto" w:sz="4" w:space="0"/>
              <w:left w:val="single" w:color="auto" w:sz="4" w:space="0"/>
              <w:bottom w:val="single" w:color="auto" w:sz="4" w:space="0"/>
              <w:right w:val="single" w:color="auto" w:sz="4" w:space="0"/>
            </w:tcBorders>
            <w:vAlign w:val="center"/>
          </w:tcPr>
          <w:sdt>
            <w:sdtPr>
              <w:tag w:val="_PLD_67e4baac3d05451d940d328c18f19014"/>
              <w:id w:val="8304"/>
            </w:sdtPr>
            <w:sdtContent>
              <w:p>
                <w:pPr>
                  <w:jc w:val="center"/>
                  <w:rPr>
                    <w:szCs w:val="21"/>
                  </w:rPr>
                </w:pPr>
                <w:r>
                  <w:rPr>
                    <w:rFonts w:hint="eastAsia"/>
                    <w:szCs w:val="21"/>
                  </w:rPr>
                  <w:t>权益法下确认的投资损益</w:t>
                </w:r>
              </w:p>
            </w:sdtContent>
          </w:sdt>
        </w:tc>
        <w:tc>
          <w:tcPr>
            <w:tcW w:w="1027" w:type="dxa"/>
            <w:tcBorders>
              <w:top w:val="single" w:color="auto" w:sz="4" w:space="0"/>
              <w:left w:val="single" w:color="auto" w:sz="4" w:space="0"/>
              <w:bottom w:val="single" w:color="auto" w:sz="4" w:space="0"/>
              <w:right w:val="single" w:color="auto" w:sz="4" w:space="0"/>
            </w:tcBorders>
            <w:vAlign w:val="center"/>
          </w:tcPr>
          <w:sdt>
            <w:sdtPr>
              <w:tag w:val="_PLD_700419003e5b4596b973710043374374"/>
              <w:id w:val="8305"/>
            </w:sdtPr>
            <w:sdtContent>
              <w:p>
                <w:pPr>
                  <w:jc w:val="center"/>
                  <w:rPr>
                    <w:szCs w:val="21"/>
                  </w:rPr>
                </w:pPr>
                <w:r>
                  <w:rPr>
                    <w:rFonts w:hint="eastAsia"/>
                    <w:szCs w:val="21"/>
                  </w:rPr>
                  <w:t>其他综合收益调整</w:t>
                </w:r>
              </w:p>
            </w:sdtContent>
          </w:sdt>
        </w:tc>
        <w:tc>
          <w:tcPr>
            <w:tcW w:w="693" w:type="dxa"/>
            <w:tcBorders>
              <w:top w:val="single" w:color="auto" w:sz="4" w:space="0"/>
              <w:left w:val="single" w:color="auto" w:sz="4" w:space="0"/>
              <w:bottom w:val="single" w:color="auto" w:sz="4" w:space="0"/>
              <w:right w:val="single" w:color="auto" w:sz="4" w:space="0"/>
            </w:tcBorders>
            <w:vAlign w:val="center"/>
          </w:tcPr>
          <w:sdt>
            <w:sdtPr>
              <w:tag w:val="_PLD_9318c7f257d249e0a0b9bf70263601d5"/>
              <w:id w:val="8306"/>
            </w:sdtPr>
            <w:sdtContent>
              <w:p>
                <w:pPr>
                  <w:jc w:val="center"/>
                  <w:rPr>
                    <w:szCs w:val="21"/>
                  </w:rPr>
                </w:pPr>
                <w:r>
                  <w:rPr>
                    <w:rFonts w:hint="eastAsia"/>
                    <w:szCs w:val="21"/>
                  </w:rPr>
                  <w:t>其他权益变动</w:t>
                </w:r>
              </w:p>
            </w:sdtContent>
          </w:sdt>
        </w:tc>
        <w:tc>
          <w:tcPr>
            <w:tcW w:w="1096" w:type="dxa"/>
            <w:tcBorders>
              <w:top w:val="single" w:color="auto" w:sz="4" w:space="0"/>
              <w:left w:val="single" w:color="auto" w:sz="4" w:space="0"/>
              <w:bottom w:val="single" w:color="auto" w:sz="4" w:space="0"/>
              <w:right w:val="single" w:color="auto" w:sz="4" w:space="0"/>
            </w:tcBorders>
            <w:vAlign w:val="center"/>
          </w:tcPr>
          <w:sdt>
            <w:sdtPr>
              <w:tag w:val="_PLD_efb3a8c8f6b64ad1a5fbb4cf67eb4c96"/>
              <w:id w:val="8307"/>
            </w:sdtPr>
            <w:sdtContent>
              <w:p>
                <w:pPr>
                  <w:jc w:val="center"/>
                  <w:rPr>
                    <w:szCs w:val="21"/>
                  </w:rPr>
                </w:pPr>
                <w:r>
                  <w:rPr>
                    <w:rFonts w:hint="eastAsia"/>
                    <w:szCs w:val="21"/>
                  </w:rPr>
                  <w:t>宣告发放现金股利或利润</w:t>
                </w:r>
              </w:p>
            </w:sdtContent>
          </w:sdt>
        </w:tc>
        <w:tc>
          <w:tcPr>
            <w:tcW w:w="877" w:type="dxa"/>
            <w:tcBorders>
              <w:top w:val="single" w:color="auto" w:sz="4" w:space="0"/>
              <w:left w:val="single" w:color="auto" w:sz="4" w:space="0"/>
              <w:bottom w:val="single" w:color="auto" w:sz="4" w:space="0"/>
              <w:right w:val="single" w:color="auto" w:sz="4" w:space="0"/>
            </w:tcBorders>
            <w:vAlign w:val="center"/>
          </w:tcPr>
          <w:sdt>
            <w:sdtPr>
              <w:tag w:val="_PLD_2cc45ca82119420bb4d261a3eb788ba0"/>
              <w:id w:val="8308"/>
            </w:sdtPr>
            <w:sdtContent>
              <w:p>
                <w:pPr>
                  <w:jc w:val="center"/>
                  <w:rPr>
                    <w:szCs w:val="21"/>
                  </w:rPr>
                </w:pPr>
                <w:r>
                  <w:rPr>
                    <w:rFonts w:hint="eastAsia"/>
                    <w:szCs w:val="21"/>
                  </w:rPr>
                  <w:t>计提减值准备</w:t>
                </w:r>
              </w:p>
            </w:sdtContent>
          </w:sdt>
        </w:tc>
        <w:tc>
          <w:tcPr>
            <w:tcW w:w="888" w:type="dxa"/>
            <w:tcBorders>
              <w:top w:val="single" w:color="auto" w:sz="4" w:space="0"/>
              <w:left w:val="single" w:color="auto" w:sz="4" w:space="0"/>
              <w:bottom w:val="single" w:color="auto" w:sz="4" w:space="0"/>
              <w:right w:val="single" w:color="auto" w:sz="4" w:space="0"/>
            </w:tcBorders>
            <w:vAlign w:val="center"/>
          </w:tcPr>
          <w:sdt>
            <w:sdtPr>
              <w:tag w:val="_PLD_85d3aa0f514447b38d92097f7a30e385"/>
              <w:id w:val="8309"/>
            </w:sdtPr>
            <w:sdtContent>
              <w:p>
                <w:pPr>
                  <w:jc w:val="center"/>
                  <w:rPr>
                    <w:szCs w:val="21"/>
                  </w:rPr>
                </w:pPr>
                <w:r>
                  <w:rPr>
                    <w:rFonts w:hint="eastAsia"/>
                    <w:szCs w:val="21"/>
                  </w:rPr>
                  <w:t>其他</w:t>
                </w:r>
              </w:p>
            </w:sdtContent>
          </w:sdt>
        </w:tc>
        <w:tc>
          <w:tcPr>
            <w:tcW w:w="1616" w:type="dxa"/>
            <w:vMerge w:val="continue"/>
            <w:tcBorders>
              <w:left w:val="single" w:color="auto" w:sz="4" w:space="0"/>
              <w:bottom w:val="single" w:color="auto" w:sz="4" w:space="0"/>
              <w:right w:val="single" w:color="auto" w:sz="4" w:space="0"/>
            </w:tcBorders>
            <w:vAlign w:val="center"/>
          </w:tcPr>
          <w:p>
            <w:pPr>
              <w:jc w:val="center"/>
              <w:rPr>
                <w:szCs w:val="21"/>
              </w:rPr>
            </w:pPr>
          </w:p>
        </w:tc>
        <w:tc>
          <w:tcPr>
            <w:tcW w:w="1638" w:type="dxa"/>
            <w:vMerge w:val="continue"/>
            <w:tcBorders>
              <w:left w:val="single" w:color="auto" w:sz="4" w:space="0"/>
              <w:bottom w:val="single" w:color="auto" w:sz="4" w:space="0"/>
              <w:right w:val="single"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4" w:type="dxa"/>
            <w:gridSpan w:val="12"/>
            <w:tcBorders>
              <w:top w:val="single" w:color="auto" w:sz="4" w:space="0"/>
              <w:left w:val="single" w:color="auto" w:sz="4" w:space="0"/>
              <w:bottom w:val="single" w:color="auto" w:sz="4" w:space="0"/>
              <w:right w:val="single" w:color="auto" w:sz="4" w:space="0"/>
            </w:tcBorders>
            <w:vAlign w:val="center"/>
          </w:tcPr>
          <w:sdt>
            <w:sdtPr>
              <w:tag w:val="_PLD_b5de7a3b12554dad8d8701df843651f7"/>
              <w:id w:val="8310"/>
            </w:sdtPr>
            <w:sdtContent>
              <w:p>
                <w:pPr>
                  <w:jc w:val="both"/>
                  <w:rPr>
                    <w:szCs w:val="21"/>
                  </w:rPr>
                </w:pPr>
                <w:r>
                  <w:rPr>
                    <w:rFonts w:hint="eastAsia"/>
                    <w:szCs w:val="21"/>
                  </w:rPr>
                  <w:t>一、合营企业</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tcBorders>
              <w:top w:val="single" w:color="auto" w:sz="4" w:space="0"/>
              <w:left w:val="single" w:color="auto" w:sz="4" w:space="0"/>
              <w:bottom w:val="single" w:color="auto" w:sz="4" w:space="0"/>
              <w:right w:val="single" w:color="auto" w:sz="4" w:space="0"/>
            </w:tcBorders>
            <w:vAlign w:val="center"/>
          </w:tcPr>
          <w:p>
            <w:pPr>
              <w:jc w:val="both"/>
              <w:rPr>
                <w:szCs w:val="21"/>
              </w:rPr>
            </w:pPr>
            <w:r>
              <w:rPr>
                <w:rFonts w:hint="eastAsia"/>
                <w:szCs w:val="21"/>
              </w:rPr>
              <w:t>小计</w:t>
            </w:r>
          </w:p>
        </w:tc>
        <w:tc>
          <w:tcPr>
            <w:tcW w:w="2008"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611"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87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073"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02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693"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096"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877"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888"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616"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638"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4" w:type="dxa"/>
            <w:gridSpan w:val="12"/>
            <w:tcBorders>
              <w:top w:val="single" w:color="auto" w:sz="4" w:space="0"/>
              <w:left w:val="single" w:color="auto" w:sz="4" w:space="0"/>
              <w:bottom w:val="single" w:color="auto" w:sz="4" w:space="0"/>
              <w:right w:val="single" w:color="auto" w:sz="4" w:space="0"/>
            </w:tcBorders>
            <w:vAlign w:val="center"/>
          </w:tcPr>
          <w:sdt>
            <w:sdtPr>
              <w:tag w:val="_PLD_473021cffa734643a0c35649ee4b5043"/>
              <w:id w:val="8311"/>
            </w:sdtPr>
            <w:sdtContent>
              <w:p>
                <w:pPr>
                  <w:jc w:val="both"/>
                  <w:rPr>
                    <w:szCs w:val="21"/>
                  </w:rPr>
                </w:pPr>
                <w:r>
                  <w:rPr>
                    <w:rFonts w:hint="eastAsia"/>
                    <w:szCs w:val="21"/>
                  </w:rPr>
                  <w:t>二、联营企业</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tcBorders>
              <w:top w:val="single" w:color="auto" w:sz="4" w:space="0"/>
              <w:left w:val="single" w:color="auto" w:sz="4" w:space="0"/>
              <w:bottom w:val="single" w:color="auto" w:sz="4" w:space="0"/>
              <w:right w:val="single" w:color="auto" w:sz="4" w:space="0"/>
            </w:tcBorders>
            <w:vAlign w:val="center"/>
          </w:tcPr>
          <w:p>
            <w:pPr>
              <w:jc w:val="left"/>
              <w:rPr>
                <w:rFonts w:hint="eastAsia"/>
                <w:szCs w:val="21"/>
              </w:rPr>
            </w:pPr>
            <w:r>
              <w:rPr>
                <w:rFonts w:hint="eastAsia"/>
                <w:color w:val="auto"/>
                <w:szCs w:val="21"/>
              </w:rPr>
              <w:t>柳州市玉洁口腔卫生用品有限责任公司</w:t>
            </w:r>
          </w:p>
        </w:tc>
        <w:tc>
          <w:tcPr>
            <w:tcW w:w="2008"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611"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87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107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102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6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1096"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87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88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1616"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63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3,854,508.49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tcBorders>
              <w:top w:val="single" w:color="auto" w:sz="4" w:space="0"/>
              <w:left w:val="single" w:color="auto" w:sz="4" w:space="0"/>
              <w:bottom w:val="single" w:color="auto" w:sz="4" w:space="0"/>
              <w:right w:val="single" w:color="auto" w:sz="4" w:space="0"/>
            </w:tcBorders>
            <w:vAlign w:val="center"/>
          </w:tcPr>
          <w:p>
            <w:pPr>
              <w:jc w:val="left"/>
              <w:rPr>
                <w:rFonts w:hint="eastAsia"/>
                <w:szCs w:val="21"/>
              </w:rPr>
            </w:pPr>
            <w:r>
              <w:rPr>
                <w:rFonts w:hint="eastAsia"/>
                <w:color w:val="auto"/>
                <w:szCs w:val="21"/>
              </w:rPr>
              <w:t>广西两面针九洲房地产开发有限公司</w:t>
            </w:r>
          </w:p>
        </w:tc>
        <w:tc>
          <w:tcPr>
            <w:tcW w:w="2008"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611"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87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107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102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6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1096"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87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88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1616"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63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3,916,163.14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tcBorders>
              <w:top w:val="single" w:color="auto" w:sz="4" w:space="0"/>
              <w:left w:val="single" w:color="auto" w:sz="4" w:space="0"/>
              <w:bottom w:val="single" w:color="auto" w:sz="4" w:space="0"/>
              <w:right w:val="single" w:color="auto" w:sz="4" w:space="0"/>
            </w:tcBorders>
            <w:vAlign w:val="center"/>
          </w:tcPr>
          <w:p>
            <w:pPr>
              <w:jc w:val="both"/>
              <w:rPr>
                <w:szCs w:val="21"/>
              </w:rPr>
            </w:pPr>
            <w:r>
              <w:rPr>
                <w:rFonts w:hint="eastAsia"/>
                <w:szCs w:val="21"/>
              </w:rPr>
              <w:t>小计</w:t>
            </w:r>
          </w:p>
        </w:tc>
        <w:tc>
          <w:tcPr>
            <w:tcW w:w="2008"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611"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87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107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102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6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1096"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87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88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1616"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63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7,770,671.63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0"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合计</w:t>
            </w:r>
          </w:p>
        </w:tc>
        <w:tc>
          <w:tcPr>
            <w:tcW w:w="2008"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611"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87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107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102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693"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1096"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877"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88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 </w:t>
            </w:r>
          </w:p>
        </w:tc>
        <w:tc>
          <w:tcPr>
            <w:tcW w:w="1616" w:type="dxa"/>
            <w:tcBorders>
              <w:top w:val="single" w:color="auto" w:sz="4" w:space="0"/>
              <w:left w:val="single" w:color="auto" w:sz="4" w:space="0"/>
              <w:bottom w:val="single" w:color="auto" w:sz="4" w:space="0"/>
              <w:right w:val="single" w:color="auto" w:sz="4" w:space="0"/>
            </w:tcBorders>
            <w:vAlign w:val="center"/>
          </w:tcPr>
          <w:p>
            <w:pPr>
              <w:jc w:val="right"/>
              <w:rPr>
                <w:szCs w:val="21"/>
              </w:rPr>
            </w:pPr>
          </w:p>
        </w:tc>
        <w:tc>
          <w:tcPr>
            <w:tcW w:w="163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rPr>
              <w:t>7,770,671.63</w:t>
            </w:r>
          </w:p>
        </w:tc>
      </w:tr>
    </w:tbl>
    <w:p>
      <w:pPr>
        <w:rPr>
          <w:szCs w:val="21"/>
        </w:rPr>
      </w:pPr>
    </w:p>
    <w:p>
      <w:pPr>
        <w:pStyle w:val="5"/>
        <w:numPr>
          <w:ilvl w:val="0"/>
          <w:numId w:val="75"/>
        </w:numPr>
        <w:rPr>
          <w:rFonts w:hint="eastAsia"/>
        </w:rPr>
      </w:pPr>
      <w:bookmarkStart w:id="421" w:name="_Hlk155165896"/>
      <w:r>
        <w:rPr>
          <w:rFonts w:hint="eastAsia"/>
        </w:rPr>
        <w:t>长期股权投资的减值测试情况</w:t>
      </w:r>
    </w:p>
    <w:sdt>
      <w:sdtPr>
        <w:alias w:val="是否适用：减值测试情况[双击切换]"/>
        <w:tag w:val="_GBC_99f575f7d43c4e27846e49ee35c9e10f"/>
        <w:id w:val="8312"/>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421"/>
    <w:p>
      <w:pPr>
        <w:rPr>
          <w:szCs w:val="21"/>
        </w:rPr>
      </w:pPr>
    </w:p>
    <w:p>
      <w:pPr>
        <w:rPr>
          <w:szCs w:val="21"/>
        </w:rPr>
      </w:pPr>
      <w:r>
        <w:rPr>
          <w:rFonts w:hint="eastAsia"/>
          <w:szCs w:val="21"/>
        </w:rPr>
        <w:t>其他说明：</w:t>
      </w:r>
    </w:p>
    <w:p>
      <w:pPr>
        <w:rPr>
          <w:rFonts w:hint="eastAsia"/>
          <w:szCs w:val="21"/>
          <w:lang w:eastAsia="zh-CN"/>
        </w:rPr>
        <w:sectPr>
          <w:pgSz w:w="16838" w:h="11906" w:orient="landscape"/>
          <w:pgMar w:top="1797" w:right="1525" w:bottom="1276" w:left="1440" w:header="856" w:footer="992" w:gutter="0"/>
          <w:cols w:space="425" w:num="1"/>
          <w:docGrid w:linePitch="312" w:charSpace="0"/>
        </w:sectPr>
      </w:pPr>
      <w:sdt>
        <w:sdtPr>
          <w:rPr>
            <w:rFonts w:hint="eastAsia"/>
            <w:szCs w:val="21"/>
          </w:rPr>
          <w:alias w:val="长期股权投资的说明"/>
          <w:tag w:val="_GBC_938f2ac679ca480c83553ff73f8b80b6"/>
          <w:id w:val="8313"/>
          <w:placeholder>
            <w:docPart w:val="GBC22222222222222222222222222222"/>
          </w:placeholder>
        </w:sdtPr>
        <w:sdtEndPr>
          <w:rPr>
            <w:rFonts w:hint="eastAsia"/>
            <w:szCs w:val="21"/>
          </w:rPr>
        </w:sdtEndPr>
        <w:sdtContent>
          <w:r>
            <w:rPr>
              <w:rFonts w:hint="eastAsia"/>
              <w:szCs w:val="21"/>
            </w:rPr>
            <w:t>无</w:t>
          </w:r>
        </w:sdtContent>
      </w:sdt>
      <w:r>
        <w:rPr>
          <w:rFonts w:hint="eastAsia"/>
          <w:szCs w:val="21"/>
          <w:lang w:eastAsia="zh-CN"/>
        </w:rPr>
        <w:t xml:space="preserve"> </w:t>
      </w:r>
    </w:p>
    <w:p>
      <w:pPr>
        <w:rPr>
          <w:rFonts w:hint="eastAsia"/>
          <w:szCs w:val="21"/>
          <w:lang w:eastAsia="zh-CN"/>
        </w:rPr>
      </w:pPr>
    </w:p>
    <w:sdt>
      <w:sdtPr>
        <w:tag w:val="_PLD_a188a2df2f724023922cf9cb36ae9c70"/>
        <w:id w:val="8314"/>
      </w:sdtPr>
      <w:sdtEndPr>
        <w:rPr>
          <w:rFonts w:ascii="Calibri" w:hAnsi="Calibri" w:cs="Times New Roman"/>
          <w:b/>
          <w:bCs/>
          <w:kern w:val="2"/>
          <w:szCs w:val="32"/>
        </w:rPr>
      </w:sdtEndPr>
      <w:sdtContent>
        <w:p>
          <w:pPr>
            <w:pStyle w:val="4"/>
            <w:numPr>
              <w:ilvl w:val="0"/>
              <w:numId w:val="127"/>
            </w:numPr>
          </w:pPr>
          <w:r>
            <w:rPr>
              <w:rFonts w:hint="eastAsia"/>
            </w:rPr>
            <w:t>营业收入和营业成本</w:t>
          </w:r>
        </w:p>
      </w:sdtContent>
    </w:sdt>
    <w:p>
      <w:pPr>
        <w:pStyle w:val="5"/>
        <w:numPr>
          <w:ilvl w:val="0"/>
          <w:numId w:val="133"/>
        </w:numPr>
        <w:rPr>
          <w:rFonts w:hint="eastAsia"/>
        </w:rPr>
      </w:pPr>
      <w:r>
        <w:rPr>
          <w:rFonts w:hint="eastAsia"/>
        </w:rPr>
        <w:t>营业收入和营业成本情况</w:t>
      </w:r>
    </w:p>
    <w:sdt>
      <w:sdtPr>
        <w:rPr>
          <w:rFonts w:hint="eastAsia" w:ascii="宋体" w:hAnsi="宋体"/>
          <w:bCs/>
          <w:szCs w:val="21"/>
        </w:rPr>
        <w:alias w:val="是否适用：母公司营业收入和营业成本[双击切换]"/>
        <w:tag w:val="_GBC_3cf10265cb614c79a538bd06daf8da74"/>
        <w:id w:val="8315"/>
        <w:placeholder>
          <w:docPart w:val="GBC22222222222222222222222222222"/>
        </w:placeholder>
      </w:sdtPr>
      <w:sdtEndPr>
        <w:rPr>
          <w:rFonts w:hint="eastAsia" w:ascii="宋体" w:hAnsi="宋体"/>
          <w:bCs/>
          <w:szCs w:val="21"/>
        </w:rPr>
      </w:sdtEndPr>
      <w:sdtContent>
        <w:p>
          <w:pPr>
            <w:pStyle w:val="56"/>
            <w:ind w:firstLine="0" w:firstLineChars="0"/>
            <w:jc w:val="left"/>
            <w:rPr>
              <w:rFonts w:hint="eastAsia" w:ascii="宋体" w:hAnsi="宋体"/>
              <w:bCs/>
              <w:szCs w:val="21"/>
            </w:rPr>
          </w:pPr>
          <w:r>
            <w:rPr>
              <w:rFonts w:ascii="宋体" w:hAnsi="宋体"/>
              <w:bCs/>
              <w:szCs w:val="21"/>
            </w:rPr>
            <w:fldChar w:fldCharType="begin"/>
          </w:r>
          <w:r>
            <w:rPr>
              <w:rFonts w:ascii="宋体" w:hAnsi="宋体"/>
              <w:bCs/>
              <w:szCs w:val="21"/>
            </w:rPr>
            <w:instrText xml:space="preserve"> </w:instrText>
          </w:r>
          <w:r>
            <w:rPr>
              <w:rFonts w:hint="eastAsia" w:ascii="宋体" w:hAnsi="宋体"/>
              <w:bCs/>
              <w:szCs w:val="21"/>
            </w:rPr>
            <w:instrText xml:space="preserve">MACROBUTTON  SnrToggleCheckbox √适用 </w:instrText>
          </w:r>
          <w:r>
            <w:rPr>
              <w:rFonts w:ascii="宋体" w:hAnsi="宋体"/>
              <w:bCs/>
              <w:szCs w:val="21"/>
            </w:rPr>
            <w:fldChar w:fldCharType="end"/>
          </w:r>
          <w:r>
            <w:rPr>
              <w:rFonts w:ascii="宋体" w:hAnsi="宋体"/>
              <w:bCs/>
              <w:szCs w:val="21"/>
            </w:rPr>
            <w:fldChar w:fldCharType="begin"/>
          </w:r>
          <w:r>
            <w:rPr>
              <w:rFonts w:ascii="宋体" w:hAnsi="宋体"/>
              <w:bCs/>
              <w:szCs w:val="21"/>
            </w:rPr>
            <w:instrText xml:space="preserve"> MACROBUTTON  SnrToggleCheckbox □不适用 </w:instrText>
          </w:r>
          <w:r>
            <w:rPr>
              <w:rFonts w:ascii="宋体" w:hAnsi="宋体"/>
              <w:bCs/>
              <w:szCs w:val="21"/>
            </w:rPr>
            <w:fldChar w:fldCharType="end"/>
          </w:r>
        </w:p>
      </w:sdtContent>
    </w:sdt>
    <w:p>
      <w:pPr>
        <w:pStyle w:val="56"/>
        <w:ind w:firstLine="0" w:firstLineChars="0"/>
        <w:jc w:val="right"/>
        <w:rPr>
          <w:rFonts w:hint="eastAsia" w:ascii="宋体" w:hAnsi="宋体"/>
          <w:kern w:val="0"/>
          <w:szCs w:val="21"/>
        </w:rPr>
      </w:pPr>
      <w:r>
        <w:rPr>
          <w:rFonts w:hint="eastAsia" w:ascii="宋体" w:hAnsi="宋体"/>
          <w:bCs/>
          <w:szCs w:val="21"/>
        </w:rPr>
        <w:t>单位：</w:t>
      </w:r>
      <w:sdt>
        <w:sdtPr>
          <w:rPr>
            <w:rFonts w:hint="eastAsia" w:ascii="宋体" w:hAnsi="宋体"/>
            <w:bCs/>
            <w:szCs w:val="21"/>
          </w:rPr>
          <w:alias w:val="单位：母公司财务附注：营业收入"/>
          <w:tag w:val="_GBC_5e6e6011a00b4111b618be40fba11dc1"/>
          <w:id w:val="831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ascii="宋体" w:hAnsi="宋体"/>
            <w:bCs/>
            <w:szCs w:val="21"/>
          </w:rPr>
        </w:sdtEndPr>
        <w:sdtContent>
          <w:r>
            <w:rPr>
              <w:rFonts w:hint="eastAsia" w:ascii="宋体" w:hAnsi="宋体"/>
              <w:bCs/>
              <w:szCs w:val="21"/>
            </w:rPr>
            <w:t>元</w:t>
          </w:r>
        </w:sdtContent>
      </w:sdt>
      <w:r>
        <w:rPr>
          <w:rFonts w:hint="eastAsia" w:ascii="宋体" w:hAnsi="宋体"/>
          <w:bCs/>
          <w:szCs w:val="21"/>
        </w:rPr>
        <w:t xml:space="preserve">  币种：</w:t>
      </w:r>
      <w:sdt>
        <w:sdtPr>
          <w:rPr>
            <w:rFonts w:hint="eastAsia" w:ascii="宋体" w:hAnsi="宋体"/>
            <w:bCs/>
            <w:szCs w:val="21"/>
          </w:rPr>
          <w:alias w:val="币种：母公司财务附注：营业收入"/>
          <w:tag w:val="_GBC_5940d445dfb6426f97376a89f3df08e7"/>
          <w:id w:val="831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ascii="宋体" w:hAnsi="宋体"/>
            <w:bCs/>
            <w:szCs w:val="21"/>
          </w:rPr>
        </w:sdtEndPr>
        <w:sdtContent>
          <w:r>
            <w:rPr>
              <w:rFonts w:hint="eastAsia" w:ascii="宋体" w:hAnsi="宋体"/>
              <w:bCs/>
              <w:szCs w:val="21"/>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1865"/>
        <w:gridCol w:w="1931"/>
        <w:gridCol w:w="1691"/>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56" w:type="dxa"/>
            <w:vMerge w:val="restart"/>
            <w:tcBorders>
              <w:top w:val="single" w:color="auto" w:sz="4" w:space="0"/>
              <w:left w:val="single" w:color="auto" w:sz="4" w:space="0"/>
              <w:right w:val="single" w:color="auto" w:sz="4" w:space="0"/>
            </w:tcBorders>
            <w:vAlign w:val="center"/>
          </w:tcPr>
          <w:sdt>
            <w:sdtPr>
              <w:tag w:val="_PLD_03d52d676cf8435a8f7a530f92cd7617"/>
              <w:id w:val="8318"/>
            </w:sdtPr>
            <w:sdtContent>
              <w:p>
                <w:pPr>
                  <w:jc w:val="center"/>
                  <w:rPr>
                    <w:szCs w:val="21"/>
                  </w:rPr>
                </w:pPr>
                <w:r>
                  <w:rPr>
                    <w:rFonts w:hint="eastAsia"/>
                    <w:szCs w:val="21"/>
                  </w:rPr>
                  <w:t>项目</w:t>
                </w:r>
              </w:p>
            </w:sdtContent>
          </w:sdt>
        </w:tc>
        <w:tc>
          <w:tcPr>
            <w:tcW w:w="3796" w:type="dxa"/>
            <w:gridSpan w:val="2"/>
            <w:tcBorders>
              <w:top w:val="single" w:color="auto" w:sz="4" w:space="0"/>
              <w:left w:val="single" w:color="auto" w:sz="4" w:space="0"/>
              <w:bottom w:val="single" w:color="auto" w:sz="4" w:space="0"/>
              <w:right w:val="single" w:color="auto" w:sz="4" w:space="0"/>
            </w:tcBorders>
            <w:vAlign w:val="center"/>
          </w:tcPr>
          <w:sdt>
            <w:sdtPr>
              <w:tag w:val="_PLD_32b5faadfe0b45d19044be5526af3c2d"/>
              <w:id w:val="8319"/>
            </w:sdtPr>
            <w:sdtContent>
              <w:p>
                <w:pPr>
                  <w:jc w:val="center"/>
                  <w:rPr>
                    <w:szCs w:val="21"/>
                  </w:rPr>
                </w:pPr>
                <w:r>
                  <w:rPr>
                    <w:rFonts w:hint="eastAsia"/>
                    <w:szCs w:val="21"/>
                  </w:rPr>
                  <w:t>本期发生额</w:t>
                </w:r>
              </w:p>
            </w:sdtContent>
          </w:sdt>
        </w:tc>
        <w:tc>
          <w:tcPr>
            <w:tcW w:w="3395" w:type="dxa"/>
            <w:gridSpan w:val="2"/>
            <w:tcBorders>
              <w:top w:val="single" w:color="auto" w:sz="4" w:space="0"/>
              <w:left w:val="single" w:color="auto" w:sz="4" w:space="0"/>
              <w:bottom w:val="single" w:color="auto" w:sz="4" w:space="0"/>
              <w:right w:val="single" w:color="auto" w:sz="4" w:space="0"/>
            </w:tcBorders>
            <w:vAlign w:val="center"/>
          </w:tcPr>
          <w:sdt>
            <w:sdtPr>
              <w:tag w:val="_PLD_5e3b95dc7e564cbabd77bf88c8a43781"/>
              <w:id w:val="8320"/>
            </w:sdtPr>
            <w:sdtContent>
              <w:p>
                <w:pPr>
                  <w:jc w:val="center"/>
                  <w:rPr>
                    <w:szCs w:val="21"/>
                  </w:rPr>
                </w:pPr>
                <w:r>
                  <w:rPr>
                    <w:rFonts w:hint="eastAsia"/>
                    <w:szCs w:val="21"/>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6" w:type="dxa"/>
            <w:vMerge w:val="continue"/>
            <w:tcBorders>
              <w:left w:val="single" w:color="auto" w:sz="4" w:space="0"/>
              <w:bottom w:val="single" w:color="auto" w:sz="4" w:space="0"/>
              <w:right w:val="single" w:color="auto" w:sz="4" w:space="0"/>
            </w:tcBorders>
            <w:vAlign w:val="center"/>
          </w:tcPr>
          <w:p>
            <w:pPr>
              <w:jc w:val="center"/>
              <w:rPr>
                <w:szCs w:val="21"/>
              </w:rPr>
            </w:pPr>
          </w:p>
        </w:tc>
        <w:tc>
          <w:tcPr>
            <w:tcW w:w="1865" w:type="dxa"/>
            <w:tcBorders>
              <w:top w:val="single" w:color="auto" w:sz="4" w:space="0"/>
              <w:left w:val="single" w:color="auto" w:sz="4" w:space="0"/>
              <w:bottom w:val="single" w:color="auto" w:sz="4" w:space="0"/>
              <w:right w:val="single" w:color="auto" w:sz="4" w:space="0"/>
            </w:tcBorders>
            <w:vAlign w:val="center"/>
          </w:tcPr>
          <w:sdt>
            <w:sdtPr>
              <w:tag w:val="_PLD_35d68e9def174e9fb111f9c26dc6e586"/>
              <w:id w:val="8321"/>
            </w:sdtPr>
            <w:sdtContent>
              <w:p>
                <w:pPr>
                  <w:jc w:val="center"/>
                  <w:rPr>
                    <w:szCs w:val="21"/>
                  </w:rPr>
                </w:pPr>
                <w:r>
                  <w:rPr>
                    <w:rFonts w:hint="eastAsia"/>
                    <w:szCs w:val="21"/>
                  </w:rPr>
                  <w:t>收入</w:t>
                </w:r>
              </w:p>
            </w:sdtContent>
          </w:sdt>
        </w:tc>
        <w:tc>
          <w:tcPr>
            <w:tcW w:w="1931" w:type="dxa"/>
            <w:tcBorders>
              <w:top w:val="single" w:color="auto" w:sz="4" w:space="0"/>
              <w:left w:val="single" w:color="auto" w:sz="4" w:space="0"/>
              <w:bottom w:val="single" w:color="auto" w:sz="4" w:space="0"/>
              <w:right w:val="single" w:color="auto" w:sz="4" w:space="0"/>
            </w:tcBorders>
            <w:vAlign w:val="center"/>
          </w:tcPr>
          <w:sdt>
            <w:sdtPr>
              <w:tag w:val="_PLD_bca4c40811a6455bb6f684093a6c0c7d"/>
              <w:id w:val="8322"/>
            </w:sdtPr>
            <w:sdtContent>
              <w:p>
                <w:pPr>
                  <w:jc w:val="center"/>
                  <w:rPr>
                    <w:szCs w:val="21"/>
                  </w:rPr>
                </w:pPr>
                <w:r>
                  <w:rPr>
                    <w:rFonts w:hint="eastAsia"/>
                    <w:szCs w:val="21"/>
                  </w:rPr>
                  <w:t>成本</w:t>
                </w:r>
              </w:p>
            </w:sdtContent>
          </w:sdt>
        </w:tc>
        <w:tc>
          <w:tcPr>
            <w:tcW w:w="1691" w:type="dxa"/>
            <w:tcBorders>
              <w:top w:val="single" w:color="auto" w:sz="4" w:space="0"/>
              <w:left w:val="single" w:color="auto" w:sz="4" w:space="0"/>
              <w:bottom w:val="single" w:color="auto" w:sz="4" w:space="0"/>
              <w:right w:val="single" w:color="auto" w:sz="4" w:space="0"/>
            </w:tcBorders>
            <w:vAlign w:val="center"/>
          </w:tcPr>
          <w:sdt>
            <w:sdtPr>
              <w:tag w:val="_PLD_913bf231029842ff9aedaf2297b238c1"/>
              <w:id w:val="8323"/>
            </w:sdtPr>
            <w:sdtContent>
              <w:p>
                <w:pPr>
                  <w:jc w:val="center"/>
                  <w:rPr>
                    <w:szCs w:val="21"/>
                  </w:rPr>
                </w:pPr>
                <w:r>
                  <w:rPr>
                    <w:rFonts w:hint="eastAsia"/>
                    <w:szCs w:val="21"/>
                  </w:rPr>
                  <w:t>收入</w:t>
                </w:r>
              </w:p>
            </w:sdtContent>
          </w:sdt>
        </w:tc>
        <w:tc>
          <w:tcPr>
            <w:tcW w:w="1704" w:type="dxa"/>
            <w:tcBorders>
              <w:top w:val="single" w:color="auto" w:sz="4" w:space="0"/>
              <w:left w:val="single" w:color="auto" w:sz="4" w:space="0"/>
              <w:bottom w:val="single" w:color="auto" w:sz="4" w:space="0"/>
              <w:right w:val="single" w:color="auto" w:sz="4" w:space="0"/>
            </w:tcBorders>
            <w:vAlign w:val="center"/>
          </w:tcPr>
          <w:sdt>
            <w:sdtPr>
              <w:tag w:val="_PLD_f626f406150145439510a3b7f1a71e39"/>
              <w:id w:val="8324"/>
            </w:sdtPr>
            <w:sdtContent>
              <w:p>
                <w:pPr>
                  <w:jc w:val="center"/>
                  <w:rPr>
                    <w:szCs w:val="21"/>
                  </w:rPr>
                </w:pPr>
                <w:r>
                  <w:rPr>
                    <w:rFonts w:hint="eastAsia"/>
                    <w:szCs w:val="21"/>
                  </w:rPr>
                  <w:t>成本</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主营业务</w:t>
            </w:r>
          </w:p>
        </w:tc>
        <w:tc>
          <w:tcPr>
            <w:tcW w:w="186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168,892,799.37</w:t>
            </w:r>
          </w:p>
        </w:tc>
        <w:tc>
          <w:tcPr>
            <w:tcW w:w="1931"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110,595,665.55</w:t>
            </w:r>
          </w:p>
        </w:tc>
        <w:tc>
          <w:tcPr>
            <w:tcW w:w="1691"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173,656,190.00</w:t>
            </w:r>
          </w:p>
        </w:tc>
        <w:tc>
          <w:tcPr>
            <w:tcW w:w="170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112,129,362.16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其他业务</w:t>
            </w:r>
          </w:p>
        </w:tc>
        <w:tc>
          <w:tcPr>
            <w:tcW w:w="186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6,773,182.07</w:t>
            </w:r>
          </w:p>
        </w:tc>
        <w:tc>
          <w:tcPr>
            <w:tcW w:w="1931"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4,153,291.53</w:t>
            </w:r>
          </w:p>
        </w:tc>
        <w:tc>
          <w:tcPr>
            <w:tcW w:w="1691"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6,106,003.93</w:t>
            </w:r>
          </w:p>
        </w:tc>
        <w:tc>
          <w:tcPr>
            <w:tcW w:w="170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4,441,314.57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合计</w:t>
            </w:r>
          </w:p>
        </w:tc>
        <w:tc>
          <w:tcPr>
            <w:tcW w:w="1865"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175,665,981.44</w:t>
            </w:r>
          </w:p>
        </w:tc>
        <w:tc>
          <w:tcPr>
            <w:tcW w:w="1931"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114,748,957.08</w:t>
            </w:r>
          </w:p>
        </w:tc>
        <w:tc>
          <w:tcPr>
            <w:tcW w:w="1691"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179,762,193.93</w:t>
            </w:r>
          </w:p>
        </w:tc>
        <w:tc>
          <w:tcPr>
            <w:tcW w:w="1704"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116,570,676.73</w:t>
            </w:r>
          </w:p>
        </w:tc>
      </w:tr>
    </w:tbl>
    <w:p/>
    <w:p>
      <w:pPr>
        <w:pStyle w:val="5"/>
        <w:numPr>
          <w:ilvl w:val="0"/>
          <w:numId w:val="133"/>
        </w:numPr>
        <w:rPr>
          <w:rFonts w:hint="eastAsia"/>
        </w:rPr>
      </w:pPr>
      <w:bookmarkStart w:id="422" w:name="_Hlk153798384"/>
      <w:bookmarkStart w:id="423" w:name="_Hlk533798810"/>
      <w:r>
        <w:rPr>
          <w:rFonts w:hint="eastAsia"/>
        </w:rPr>
        <w:t>营业收入、营业成本的分解信息</w:t>
      </w:r>
      <w:r>
        <w:t xml:space="preserve"> </w:t>
      </w:r>
    </w:p>
    <w:sdt>
      <w:sdtPr>
        <w:rPr>
          <w:rFonts w:ascii="宋体" w:hAnsi="宋体"/>
          <w:szCs w:val="21"/>
        </w:rPr>
        <w:alias w:val="是否适用：母公司营业收入、营业成本的分解信息 [双击切换]"/>
        <w:tag w:val="_GBC_ebb0bd28b90c4b2b9a1a99758f2ade01"/>
        <w:id w:val="8325"/>
        <w:placeholder>
          <w:docPart w:val="GBC22222222222222222222222222222"/>
        </w:placeholder>
      </w:sdtPr>
      <w:sdtEndPr>
        <w:rPr>
          <w:rFonts w:ascii="宋体" w:hAnsi="宋体"/>
          <w:szCs w:val="21"/>
        </w:rPr>
      </w:sdtEndPr>
      <w:sdtContent>
        <w:p>
          <w:pPr>
            <w:pStyle w:val="56"/>
            <w:ind w:firstLine="0" w:firstLineChars="0"/>
            <w:jc w:val="left"/>
            <w:rPr>
              <w:rFonts w:hint="eastAsia" w:ascii="宋体" w:hAnsi="宋体"/>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r>
        <w:rPr>
          <w:rFonts w:hint="eastAsia"/>
        </w:rPr>
        <w:t>其他说明：</w:t>
      </w:r>
    </w:p>
    <w:sdt>
      <w:sdtPr>
        <w:alias w:val="是否适用：母公司营业收入、营业成本的分解信息说明 [双击切换]"/>
        <w:tag w:val="_GBC_579e9b003cbd4b94a5da57be65a206f7"/>
        <w:id w:val="8326"/>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color w:val="000000" w:themeColor="text1"/>
          <w14:textFill>
            <w14:solidFill>
              <w14:schemeClr w14:val="tx1"/>
            </w14:solidFill>
          </w14:textFill>
        </w:rPr>
      </w:pPr>
    </w:p>
    <w:bookmarkEnd w:id="422"/>
    <w:p>
      <w:pPr>
        <w:pStyle w:val="5"/>
        <w:numPr>
          <w:ilvl w:val="0"/>
          <w:numId w:val="133"/>
        </w:numPr>
        <w:rPr>
          <w:rFonts w:hint="eastAsia" w:ascii="宋体" w:hAnsi="宋体" w:eastAsia="宋体" w:cs="宋体"/>
          <w:kern w:val="0"/>
          <w:szCs w:val="24"/>
        </w:rPr>
      </w:pPr>
      <w:bookmarkStart w:id="424" w:name="_Hlk155961563"/>
      <w:r>
        <w:rPr>
          <w:rFonts w:hint="eastAsia" w:ascii="宋体" w:hAnsi="宋体" w:eastAsia="宋体" w:cs="宋体"/>
          <w:kern w:val="0"/>
          <w:szCs w:val="24"/>
        </w:rPr>
        <w:t>履约义务的说明</w:t>
      </w:r>
    </w:p>
    <w:sdt>
      <w:sdtPr>
        <w:alias w:val="是否适用：履约义务的说明[双击切换]"/>
        <w:tag w:val="_GBC_0b818a1fe50c41248e0bae7b16db682e"/>
        <w:id w:val="8327"/>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bookmarkEnd w:id="423"/>
    <w:bookmarkEnd w:id="424"/>
    <w:p>
      <w:pPr>
        <w:pStyle w:val="5"/>
        <w:numPr>
          <w:ilvl w:val="0"/>
          <w:numId w:val="133"/>
        </w:numPr>
        <w:rPr>
          <w:rFonts w:hint="eastAsia"/>
        </w:rPr>
      </w:pPr>
      <w:bookmarkStart w:id="425" w:name="_Hlk533798958"/>
      <w:r>
        <w:rPr>
          <w:rFonts w:hint="eastAsia"/>
        </w:rPr>
        <w:t>分摊至剩余履约义务的说明</w:t>
      </w:r>
    </w:p>
    <w:sdt>
      <w:sdtPr>
        <w:alias w:val="是否适用：母公司分摊至剩余履约义务的说明[双击切换]"/>
        <w:tag w:val="_GBC_7f0a9adae5ea4624a849a396f1ce90b1"/>
        <w:id w:val="8328"/>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rFonts w:ascii="Arial" w:hAnsi="Arial"/>
          <w:szCs w:val="21"/>
        </w:rPr>
      </w:pPr>
    </w:p>
    <w:bookmarkEnd w:id="425"/>
    <w:p>
      <w:pPr>
        <w:pStyle w:val="5"/>
        <w:numPr>
          <w:ilvl w:val="0"/>
          <w:numId w:val="133"/>
        </w:numPr>
        <w:rPr>
          <w:rFonts w:hint="eastAsia" w:ascii="宋体" w:hAnsi="宋体" w:eastAsia="宋体" w:cs="宋体"/>
          <w:kern w:val="0"/>
          <w:szCs w:val="24"/>
        </w:rPr>
      </w:pPr>
      <w:bookmarkStart w:id="426" w:name="_Hlk153798573"/>
      <w:r>
        <w:rPr>
          <w:rFonts w:hint="eastAsia" w:ascii="宋体" w:hAnsi="宋体" w:eastAsia="宋体" w:cs="宋体"/>
          <w:kern w:val="0"/>
          <w:szCs w:val="24"/>
        </w:rPr>
        <w:t>重大合同变更或重大交易价格调整</w:t>
      </w:r>
    </w:p>
    <w:sdt>
      <w:sdtPr>
        <w:alias w:val="是否适用：母公司重大合同变更或重大交易价格调整[双击切换]"/>
        <w:tag w:val="_GBC_df0026b6a6ff4f0a99c85462586d2446"/>
        <w:id w:val="8329"/>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rFonts w:ascii="Arial" w:hAnsi="Arial"/>
          <w:szCs w:val="21"/>
        </w:rPr>
      </w:pPr>
    </w:p>
    <w:bookmarkEnd w:id="426"/>
    <w:p>
      <w:pPr>
        <w:spacing w:before="60" w:after="60"/>
        <w:rPr>
          <w:szCs w:val="21"/>
        </w:rPr>
      </w:pPr>
      <w:bookmarkStart w:id="427" w:name="_Hlk533798751"/>
      <w:r>
        <w:rPr>
          <w:rFonts w:hint="eastAsia"/>
          <w:szCs w:val="21"/>
        </w:rPr>
        <w:t>其他说明：</w:t>
      </w:r>
    </w:p>
    <w:sdt>
      <w:sdtPr>
        <w:rPr>
          <w:szCs w:val="21"/>
        </w:rPr>
        <w:alias w:val="主营业务说明"/>
        <w:tag w:val="_GBC_fd583c7468404a3e83de872adae134a2"/>
        <w:id w:val="8330"/>
        <w:placeholder>
          <w:docPart w:val="GBC22222222222222222222222222222"/>
        </w:placeholder>
      </w:sdtPr>
      <w:sdtEndPr>
        <w:rPr>
          <w:szCs w:val="21"/>
        </w:rPr>
      </w:sdtEndPr>
      <w:sdtContent>
        <w:p>
          <w:pPr>
            <w:rPr>
              <w:szCs w:val="21"/>
            </w:rPr>
          </w:pPr>
          <w:r>
            <w:rPr>
              <w:rFonts w:hint="eastAsia"/>
              <w:szCs w:val="21"/>
            </w:rPr>
            <w:t>无</w:t>
          </w:r>
        </w:p>
      </w:sdtContent>
    </w:sdt>
    <w:p>
      <w:pPr>
        <w:rPr>
          <w:szCs w:val="21"/>
        </w:rPr>
      </w:pPr>
    </w:p>
    <w:bookmarkEnd w:id="427"/>
    <w:p>
      <w:pPr>
        <w:pStyle w:val="4"/>
        <w:numPr>
          <w:ilvl w:val="0"/>
          <w:numId w:val="127"/>
        </w:numPr>
        <w:rPr>
          <w:rFonts w:hint="eastAsia" w:ascii="宋体" w:hAnsi="宋体"/>
          <w:szCs w:val="21"/>
        </w:rPr>
      </w:pPr>
      <w:bookmarkStart w:id="428" w:name="OLE_LINK6"/>
      <w:bookmarkStart w:id="429" w:name="_Hlk10548739"/>
      <w:bookmarkStart w:id="430" w:name="_Hlk24031063"/>
      <w:r>
        <w:rPr>
          <w:rFonts w:hint="eastAsia" w:ascii="宋体" w:hAnsi="宋体"/>
          <w:szCs w:val="21"/>
        </w:rPr>
        <w:t>投资收益</w:t>
      </w:r>
      <w:bookmarkEnd w:id="428"/>
    </w:p>
    <w:sdt>
      <w:sdtPr>
        <w:alias w:val="是否适用：母公司投资收益[双击切换]"/>
        <w:tag w:val="_GBC_c2bb46ec06e343088b38ac6340f45fb2"/>
        <w:id w:val="8331"/>
        <w:placeholder>
          <w:docPart w:val="GBC22222222222222222222222222222"/>
        </w:placeholder>
      </w:sdtPr>
      <w:sdtContent>
        <w:p>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color w:val="FF0000"/>
        </w:rPr>
      </w:pPr>
      <w:r>
        <w:t>单位</w:t>
      </w:r>
      <w:r>
        <w:rPr>
          <w:rFonts w:hint="eastAsia"/>
        </w:rPr>
        <w:t>：</w:t>
      </w:r>
      <w:sdt>
        <w:sdtPr>
          <w:rPr>
            <w:rFonts w:hint="eastAsia"/>
          </w:rPr>
          <w:alias w:val="单位：财务附注：会计报表中的投资收益项目增加"/>
          <w:tag w:val="_GBC_12c9db09bbc645b69cfb011197b5e700"/>
          <w:id w:val="833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t xml:space="preserve">  币种</w:t>
      </w:r>
      <w:r>
        <w:rPr>
          <w:rFonts w:hint="eastAsia"/>
        </w:rPr>
        <w:t>：</w:t>
      </w:r>
      <w:sdt>
        <w:sdtPr>
          <w:rPr>
            <w:rFonts w:hint="eastAsia"/>
          </w:rPr>
          <w:alias w:val="币种：财务附注：会计报表中的投资收益项目增加"/>
          <w:tag w:val="_GBC_4090bf40cd1647838a8c5908dbc544c5"/>
          <w:id w:val="833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4"/>
        <w:gridCol w:w="2520"/>
        <w:gridCol w:w="2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4" w:type="dxa"/>
            <w:vAlign w:val="center"/>
          </w:tcPr>
          <w:sdt>
            <w:sdtPr>
              <w:tag w:val="_PLD_507ed5c985ab48c59a18c2d57dd68c9c"/>
              <w:id w:val="8334"/>
            </w:sdtPr>
            <w:sdtContent>
              <w:p>
                <w:pPr>
                  <w:ind w:left="420" w:hanging="420"/>
                  <w:jc w:val="center"/>
                  <w:rPr>
                    <w:szCs w:val="21"/>
                  </w:rPr>
                </w:pPr>
                <w:bookmarkStart w:id="431" w:name="_Hlk24031106"/>
                <w:r>
                  <w:rPr>
                    <w:rFonts w:hint="eastAsia"/>
                    <w:szCs w:val="21"/>
                  </w:rPr>
                  <w:t>项目</w:t>
                </w:r>
              </w:p>
            </w:sdtContent>
          </w:sdt>
        </w:tc>
        <w:tc>
          <w:tcPr>
            <w:tcW w:w="2520" w:type="dxa"/>
            <w:vAlign w:val="center"/>
          </w:tcPr>
          <w:sdt>
            <w:sdtPr>
              <w:tag w:val="_PLD_47187d04b5814de2ac4d8e7ab7f3dcf5"/>
              <w:id w:val="8335"/>
            </w:sdtPr>
            <w:sdtContent>
              <w:p>
                <w:pPr>
                  <w:jc w:val="center"/>
                  <w:rPr>
                    <w:szCs w:val="21"/>
                  </w:rPr>
                </w:pPr>
                <w:r>
                  <w:rPr>
                    <w:rFonts w:hint="eastAsia"/>
                    <w:szCs w:val="21"/>
                  </w:rPr>
                  <w:t>本期发生额</w:t>
                </w:r>
              </w:p>
            </w:sdtContent>
          </w:sdt>
        </w:tc>
        <w:tc>
          <w:tcPr>
            <w:tcW w:w="2703" w:type="dxa"/>
            <w:vAlign w:val="center"/>
          </w:tcPr>
          <w:sdt>
            <w:sdtPr>
              <w:tag w:val="_PLD_9b38c11702ff453c93beb78507ab4be2"/>
              <w:id w:val="8336"/>
            </w:sdtPr>
            <w:sdtContent>
              <w:p>
                <w:pPr>
                  <w:jc w:val="center"/>
                  <w:rPr>
                    <w:szCs w:val="21"/>
                  </w:rPr>
                </w:pPr>
                <w:r>
                  <w:rPr>
                    <w:rFonts w:hint="eastAsia"/>
                    <w:szCs w:val="21"/>
                  </w:rPr>
                  <w:t>上期发生额</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4" w:type="dxa"/>
            <w:vAlign w:val="center"/>
          </w:tcPr>
          <w:p>
            <w:r>
              <w:t>成本法核算的长期股权投资收益</w:t>
            </w:r>
          </w:p>
        </w:tc>
        <w:tc>
          <w:tcPr>
            <w:tcW w:w="2520" w:type="dxa"/>
            <w:vAlign w:val="center"/>
          </w:tcPr>
          <w:p>
            <w:pPr>
              <w:jc w:val="right"/>
              <w:rPr>
                <w:szCs w:val="21"/>
              </w:rPr>
            </w:pPr>
            <w:r>
              <w:rPr>
                <w:rFonts w:hint="eastAsia"/>
                <w:color w:val="auto"/>
              </w:rPr>
              <w:t>1,804,000.00</w:t>
            </w:r>
          </w:p>
        </w:tc>
        <w:tc>
          <w:tcPr>
            <w:tcW w:w="2703" w:type="dxa"/>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4" w:type="dxa"/>
            <w:vAlign w:val="center"/>
          </w:tcPr>
          <w:p>
            <w:r>
              <w:rPr>
                <w:rFonts w:hint="eastAsia"/>
              </w:rPr>
              <w:t>交易性金融资产在持有期间的投资收益</w:t>
            </w:r>
          </w:p>
        </w:tc>
        <w:tc>
          <w:tcPr>
            <w:tcW w:w="2520" w:type="dxa"/>
            <w:vAlign w:val="center"/>
          </w:tcPr>
          <w:p>
            <w:pPr>
              <w:jc w:val="right"/>
              <w:rPr>
                <w:szCs w:val="21"/>
              </w:rPr>
            </w:pPr>
            <w:r>
              <w:rPr>
                <w:rFonts w:hint="eastAsia"/>
                <w:color w:val="auto"/>
              </w:rPr>
              <w:t>5,756,950.60</w:t>
            </w:r>
          </w:p>
        </w:tc>
        <w:tc>
          <w:tcPr>
            <w:tcW w:w="2703" w:type="dxa"/>
            <w:vAlign w:val="center"/>
          </w:tcPr>
          <w:p>
            <w:pPr>
              <w:jc w:val="right"/>
              <w:rPr>
                <w:szCs w:val="21"/>
              </w:rPr>
            </w:pPr>
            <w:r>
              <w:rPr>
                <w:rFonts w:hint="eastAsia"/>
                <w:color w:val="auto"/>
              </w:rPr>
              <w:t>7,154,107.51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4" w:type="dxa"/>
            <w:vAlign w:val="center"/>
          </w:tcPr>
          <w:p>
            <w:r>
              <w:rPr>
                <w:rFonts w:hint="eastAsia"/>
              </w:rPr>
              <w:t>其他权益工具投资在持有期间取得的股利收入</w:t>
            </w:r>
          </w:p>
        </w:tc>
        <w:tc>
          <w:tcPr>
            <w:tcW w:w="2520" w:type="dxa"/>
            <w:vAlign w:val="center"/>
          </w:tcPr>
          <w:p>
            <w:pPr>
              <w:jc w:val="right"/>
              <w:rPr>
                <w:szCs w:val="21"/>
              </w:rPr>
            </w:pPr>
            <w:r>
              <w:rPr>
                <w:rFonts w:hint="eastAsia"/>
                <w:color w:val="auto"/>
              </w:rPr>
              <w:t>13,120,000.00</w:t>
            </w:r>
          </w:p>
        </w:tc>
        <w:tc>
          <w:tcPr>
            <w:tcW w:w="2703" w:type="dxa"/>
            <w:vAlign w:val="center"/>
          </w:tcPr>
          <w:p>
            <w:pPr>
              <w:jc w:val="right"/>
              <w:rPr>
                <w:szCs w:val="21"/>
              </w:rPr>
            </w:pPr>
            <w:r>
              <w:rPr>
                <w:rFonts w:hint="eastAsia"/>
                <w:color w:val="auto"/>
              </w:rPr>
              <w:t>16,200,000.00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4" w:type="dxa"/>
            <w:vAlign w:val="center"/>
          </w:tcPr>
          <w:p>
            <w:r>
              <w:rPr>
                <w:rFonts w:hint="eastAsia"/>
              </w:rPr>
              <w:t>债务重组收益</w:t>
            </w:r>
          </w:p>
        </w:tc>
        <w:tc>
          <w:tcPr>
            <w:tcW w:w="2520" w:type="dxa"/>
            <w:vAlign w:val="center"/>
          </w:tcPr>
          <w:p>
            <w:pPr>
              <w:jc w:val="right"/>
              <w:rPr>
                <w:szCs w:val="21"/>
              </w:rPr>
            </w:pPr>
            <w:r>
              <w:rPr>
                <w:rFonts w:hint="eastAsia"/>
                <w:color w:val="auto"/>
              </w:rPr>
              <w:t>-644,055.24</w:t>
            </w:r>
          </w:p>
        </w:tc>
        <w:tc>
          <w:tcPr>
            <w:tcW w:w="2703" w:type="dxa"/>
            <w:vAlign w:val="center"/>
          </w:tcPr>
          <w:p>
            <w:pPr>
              <w:jc w:val="righ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4" w:type="dxa"/>
            <w:vAlign w:val="center"/>
          </w:tcPr>
          <w:p>
            <w:pPr>
              <w:jc w:val="center"/>
              <w:rPr>
                <w:szCs w:val="21"/>
              </w:rPr>
            </w:pPr>
            <w:r>
              <w:rPr>
                <w:rFonts w:hint="eastAsia"/>
                <w:szCs w:val="21"/>
              </w:rPr>
              <w:t>合计</w:t>
            </w:r>
          </w:p>
        </w:tc>
        <w:tc>
          <w:tcPr>
            <w:tcW w:w="2520" w:type="dxa"/>
            <w:vAlign w:val="center"/>
          </w:tcPr>
          <w:p>
            <w:pPr>
              <w:jc w:val="right"/>
              <w:rPr>
                <w:rFonts w:hint="eastAsia"/>
                <w:szCs w:val="21"/>
              </w:rPr>
            </w:pPr>
            <w:r>
              <w:rPr>
                <w:rFonts w:hint="eastAsia"/>
                <w:color w:val="auto"/>
                <w:szCs w:val="21"/>
              </w:rPr>
              <w:t>20,036,895.36</w:t>
            </w:r>
          </w:p>
        </w:tc>
        <w:tc>
          <w:tcPr>
            <w:tcW w:w="2703" w:type="dxa"/>
            <w:vAlign w:val="center"/>
          </w:tcPr>
          <w:p>
            <w:pPr>
              <w:jc w:val="right"/>
              <w:rPr>
                <w:rFonts w:hint="eastAsia"/>
                <w:szCs w:val="21"/>
              </w:rPr>
            </w:pPr>
            <w:r>
              <w:rPr>
                <w:rFonts w:hint="eastAsia"/>
                <w:color w:val="auto"/>
                <w:szCs w:val="21"/>
              </w:rPr>
              <w:t>23,354,107.51</w:t>
            </w:r>
          </w:p>
        </w:tc>
      </w:tr>
      <w:bookmarkEnd w:id="429"/>
      <w:bookmarkEnd w:id="431"/>
    </w:tbl>
    <w:p>
      <w:pPr>
        <w:spacing w:line="360" w:lineRule="exact"/>
        <w:rPr>
          <w:szCs w:val="21"/>
        </w:rPr>
      </w:pPr>
      <w:bookmarkStart w:id="432" w:name="_Hlk10720480"/>
      <w:r>
        <w:rPr>
          <w:rFonts w:hint="eastAsia"/>
          <w:szCs w:val="21"/>
        </w:rPr>
        <w:t>其他说明：</w:t>
      </w:r>
      <w:bookmarkEnd w:id="432"/>
    </w:p>
    <w:sdt>
      <w:sdtPr>
        <w:rPr>
          <w:szCs w:val="21"/>
        </w:rPr>
        <w:alias w:val="投资收益说明"/>
        <w:tag w:val="_GBC_003661b91b5144cfbf329a4aeb060fe6"/>
        <w:id w:val="8337"/>
        <w:placeholder>
          <w:docPart w:val="GBC22222222222222222222222222222"/>
        </w:placeholder>
      </w:sdtPr>
      <w:sdtEndPr>
        <w:rPr>
          <w:rFonts w:hint="eastAsia"/>
          <w:color w:val="auto"/>
          <w:sz w:val="21"/>
          <w:szCs w:val="21"/>
        </w:rPr>
      </w:sdtEndPr>
      <w:sdtContent>
        <w:p>
          <w:pPr>
            <w:ind w:firstLine="640"/>
            <w:rPr>
              <w:szCs w:val="21"/>
            </w:rPr>
          </w:pPr>
          <w:r>
            <w:rPr>
              <w:rFonts w:hint="eastAsia" w:ascii="宋体" w:hAnsi="宋体" w:eastAsia="宋体" w:cs="宋体"/>
              <w:sz w:val="21"/>
              <w:szCs w:val="21"/>
            </w:rPr>
            <w:t>交易性金融资产持有期间的投资收益</w:t>
          </w: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6"/>
            <w:gridCol w:w="4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Pr>
              <w:p>
                <w:pPr>
                  <w:widowControl w:val="0"/>
                  <w:ind w:firstLine="480"/>
                  <w:jc w:val="center"/>
                  <w:rPr>
                    <w:sz w:val="21"/>
                    <w:szCs w:val="21"/>
                  </w:rPr>
                </w:pPr>
                <w:r>
                  <w:rPr>
                    <w:rFonts w:hint="eastAsia" w:ascii="Arial" w:eastAsia="Arial"/>
                    <w:sz w:val="21"/>
                    <w:szCs w:val="21"/>
                  </w:rPr>
                  <w:t>项目</w:t>
                </w:r>
              </w:p>
            </w:tc>
            <w:tc>
              <w:tcPr>
                <w:vAlign w:val="center"/>
              </w:tcPr>
              <w:p>
                <w:pPr>
                  <w:widowControl w:val="0"/>
                  <w:ind w:firstLine="480"/>
                  <w:jc w:val="center"/>
                  <w:rPr>
                    <w:sz w:val="21"/>
                    <w:szCs w:val="21"/>
                  </w:rPr>
                </w:pPr>
                <w:r>
                  <w:rPr>
                    <w:rFonts w:hint="eastAsia" w:ascii="Arial" w:eastAsia="Arial"/>
                    <w:sz w:val="21"/>
                    <w:szCs w:val="21"/>
                  </w:rPr>
                  <w:t>本期发生额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Pr>
              <w:p>
                <w:pPr>
                  <w:widowControl w:val="0"/>
                  <w:jc w:val="both"/>
                  <w:rPr>
                    <w:rFonts w:hint="eastAsia"/>
                    <w:sz w:val="21"/>
                    <w:szCs w:val="21"/>
                  </w:rPr>
                </w:pPr>
                <w:r>
                  <w:rPr>
                    <w:rFonts w:hint="eastAsia"/>
                    <w:sz w:val="21"/>
                    <w:szCs w:val="21"/>
                  </w:rPr>
                  <w:t>交通银行A股红利</w:t>
                </w:r>
              </w:p>
            </w:tc>
            <w:tc>
              <w:tcPr>
                <w:vAlign w:val="center"/>
              </w:tcPr>
              <w:p>
                <w:pPr>
                  <w:widowControl w:val="0"/>
                  <w:jc w:val="right"/>
                  <w:rPr>
                    <w:rFonts w:hint="eastAsia"/>
                    <w:color w:val="auto"/>
                    <w:sz w:val="21"/>
                    <w:szCs w:val="21"/>
                  </w:rPr>
                </w:pPr>
                <w:r>
                  <w:rPr>
                    <w:rFonts w:hint="eastAsia"/>
                    <w:color w:val="auto"/>
                    <w:sz w:val="21"/>
                    <w:szCs w:val="21"/>
                  </w:rPr>
                  <w:t>18,212.97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Pr>
              <w:p>
                <w:pPr>
                  <w:widowControl w:val="0"/>
                  <w:jc w:val="both"/>
                  <w:rPr>
                    <w:rFonts w:hint="eastAsia"/>
                    <w:sz w:val="21"/>
                    <w:szCs w:val="21"/>
                  </w:rPr>
                </w:pPr>
                <w:r>
                  <w:rPr>
                    <w:rFonts w:hint="eastAsia"/>
                    <w:sz w:val="21"/>
                    <w:szCs w:val="21"/>
                  </w:rPr>
                  <w:t>中信证券A股红利</w:t>
                </w:r>
              </w:p>
            </w:tc>
            <w:tc>
              <w:tcPr>
                <w:vAlign w:val="center"/>
              </w:tcPr>
              <w:p>
                <w:pPr>
                  <w:widowControl w:val="0"/>
                  <w:jc w:val="right"/>
                  <w:rPr>
                    <w:rFonts w:hint="eastAsia"/>
                    <w:color w:val="auto"/>
                    <w:sz w:val="21"/>
                    <w:szCs w:val="21"/>
                  </w:rPr>
                </w:pPr>
                <w:r>
                  <w:rPr>
                    <w:rFonts w:hint="eastAsia"/>
                    <w:color w:val="auto"/>
                    <w:sz w:val="21"/>
                    <w:szCs w:val="21"/>
                  </w:rPr>
                  <w:t>5,676,498.90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Pr>
              <w:p>
                <w:pPr>
                  <w:widowControl w:val="0"/>
                  <w:jc w:val="both"/>
                  <w:rPr>
                    <w:rFonts w:hint="eastAsia"/>
                    <w:sz w:val="21"/>
                    <w:szCs w:val="21"/>
                  </w:rPr>
                </w:pPr>
                <w:r>
                  <w:rPr>
                    <w:rFonts w:hint="eastAsia"/>
                    <w:sz w:val="21"/>
                    <w:szCs w:val="21"/>
                  </w:rPr>
                  <w:t>宏源天添利红利</w:t>
                </w:r>
              </w:p>
            </w:tc>
            <w:tc>
              <w:tcPr>
                <w:vAlign w:val="center"/>
              </w:tcPr>
              <w:p>
                <w:pPr>
                  <w:widowControl w:val="0"/>
                  <w:jc w:val="right"/>
                  <w:rPr>
                    <w:rFonts w:hint="eastAsia"/>
                    <w:color w:val="auto"/>
                    <w:sz w:val="21"/>
                    <w:szCs w:val="21"/>
                  </w:rPr>
                </w:pPr>
                <w:r>
                  <w:rPr>
                    <w:rFonts w:hint="eastAsia"/>
                    <w:color w:val="auto"/>
                    <w:sz w:val="21"/>
                    <w:szCs w:val="21"/>
                  </w:rPr>
                  <w:t>62,238.73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Pr>
              <w:p>
                <w:pPr>
                  <w:widowControl w:val="0"/>
                  <w:ind w:firstLine="480"/>
                  <w:jc w:val="center"/>
                  <w:rPr>
                    <w:sz w:val="21"/>
                    <w:szCs w:val="21"/>
                  </w:rPr>
                </w:pPr>
                <w:r>
                  <w:rPr>
                    <w:rFonts w:hint="eastAsia"/>
                    <w:sz w:val="21"/>
                    <w:szCs w:val="21"/>
                  </w:rPr>
                  <w:t>合计</w:t>
                </w:r>
              </w:p>
            </w:tc>
            <w:tc>
              <w:tcPr>
                <w:vAlign w:val="center"/>
              </w:tcPr>
              <w:p>
                <w:pPr>
                  <w:widowControl w:val="0"/>
                  <w:jc w:val="right"/>
                  <w:rPr>
                    <w:rFonts w:hint="eastAsia"/>
                    <w:color w:val="auto"/>
                    <w:sz w:val="21"/>
                    <w:szCs w:val="21"/>
                  </w:rPr>
                </w:pPr>
                <w:r>
                  <w:rPr>
                    <w:rFonts w:hint="eastAsia"/>
                    <w:color w:val="auto"/>
                    <w:sz w:val="21"/>
                    <w:szCs w:val="21"/>
                  </w:rPr>
                  <w:t>5,756,950.60</w:t>
                </w:r>
              </w:p>
            </w:tc>
          </w:tr>
        </w:tbl>
        <w:p>
          <w:pPr>
            <w:ind w:firstLine="640"/>
            <w:rPr>
              <w:rFonts w:hint="eastAsia" w:ascii="宋体" w:hAnsi="宋体" w:eastAsia="宋体" w:cs="宋体"/>
              <w:sz w:val="21"/>
              <w:szCs w:val="21"/>
            </w:rPr>
          </w:pPr>
          <w:r>
            <w:rPr>
              <w:rFonts w:hint="eastAsia" w:ascii="宋体" w:hAnsi="宋体" w:eastAsia="宋体" w:cs="宋体"/>
              <w:sz w:val="21"/>
              <w:szCs w:val="21"/>
            </w:rPr>
            <w:t>其他权益工具投资持有期间的股利收入</w:t>
          </w: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82"/>
            <w:gridCol w:w="3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Pr>
              <w:p>
                <w:pPr>
                  <w:widowControl w:val="0"/>
                  <w:jc w:val="both"/>
                  <w:rPr>
                    <w:rFonts w:hint="eastAsia"/>
                    <w:sz w:val="21"/>
                    <w:szCs w:val="21"/>
                  </w:rPr>
                </w:pPr>
                <w:r>
                  <w:rPr>
                    <w:rFonts w:hint="eastAsia"/>
                    <w:sz w:val="21"/>
                    <w:szCs w:val="21"/>
                  </w:rPr>
                  <w:t>项目</w:t>
                </w:r>
              </w:p>
            </w:tc>
            <w:tc>
              <w:tcPr>
                <w:vAlign w:val="center"/>
              </w:tcPr>
              <w:p>
                <w:pPr>
                  <w:widowControl w:val="0"/>
                  <w:ind w:firstLine="480"/>
                  <w:jc w:val="center"/>
                  <w:rPr>
                    <w:sz w:val="21"/>
                    <w:szCs w:val="21"/>
                  </w:rPr>
                </w:pPr>
                <w:r>
                  <w:rPr>
                    <w:rFonts w:hint="eastAsia" w:ascii="Arial" w:eastAsia="Arial"/>
                    <w:sz w:val="21"/>
                    <w:szCs w:val="21"/>
                  </w:rPr>
                  <w:t>本期发生额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Pr>
              <w:p>
                <w:pPr>
                  <w:widowControl w:val="0"/>
                  <w:jc w:val="both"/>
                  <w:rPr>
                    <w:rFonts w:hint="eastAsia"/>
                    <w:sz w:val="21"/>
                    <w:szCs w:val="21"/>
                  </w:rPr>
                </w:pPr>
                <w:r>
                  <w:rPr>
                    <w:rFonts w:hint="eastAsia"/>
                    <w:sz w:val="21"/>
                    <w:szCs w:val="21"/>
                  </w:rPr>
                  <w:t>广西北部湾银行股份有限公司</w:t>
                </w:r>
              </w:p>
            </w:tc>
            <w:tc>
              <w:tcPr>
                <w:vAlign w:val="center"/>
              </w:tcPr>
              <w:p>
                <w:pPr>
                  <w:widowControl w:val="0"/>
                  <w:jc w:val="right"/>
                  <w:rPr>
                    <w:rFonts w:hint="eastAsia"/>
                    <w:color w:val="auto"/>
                    <w:sz w:val="21"/>
                    <w:szCs w:val="21"/>
                  </w:rPr>
                </w:pPr>
                <w:r>
                  <w:rPr>
                    <w:rFonts w:hint="eastAsia"/>
                    <w:color w:val="auto"/>
                    <w:sz w:val="21"/>
                    <w:szCs w:val="21"/>
                  </w:rPr>
                  <w:t>12,320,000.00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Pr>
              <w:p>
                <w:pPr>
                  <w:widowControl w:val="0"/>
                  <w:jc w:val="both"/>
                  <w:rPr>
                    <w:rFonts w:hint="eastAsia"/>
                    <w:sz w:val="21"/>
                    <w:szCs w:val="21"/>
                  </w:rPr>
                </w:pPr>
                <w:r>
                  <w:rPr>
                    <w:rFonts w:hint="eastAsia"/>
                    <w:sz w:val="21"/>
                    <w:szCs w:val="21"/>
                  </w:rPr>
                  <w:t>柳州银行股份有限公司</w:t>
                </w:r>
              </w:p>
            </w:tc>
            <w:tc>
              <w:tcPr>
                <w:vAlign w:val="center"/>
              </w:tcPr>
              <w:p>
                <w:pPr>
                  <w:widowControl w:val="0"/>
                  <w:jc w:val="right"/>
                  <w:rPr>
                    <w:rFonts w:hint="eastAsia"/>
                    <w:color w:val="auto"/>
                    <w:sz w:val="21"/>
                    <w:szCs w:val="21"/>
                  </w:rPr>
                </w:pPr>
                <w:r>
                  <w:rPr>
                    <w:rFonts w:hint="eastAsia"/>
                    <w:color w:val="auto"/>
                    <w:sz w:val="21"/>
                    <w:szCs w:val="21"/>
                  </w:rPr>
                  <w:t>800,000.00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Pr>
              <w:p>
                <w:pPr>
                  <w:widowControl w:val="0"/>
                  <w:jc w:val="both"/>
                  <w:rPr>
                    <w:rFonts w:hint="eastAsia"/>
                    <w:sz w:val="21"/>
                    <w:szCs w:val="21"/>
                  </w:rPr>
                </w:pPr>
                <w:r>
                  <w:rPr>
                    <w:rFonts w:hint="eastAsia"/>
                    <w:sz w:val="21"/>
                    <w:szCs w:val="21"/>
                  </w:rPr>
                  <w:t>合计</w:t>
                </w:r>
              </w:p>
            </w:tc>
            <w:tc>
              <w:tcPr>
                <w:vAlign w:val="center"/>
              </w:tcPr>
              <w:p>
                <w:pPr>
                  <w:widowControl w:val="0"/>
                  <w:jc w:val="right"/>
                  <w:rPr>
                    <w:rFonts w:hint="eastAsia"/>
                    <w:color w:val="auto"/>
                    <w:sz w:val="21"/>
                    <w:szCs w:val="21"/>
                  </w:rPr>
                </w:pPr>
                <w:r>
                  <w:rPr>
                    <w:rFonts w:hint="eastAsia"/>
                    <w:color w:val="auto"/>
                    <w:sz w:val="21"/>
                    <w:szCs w:val="21"/>
                  </w:rPr>
                  <w:t>13,120,000.00</w:t>
                </w:r>
              </w:p>
            </w:tc>
          </w:tr>
        </w:tbl>
      </w:sdtContent>
    </w:sdt>
    <w:p>
      <w:pPr>
        <w:rPr>
          <w:szCs w:val="21"/>
        </w:rPr>
      </w:pPr>
    </w:p>
    <w:bookmarkEnd w:id="430"/>
    <w:p>
      <w:pPr>
        <w:pStyle w:val="4"/>
        <w:numPr>
          <w:ilvl w:val="0"/>
          <w:numId w:val="127"/>
        </w:numPr>
        <w:rPr>
          <w:szCs w:val="21"/>
        </w:rPr>
      </w:pPr>
      <w:r>
        <w:rPr>
          <w:rFonts w:hint="eastAsia"/>
          <w:szCs w:val="21"/>
        </w:rPr>
        <w:t>其他</w:t>
      </w:r>
    </w:p>
    <w:sdt>
      <w:sdtPr>
        <w:rPr>
          <w:rFonts w:hint="eastAsia"/>
          <w:szCs w:val="21"/>
        </w:rPr>
        <w:alias w:val="是否适用：母公司会计报表附注的其他说明事项[双击切换]"/>
        <w:tag w:val="_GBC_da1bbbf487cd4e98b945920735517f12"/>
        <w:id w:val="8338"/>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ind w:right="-1594" w:rightChars="-759"/>
        <w:rPr>
          <w:szCs w:val="21"/>
        </w:rPr>
      </w:pPr>
    </w:p>
    <w:sdt>
      <w:sdtPr>
        <w:tag w:val="_PLD_70103304f006465da640ca08d123406c"/>
        <w:id w:val="8339"/>
      </w:sdtPr>
      <w:sdtContent>
        <w:p>
          <w:pPr>
            <w:pStyle w:val="3"/>
            <w:numPr>
              <w:ilvl w:val="0"/>
              <w:numId w:val="52"/>
            </w:numPr>
            <w:rPr>
              <w:rFonts w:hint="eastAsia" w:ascii="宋体" w:hAnsi="宋体"/>
            </w:rPr>
          </w:pPr>
          <w:r>
            <w:rPr>
              <w:rFonts w:hint="eastAsia" w:ascii="宋体" w:hAnsi="宋体"/>
            </w:rPr>
            <w:t>补充资料</w:t>
          </w:r>
        </w:p>
      </w:sdtContent>
    </w:sdt>
    <w:p>
      <w:pPr>
        <w:pStyle w:val="4"/>
        <w:numPr>
          <w:ilvl w:val="0"/>
          <w:numId w:val="134"/>
        </w:numPr>
        <w:rPr>
          <w:rFonts w:hint="eastAsia" w:ascii="宋体" w:hAnsi="宋体"/>
          <w:szCs w:val="21"/>
        </w:rPr>
      </w:pPr>
      <w:bookmarkStart w:id="433" w:name="_Hlk535584690"/>
      <w:bookmarkStart w:id="434" w:name="_Hlk152579827"/>
      <w:r>
        <w:rPr>
          <w:rFonts w:hint="eastAsia" w:ascii="宋体" w:hAnsi="宋体"/>
          <w:szCs w:val="21"/>
        </w:rPr>
        <w:t>当期非经常性损益明细表</w:t>
      </w:r>
    </w:p>
    <w:sdt>
      <w:sdtPr>
        <w:alias w:val="是否适用：当期非经常性损益明细表[双击切换]"/>
        <w:tag w:val="_GBC_b3c7aec730db408a9d46da725d5662b4"/>
        <w:id w:val="8340"/>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jc w:val="right"/>
        <w:rPr>
          <w:szCs w:val="21"/>
        </w:rPr>
      </w:pPr>
      <w:r>
        <w:rPr>
          <w:rFonts w:hint="eastAsia"/>
          <w:szCs w:val="21"/>
        </w:rPr>
        <w:t>单位：</w:t>
      </w:r>
      <w:sdt>
        <w:sdtPr>
          <w:rPr>
            <w:rFonts w:hint="eastAsia"/>
            <w:szCs w:val="21"/>
          </w:rPr>
          <w:alias w:val="单位：扣除非经常性损益项目和金额"/>
          <w:tag w:val="_GBC_63d386bc1f1d45a9803caa6346ef271f"/>
          <w:id w:val="8341"/>
          <w:placeholder>
            <w:docPart w:val="GBC22222222222222222222222222222"/>
          </w:placeholder>
          <w:dataBinding w:prefixMappings="xmlns:clcid-ci-ar='clcid-ci-ar'" w:xpath="/*/clcid-ci-ar:DanWeiKouChuFeiJingChangXingSunYiXiangMuHeJinE[not(@periodRef)]" w:storeItemID="{89EBAB94-44A0-46A2-B712-30D997D04A6D}"/>
          <w:comboBox>
            <w:listItem w:displayText="元" w:value="1"/>
            <w:listItem w:displayText="千元" w:value="1000"/>
            <w:listItem w:displayText="万元" w:value="10000"/>
            <w:listItem w:displayText="百万元" w:value="1000000"/>
            <w:listItem w:displayText="亿元" w:value="100000000"/>
          </w:comboBox>
        </w:sdtPr>
        <w:sdtEndPr>
          <w:rPr>
            <w:rFonts w:hint="eastAsia"/>
            <w:szCs w:val="21"/>
          </w:rPr>
        </w:sdtEndPr>
        <w:sdtContent>
          <w:r>
            <w:rPr>
              <w:rFonts w:hint="eastAsia"/>
              <w:szCs w:val="21"/>
              <w:lang w:eastAsia="zh-CN"/>
            </w:rPr>
            <w:t>元</w:t>
          </w:r>
        </w:sdtContent>
      </w:sdt>
      <w:r>
        <w:rPr>
          <w:rFonts w:hint="eastAsia"/>
          <w:szCs w:val="21"/>
        </w:rPr>
        <w:t xml:space="preserve">  币种：</w:t>
      </w:r>
      <w:sdt>
        <w:sdtPr>
          <w:rPr>
            <w:rFonts w:hint="eastAsia"/>
            <w:szCs w:val="21"/>
          </w:rPr>
          <w:alias w:val="币种：扣除非经常性损益项目和金额"/>
          <w:tag w:val="_GBC_fb530451edb743d2bcc0dacb892d672d"/>
          <w:id w:val="8342"/>
          <w:placeholder>
            <w:docPart w:val="GBC22222222222222222222222222222"/>
          </w:placeholder>
          <w:dataBinding w:prefixMappings="xmlns:clcid-ci-ar='clcid-ci-ar'" w:xpath="/*/clcid-ci-ar:BiZhongKouChuFeiJingChangXingSunYiXiangMuHeJinE[not(@periodRef)]" w:storeItemID="{89EBAB94-44A0-46A2-B712-30D997D04A6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szCs w:val="21"/>
          </w:rPr>
        </w:sdtEndPr>
        <w:sdtContent>
          <w:r>
            <w:rPr>
              <w:rFonts w:hint="eastAsia"/>
              <w:szCs w:val="21"/>
              <w:lang w:eastAsia="zh-CN"/>
            </w:rPr>
            <w:t>人民币</w:t>
          </w:r>
        </w:sdtContent>
      </w:sdt>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7"/>
        <w:gridCol w:w="2188"/>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sdt>
            <w:sdtPr>
              <w:tag w:val="_PLD_f2882777d10a4346880b6d11ab006214"/>
              <w:id w:val="8343"/>
            </w:sdtPr>
            <w:sdtContent>
              <w:p>
                <w:pPr>
                  <w:pStyle w:val="56"/>
                  <w:ind w:firstLine="0" w:firstLineChars="0"/>
                  <w:jc w:val="center"/>
                  <w:rPr>
                    <w:rFonts w:hint="eastAsia" w:ascii="宋体" w:hAnsi="宋体"/>
                    <w:szCs w:val="21"/>
                  </w:rPr>
                </w:pPr>
                <w:r>
                  <w:rPr>
                    <w:rFonts w:hint="eastAsia" w:ascii="宋体" w:hAnsi="宋体"/>
                    <w:szCs w:val="21"/>
                  </w:rPr>
                  <w:t>项目</w:t>
                </w:r>
              </w:p>
            </w:sdtContent>
          </w:sdt>
        </w:tc>
        <w:tc>
          <w:tcPr>
            <w:tcW w:w="2188" w:type="dxa"/>
            <w:vAlign w:val="center"/>
          </w:tcPr>
          <w:sdt>
            <w:sdtPr>
              <w:tag w:val="_PLD_1f5c769dc7ea434a90d739329712e1ed"/>
              <w:id w:val="8344"/>
            </w:sdtPr>
            <w:sdtContent>
              <w:p>
                <w:pPr>
                  <w:pStyle w:val="56"/>
                  <w:ind w:firstLine="0" w:firstLineChars="0"/>
                  <w:jc w:val="center"/>
                  <w:rPr>
                    <w:rFonts w:hint="eastAsia" w:ascii="宋体" w:hAnsi="宋体"/>
                    <w:szCs w:val="21"/>
                  </w:rPr>
                </w:pPr>
                <w:r>
                  <w:rPr>
                    <w:rFonts w:hint="eastAsia" w:ascii="宋体" w:hAnsi="宋体"/>
                    <w:szCs w:val="21"/>
                  </w:rPr>
                  <w:t>金额</w:t>
                </w:r>
              </w:p>
            </w:sdtContent>
          </w:sdt>
        </w:tc>
        <w:tc>
          <w:tcPr>
            <w:tcW w:w="2376" w:type="dxa"/>
            <w:vAlign w:val="center"/>
          </w:tcPr>
          <w:sdt>
            <w:sdtPr>
              <w:tag w:val="_PLD_e78492b22a7c4b8aa4989eb26eb4c98c"/>
              <w:id w:val="8345"/>
            </w:sdtPr>
            <w:sdtContent>
              <w:p>
                <w:pPr>
                  <w:pStyle w:val="56"/>
                  <w:ind w:firstLine="0" w:firstLineChars="0"/>
                  <w:jc w:val="center"/>
                  <w:rPr>
                    <w:rFonts w:hint="eastAsia" w:ascii="宋体" w:hAnsi="宋体"/>
                    <w:szCs w:val="21"/>
                  </w:rPr>
                </w:pPr>
                <w:r>
                  <w:rPr>
                    <w:rFonts w:hint="eastAsia" w:ascii="宋体" w:hAnsi="宋体"/>
                    <w:szCs w:val="21"/>
                  </w:rPr>
                  <w:t>说明</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rPr>
                <w:szCs w:val="21"/>
              </w:rPr>
            </w:pPr>
            <w:r>
              <w:rPr>
                <w:szCs w:val="21"/>
              </w:rPr>
              <w:t>非流动</w:t>
            </w:r>
            <w:r>
              <w:rPr>
                <w:rFonts w:hint="eastAsia"/>
                <w:szCs w:val="21"/>
              </w:rPr>
              <w:t>性</w:t>
            </w:r>
            <w:r>
              <w:rPr>
                <w:szCs w:val="21"/>
              </w:rPr>
              <w:t>资产处置损益</w:t>
            </w:r>
            <w:r>
              <w:rPr>
                <w:rFonts w:hint="eastAsia"/>
                <w:szCs w:val="21"/>
              </w:rPr>
              <w:t>，包括已计提资产减值准备的冲销部分</w:t>
            </w:r>
          </w:p>
        </w:tc>
        <w:tc>
          <w:tcPr>
            <w:tcW w:w="2188" w:type="dxa"/>
            <w:vAlign w:val="center"/>
          </w:tcPr>
          <w:p>
            <w:pPr>
              <w:widowControl w:val="0"/>
              <w:jc w:val="right"/>
              <w:rPr>
                <w:szCs w:val="21"/>
              </w:rPr>
            </w:pPr>
            <w:r>
              <w:rPr>
                <w:rFonts w:hint="eastAsia"/>
                <w:szCs w:val="21"/>
              </w:rPr>
              <w:t>-9,826.60</w:t>
            </w:r>
          </w:p>
        </w:tc>
        <w:tc>
          <w:tcPr>
            <w:tcW w:w="2376" w:type="dxa"/>
            <w:vAlign w:val="center"/>
          </w:tcPr>
          <w:p>
            <w:pPr>
              <w:widowControl w:val="0"/>
              <w:jc w:val="both"/>
              <w:rPr>
                <w:szCs w:val="21"/>
              </w:rPr>
            </w:pPr>
            <w:r>
              <w:rPr>
                <w:rFonts w:hint="eastAsia"/>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rPr>
                <w:szCs w:val="21"/>
              </w:rPr>
            </w:pPr>
            <w:r>
              <w:rPr>
                <w:szCs w:val="21"/>
              </w:rPr>
              <w:t>计入当期损益的政府补助</w:t>
            </w:r>
            <w:r>
              <w:rPr>
                <w:rFonts w:hint="eastAsia"/>
                <w:szCs w:val="21"/>
              </w:rPr>
              <w:t>，但与公司正常经营业务密切相关、符合国家政策规定、按照确定的标准享有、对公司损益产生持续影响的政府补助除外</w:t>
            </w:r>
          </w:p>
        </w:tc>
        <w:tc>
          <w:tcPr>
            <w:tcW w:w="2188" w:type="dxa"/>
            <w:vAlign w:val="center"/>
          </w:tcPr>
          <w:p>
            <w:pPr>
              <w:widowControl w:val="0"/>
              <w:jc w:val="right"/>
              <w:rPr>
                <w:szCs w:val="21"/>
              </w:rPr>
            </w:pPr>
            <w:r>
              <w:rPr>
                <w:rFonts w:hint="eastAsia"/>
                <w:szCs w:val="21"/>
              </w:rPr>
              <w:t>9,409,694.42</w:t>
            </w:r>
          </w:p>
        </w:tc>
        <w:tc>
          <w:tcPr>
            <w:tcW w:w="2376" w:type="dxa"/>
            <w:vAlign w:val="center"/>
          </w:tcPr>
          <w:p>
            <w:pPr>
              <w:widowControl w:val="0"/>
              <w:jc w:val="both"/>
              <w:rPr>
                <w:szCs w:val="21"/>
              </w:rPr>
            </w:pPr>
            <w:r>
              <w:rPr>
                <w:rFonts w:hint="eastAsia"/>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pPr>
            <w:r>
              <w:rPr>
                <w:rFonts w:hint="eastAsia"/>
              </w:rPr>
              <w:t>除同公司正常经营业务相关的有效套期保值业务外，</w:t>
            </w:r>
            <w:r>
              <w:t>非金融企业持有金融资产和金融负债产生的公允价值变动损益以及处置金融资产和金融负债产生的损益</w:t>
            </w:r>
          </w:p>
        </w:tc>
        <w:tc>
          <w:tcPr>
            <w:tcW w:w="2188" w:type="dxa"/>
            <w:vAlign w:val="center"/>
          </w:tcPr>
          <w:p>
            <w:pPr>
              <w:widowControl w:val="0"/>
              <w:jc w:val="right"/>
              <w:rPr>
                <w:szCs w:val="21"/>
              </w:rPr>
            </w:pPr>
            <w:r>
              <w:rPr>
                <w:rFonts w:hint="eastAsia"/>
                <w:szCs w:val="21"/>
              </w:rPr>
              <w:t>-4,428,195.28</w:t>
            </w:r>
          </w:p>
        </w:tc>
        <w:tc>
          <w:tcPr>
            <w:tcW w:w="2376" w:type="dxa"/>
            <w:vAlign w:val="center"/>
          </w:tcPr>
          <w:p>
            <w:pPr>
              <w:widowControl w:val="0"/>
              <w:jc w:val="both"/>
              <w:rPr>
                <w:szCs w:val="21"/>
              </w:rPr>
            </w:pPr>
            <w:r>
              <w:rPr>
                <w:rFonts w:hint="eastAsi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rPr>
                <w:szCs w:val="21"/>
              </w:rPr>
            </w:pPr>
            <w:r>
              <w:rPr>
                <w:szCs w:val="21"/>
              </w:rPr>
              <w:t>计入当期损益的对非金融企业收取的资金占用费</w:t>
            </w:r>
          </w:p>
        </w:tc>
        <w:tc>
          <w:tcPr>
            <w:tcW w:w="2188" w:type="dxa"/>
            <w:vAlign w:val="center"/>
          </w:tcPr>
          <w:p>
            <w:pPr>
              <w:widowControl w:val="0"/>
              <w:jc w:val="right"/>
              <w:rPr>
                <w:szCs w:val="21"/>
              </w:rPr>
            </w:pPr>
            <w:r>
              <w:rPr>
                <w:rFonts w:hint="eastAsia"/>
                <w:szCs w:val="21"/>
              </w:rPr>
              <w:t>　</w:t>
            </w:r>
          </w:p>
        </w:tc>
        <w:tc>
          <w:tcPr>
            <w:tcW w:w="2376" w:type="dxa"/>
            <w:vAlign w:val="center"/>
          </w:tcPr>
          <w:p>
            <w:pPr>
              <w:widowControl w:val="0"/>
              <w:jc w:val="both"/>
              <w:rPr>
                <w:szCs w:val="21"/>
              </w:rPr>
            </w:pPr>
            <w:r>
              <w:rPr>
                <w:rFonts w:hint="eastAsia"/>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rPr>
                <w:szCs w:val="21"/>
              </w:rPr>
            </w:pPr>
            <w:r>
              <w:rPr>
                <w:szCs w:val="21"/>
              </w:rPr>
              <w:t>委托他人投资或管理资产的损益</w:t>
            </w:r>
          </w:p>
        </w:tc>
        <w:tc>
          <w:tcPr>
            <w:tcW w:w="2188" w:type="dxa"/>
            <w:vAlign w:val="center"/>
          </w:tcPr>
          <w:p>
            <w:pPr>
              <w:widowControl w:val="0"/>
              <w:jc w:val="right"/>
              <w:rPr>
                <w:szCs w:val="21"/>
              </w:rPr>
            </w:pPr>
            <w:r>
              <w:rPr>
                <w:rFonts w:hint="eastAsia"/>
                <w:szCs w:val="21"/>
              </w:rPr>
              <w:t>　</w:t>
            </w:r>
          </w:p>
        </w:tc>
        <w:tc>
          <w:tcPr>
            <w:tcW w:w="2376" w:type="dxa"/>
            <w:vAlign w:val="center"/>
          </w:tcPr>
          <w:p>
            <w:pPr>
              <w:widowControl w:val="0"/>
              <w:jc w:val="both"/>
              <w:rPr>
                <w:szCs w:val="21"/>
              </w:rPr>
            </w:pPr>
            <w:r>
              <w:rPr>
                <w:rFonts w:hint="eastAsia"/>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rPr>
                <w:szCs w:val="21"/>
              </w:rPr>
            </w:pPr>
            <w:r>
              <w:rPr>
                <w:szCs w:val="21"/>
              </w:rPr>
              <w:t>对外委托贷款取得的损益</w:t>
            </w:r>
          </w:p>
        </w:tc>
        <w:tc>
          <w:tcPr>
            <w:tcW w:w="2188" w:type="dxa"/>
            <w:vAlign w:val="center"/>
          </w:tcPr>
          <w:p>
            <w:pPr>
              <w:widowControl w:val="0"/>
              <w:jc w:val="right"/>
              <w:rPr>
                <w:szCs w:val="21"/>
              </w:rPr>
            </w:pPr>
            <w:r>
              <w:rPr>
                <w:rFonts w:hint="eastAsia"/>
                <w:szCs w:val="21"/>
              </w:rPr>
              <w:t>　</w:t>
            </w:r>
          </w:p>
        </w:tc>
        <w:tc>
          <w:tcPr>
            <w:tcW w:w="2376" w:type="dxa"/>
            <w:vAlign w:val="center"/>
          </w:tcPr>
          <w:p>
            <w:pPr>
              <w:widowControl w:val="0"/>
              <w:jc w:val="both"/>
              <w:rPr>
                <w:szCs w:val="21"/>
              </w:rPr>
            </w:pPr>
            <w:r>
              <w:rPr>
                <w:rFonts w:hint="eastAsia"/>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rPr>
                <w:szCs w:val="21"/>
              </w:rPr>
            </w:pPr>
            <w:r>
              <w:rPr>
                <w:szCs w:val="21"/>
              </w:rPr>
              <w:t>因不可抗力因</w:t>
            </w:r>
            <w:r>
              <w:rPr>
                <w:rFonts w:hint="eastAsia"/>
                <w:szCs w:val="21"/>
              </w:rPr>
              <w:t>素，如遭受自然灾害而产生的各项资产损失</w:t>
            </w:r>
          </w:p>
        </w:tc>
        <w:tc>
          <w:tcPr>
            <w:tcW w:w="2188" w:type="dxa"/>
            <w:vAlign w:val="center"/>
          </w:tcPr>
          <w:p>
            <w:pPr>
              <w:widowControl w:val="0"/>
              <w:jc w:val="right"/>
              <w:rPr>
                <w:szCs w:val="21"/>
              </w:rPr>
            </w:pPr>
            <w:r>
              <w:rPr>
                <w:rFonts w:hint="eastAsia"/>
                <w:szCs w:val="21"/>
              </w:rPr>
              <w:t>　</w:t>
            </w:r>
          </w:p>
        </w:tc>
        <w:tc>
          <w:tcPr>
            <w:tcW w:w="2376" w:type="dxa"/>
            <w:vAlign w:val="center"/>
          </w:tcPr>
          <w:p>
            <w:pPr>
              <w:widowControl w:val="0"/>
              <w:jc w:val="both"/>
              <w:rPr>
                <w:szCs w:val="21"/>
              </w:rPr>
            </w:pPr>
            <w:r>
              <w:rPr>
                <w:rFonts w:hint="eastAsia"/>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pPr>
            <w:r>
              <w:rPr>
                <w:rFonts w:hint="eastAsia"/>
              </w:rPr>
              <w:t>单独进行减值测试的应收款项减值准备转回</w:t>
            </w:r>
          </w:p>
        </w:tc>
        <w:tc>
          <w:tcPr>
            <w:tcW w:w="2188" w:type="dxa"/>
            <w:vAlign w:val="center"/>
          </w:tcPr>
          <w:p>
            <w:pPr>
              <w:widowControl w:val="0"/>
              <w:jc w:val="right"/>
              <w:rPr>
                <w:szCs w:val="21"/>
              </w:rPr>
            </w:pPr>
            <w:r>
              <w:rPr>
                <w:rFonts w:hint="eastAsia"/>
                <w:szCs w:val="21"/>
              </w:rPr>
              <w:t>7,440.94</w:t>
            </w:r>
          </w:p>
        </w:tc>
        <w:tc>
          <w:tcPr>
            <w:tcW w:w="2376" w:type="dxa"/>
            <w:vAlign w:val="center"/>
          </w:tcPr>
          <w:p>
            <w:pPr>
              <w:widowControl w:val="0"/>
              <w:jc w:val="both"/>
              <w:rPr>
                <w:szCs w:val="21"/>
              </w:rPr>
            </w:pPr>
            <w:r>
              <w:rPr>
                <w:rFonts w:hint="eastAsi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rPr>
                <w:szCs w:val="21"/>
              </w:rPr>
            </w:pPr>
            <w:r>
              <w:rPr>
                <w:szCs w:val="21"/>
              </w:rPr>
              <w:t>企业取得子公司、联营企业及合营企业的投资成本小于取得投资时应享有被投资单位可辨认净资产公允价值产生的收益</w:t>
            </w:r>
          </w:p>
        </w:tc>
        <w:tc>
          <w:tcPr>
            <w:tcW w:w="2188" w:type="dxa"/>
            <w:vAlign w:val="center"/>
          </w:tcPr>
          <w:p>
            <w:pPr>
              <w:widowControl w:val="0"/>
              <w:jc w:val="right"/>
              <w:rPr>
                <w:szCs w:val="21"/>
              </w:rPr>
            </w:pPr>
            <w:r>
              <w:rPr>
                <w:rFonts w:hint="eastAsia"/>
                <w:szCs w:val="21"/>
              </w:rPr>
              <w:t>　</w:t>
            </w:r>
          </w:p>
        </w:tc>
        <w:tc>
          <w:tcPr>
            <w:tcW w:w="2376" w:type="dxa"/>
            <w:vAlign w:val="center"/>
          </w:tcPr>
          <w:p>
            <w:pPr>
              <w:widowControl w:val="0"/>
              <w:jc w:val="both"/>
              <w:rPr>
                <w:szCs w:val="21"/>
              </w:rPr>
            </w:pPr>
            <w:r>
              <w:rPr>
                <w:rFonts w:hint="eastAsia"/>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rPr>
                <w:szCs w:val="21"/>
              </w:rPr>
            </w:pPr>
            <w:r>
              <w:rPr>
                <w:szCs w:val="21"/>
              </w:rPr>
              <w:t>同一控制下企业合并产生的子公司期初至合并日的当期净损益</w:t>
            </w:r>
          </w:p>
        </w:tc>
        <w:tc>
          <w:tcPr>
            <w:tcW w:w="2188" w:type="dxa"/>
            <w:vAlign w:val="center"/>
          </w:tcPr>
          <w:p>
            <w:pPr>
              <w:widowControl w:val="0"/>
              <w:jc w:val="right"/>
              <w:rPr>
                <w:szCs w:val="21"/>
              </w:rPr>
            </w:pPr>
            <w:r>
              <w:rPr>
                <w:rFonts w:hint="eastAsia"/>
                <w:szCs w:val="21"/>
              </w:rPr>
              <w:t>　</w:t>
            </w:r>
          </w:p>
        </w:tc>
        <w:tc>
          <w:tcPr>
            <w:tcW w:w="2376" w:type="dxa"/>
            <w:vAlign w:val="center"/>
          </w:tcPr>
          <w:p>
            <w:pPr>
              <w:widowControl w:val="0"/>
              <w:jc w:val="both"/>
              <w:rPr>
                <w:szCs w:val="21"/>
              </w:rPr>
            </w:pPr>
            <w:r>
              <w:rPr>
                <w:rFonts w:hint="eastAsia"/>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rPr>
                <w:szCs w:val="21"/>
              </w:rPr>
            </w:pPr>
            <w:r>
              <w:rPr>
                <w:szCs w:val="21"/>
              </w:rPr>
              <w:t>非货币性资产交换损益</w:t>
            </w:r>
          </w:p>
        </w:tc>
        <w:tc>
          <w:tcPr>
            <w:tcW w:w="2188" w:type="dxa"/>
            <w:vAlign w:val="center"/>
          </w:tcPr>
          <w:p>
            <w:pPr>
              <w:widowControl w:val="0"/>
              <w:jc w:val="right"/>
              <w:rPr>
                <w:szCs w:val="21"/>
              </w:rPr>
            </w:pPr>
            <w:r>
              <w:rPr>
                <w:rFonts w:hint="eastAsia"/>
                <w:szCs w:val="21"/>
              </w:rPr>
              <w:t>　</w:t>
            </w:r>
          </w:p>
        </w:tc>
        <w:tc>
          <w:tcPr>
            <w:tcW w:w="2376" w:type="dxa"/>
            <w:vAlign w:val="center"/>
          </w:tcPr>
          <w:p>
            <w:pPr>
              <w:widowControl w:val="0"/>
              <w:jc w:val="both"/>
              <w:rPr>
                <w:szCs w:val="21"/>
              </w:rPr>
            </w:pPr>
            <w:r>
              <w:rPr>
                <w:rFonts w:hint="eastAsia"/>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rPr>
                <w:szCs w:val="21"/>
              </w:rPr>
            </w:pPr>
            <w:r>
              <w:rPr>
                <w:szCs w:val="21"/>
              </w:rPr>
              <w:t>债务重组损益</w:t>
            </w:r>
          </w:p>
        </w:tc>
        <w:tc>
          <w:tcPr>
            <w:tcW w:w="2188" w:type="dxa"/>
            <w:vAlign w:val="center"/>
          </w:tcPr>
          <w:p>
            <w:pPr>
              <w:widowControl w:val="0"/>
              <w:jc w:val="right"/>
              <w:rPr>
                <w:szCs w:val="21"/>
              </w:rPr>
            </w:pPr>
            <w:r>
              <w:rPr>
                <w:rFonts w:hint="eastAsia"/>
                <w:szCs w:val="21"/>
              </w:rPr>
              <w:t>-644,055.24</w:t>
            </w:r>
          </w:p>
        </w:tc>
        <w:tc>
          <w:tcPr>
            <w:tcW w:w="2376" w:type="dxa"/>
            <w:vAlign w:val="center"/>
          </w:tcPr>
          <w:p>
            <w:pPr>
              <w:widowControl w:val="0"/>
              <w:jc w:val="both"/>
              <w:rPr>
                <w:szCs w:val="21"/>
              </w:rPr>
            </w:pPr>
            <w:r>
              <w:rPr>
                <w:rFonts w:hint="eastAsia"/>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rPr>
                <w:szCs w:val="21"/>
              </w:rPr>
            </w:pPr>
            <w:r>
              <w:rPr>
                <w:szCs w:val="21"/>
              </w:rPr>
              <w:t>企业</w:t>
            </w:r>
            <w:r>
              <w:rPr>
                <w:rFonts w:hint="eastAsia"/>
                <w:szCs w:val="21"/>
              </w:rPr>
              <w:t>因相关经营活动不再持续而发生的一次性费用，如安置职工的支出等</w:t>
            </w:r>
          </w:p>
        </w:tc>
        <w:tc>
          <w:tcPr>
            <w:tcW w:w="2188" w:type="dxa"/>
            <w:vAlign w:val="center"/>
          </w:tcPr>
          <w:p>
            <w:pPr>
              <w:widowControl w:val="0"/>
              <w:jc w:val="right"/>
              <w:rPr>
                <w:szCs w:val="21"/>
              </w:rPr>
            </w:pPr>
            <w:r>
              <w:rPr>
                <w:rFonts w:hint="eastAsia"/>
                <w:szCs w:val="21"/>
              </w:rPr>
              <w:t>　</w:t>
            </w:r>
          </w:p>
        </w:tc>
        <w:tc>
          <w:tcPr>
            <w:tcW w:w="2376" w:type="dxa"/>
            <w:vAlign w:val="center"/>
          </w:tcPr>
          <w:p>
            <w:pPr>
              <w:widowControl w:val="0"/>
              <w:jc w:val="both"/>
              <w:rPr>
                <w:szCs w:val="21"/>
              </w:rPr>
            </w:pPr>
            <w:r>
              <w:rPr>
                <w:rFonts w:hint="eastAsia"/>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rPr>
                <w:szCs w:val="21"/>
              </w:rPr>
            </w:pPr>
            <w:r>
              <w:rPr>
                <w:szCs w:val="21"/>
              </w:rPr>
              <w:t>因税收、会计等法律、法规</w:t>
            </w:r>
            <w:r>
              <w:rPr>
                <w:rFonts w:hint="eastAsia"/>
                <w:szCs w:val="21"/>
              </w:rPr>
              <w:t>的调整对当期损益产生的一次性影响</w:t>
            </w:r>
          </w:p>
        </w:tc>
        <w:tc>
          <w:tcPr>
            <w:tcW w:w="2188" w:type="dxa"/>
            <w:vAlign w:val="center"/>
          </w:tcPr>
          <w:p>
            <w:pPr>
              <w:widowControl w:val="0"/>
              <w:jc w:val="right"/>
              <w:rPr>
                <w:szCs w:val="21"/>
              </w:rPr>
            </w:pPr>
            <w:r>
              <w:rPr>
                <w:rFonts w:hint="eastAsia"/>
                <w:szCs w:val="21"/>
              </w:rPr>
              <w:t>　</w:t>
            </w:r>
          </w:p>
        </w:tc>
        <w:tc>
          <w:tcPr>
            <w:tcW w:w="2376" w:type="dxa"/>
            <w:vAlign w:val="center"/>
          </w:tcPr>
          <w:p>
            <w:pPr>
              <w:widowControl w:val="0"/>
              <w:jc w:val="both"/>
              <w:rPr>
                <w:szCs w:val="21"/>
              </w:rPr>
            </w:pPr>
            <w:r>
              <w:rPr>
                <w:rFonts w:hint="eastAsia"/>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pPr>
            <w:r>
              <w:t>因取消、修改股权激励计划一次性确认的股份支付费用</w:t>
            </w:r>
          </w:p>
        </w:tc>
        <w:tc>
          <w:tcPr>
            <w:tcW w:w="2188" w:type="dxa"/>
            <w:vAlign w:val="center"/>
          </w:tcPr>
          <w:p>
            <w:pPr>
              <w:widowControl w:val="0"/>
              <w:jc w:val="right"/>
              <w:rPr>
                <w:szCs w:val="21"/>
              </w:rPr>
            </w:pPr>
            <w:r>
              <w:rPr>
                <w:rFonts w:hint="eastAsia"/>
              </w:rPr>
              <w:t>　</w:t>
            </w:r>
          </w:p>
        </w:tc>
        <w:tc>
          <w:tcPr>
            <w:tcW w:w="2376" w:type="dxa"/>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pPr>
            <w:r>
              <w:t>对于现金结算的股份支付，在可行权日之后，应付职工薪酬的公允价值变动产生的损益</w:t>
            </w:r>
          </w:p>
        </w:tc>
        <w:tc>
          <w:tcPr>
            <w:tcW w:w="2188" w:type="dxa"/>
            <w:vAlign w:val="center"/>
          </w:tcPr>
          <w:p>
            <w:pPr>
              <w:widowControl w:val="0"/>
              <w:jc w:val="right"/>
              <w:rPr>
                <w:szCs w:val="21"/>
              </w:rPr>
            </w:pPr>
            <w:r>
              <w:rPr>
                <w:rFonts w:hint="eastAsia"/>
              </w:rPr>
              <w:t>　</w:t>
            </w:r>
          </w:p>
        </w:tc>
        <w:tc>
          <w:tcPr>
            <w:tcW w:w="2376" w:type="dxa"/>
            <w:vAlign w:val="center"/>
          </w:tcPr>
          <w:p>
            <w:pPr>
              <w:widowControl w:val="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rPr>
                <w:szCs w:val="21"/>
              </w:rPr>
            </w:pPr>
            <w:r>
              <w:rPr>
                <w:szCs w:val="21"/>
              </w:rPr>
              <w:t>采用公允价值模式进行后续计量的投资性房地产公允价值变动产生的损益</w:t>
            </w:r>
          </w:p>
        </w:tc>
        <w:tc>
          <w:tcPr>
            <w:tcW w:w="2188" w:type="dxa"/>
            <w:vAlign w:val="center"/>
          </w:tcPr>
          <w:p>
            <w:pPr>
              <w:widowControl w:val="0"/>
              <w:jc w:val="right"/>
              <w:rPr>
                <w:szCs w:val="21"/>
              </w:rPr>
            </w:pPr>
            <w:r>
              <w:rPr>
                <w:rFonts w:hint="eastAsia"/>
                <w:szCs w:val="21"/>
              </w:rPr>
              <w:t>　</w:t>
            </w:r>
          </w:p>
        </w:tc>
        <w:tc>
          <w:tcPr>
            <w:tcW w:w="2376" w:type="dxa"/>
            <w:vAlign w:val="center"/>
          </w:tcPr>
          <w:p>
            <w:pPr>
              <w:widowControl w:val="0"/>
              <w:jc w:val="both"/>
              <w:rPr>
                <w:szCs w:val="21"/>
              </w:rPr>
            </w:pPr>
            <w:r>
              <w:rPr>
                <w:rFonts w:hint="eastAsia"/>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rPr>
                <w:szCs w:val="21"/>
              </w:rPr>
            </w:pPr>
            <w:r>
              <w:rPr>
                <w:rFonts w:hint="eastAsia"/>
                <w:szCs w:val="21"/>
              </w:rPr>
              <w:t>交易价格显失公允的交易产生的收益</w:t>
            </w:r>
          </w:p>
        </w:tc>
        <w:tc>
          <w:tcPr>
            <w:tcW w:w="2188" w:type="dxa"/>
            <w:vAlign w:val="center"/>
          </w:tcPr>
          <w:p>
            <w:pPr>
              <w:widowControl w:val="0"/>
              <w:jc w:val="right"/>
              <w:rPr>
                <w:szCs w:val="21"/>
              </w:rPr>
            </w:pPr>
            <w:r>
              <w:rPr>
                <w:rFonts w:hint="eastAsia"/>
                <w:szCs w:val="21"/>
              </w:rPr>
              <w:t>　</w:t>
            </w:r>
          </w:p>
        </w:tc>
        <w:tc>
          <w:tcPr>
            <w:tcW w:w="2376" w:type="dxa"/>
            <w:vAlign w:val="center"/>
          </w:tcPr>
          <w:p>
            <w:pPr>
              <w:widowControl w:val="0"/>
              <w:jc w:val="both"/>
              <w:rPr>
                <w:szCs w:val="21"/>
              </w:rPr>
            </w:pPr>
            <w:r>
              <w:rPr>
                <w:rFonts w:hint="eastAsia"/>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rPr>
                <w:szCs w:val="21"/>
              </w:rPr>
            </w:pPr>
            <w:r>
              <w:rPr>
                <w:szCs w:val="21"/>
              </w:rPr>
              <w:t>与公司正常经营业务无关的或有事项产生的损益</w:t>
            </w:r>
          </w:p>
        </w:tc>
        <w:tc>
          <w:tcPr>
            <w:tcW w:w="2188" w:type="dxa"/>
            <w:vAlign w:val="center"/>
          </w:tcPr>
          <w:p>
            <w:pPr>
              <w:widowControl w:val="0"/>
              <w:jc w:val="right"/>
              <w:rPr>
                <w:szCs w:val="21"/>
              </w:rPr>
            </w:pPr>
            <w:r>
              <w:rPr>
                <w:rFonts w:hint="eastAsia"/>
                <w:szCs w:val="21"/>
              </w:rPr>
              <w:t>　</w:t>
            </w:r>
          </w:p>
        </w:tc>
        <w:tc>
          <w:tcPr>
            <w:tcW w:w="2376" w:type="dxa"/>
            <w:vAlign w:val="center"/>
          </w:tcPr>
          <w:p>
            <w:pPr>
              <w:widowControl w:val="0"/>
              <w:jc w:val="both"/>
              <w:rPr>
                <w:szCs w:val="21"/>
              </w:rPr>
            </w:pPr>
            <w:r>
              <w:rPr>
                <w:rFonts w:hint="eastAsia"/>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rPr>
                <w:szCs w:val="21"/>
              </w:rPr>
            </w:pPr>
            <w:r>
              <w:rPr>
                <w:szCs w:val="21"/>
              </w:rPr>
              <w:t>受托经营取得的托管费收入</w:t>
            </w:r>
          </w:p>
        </w:tc>
        <w:tc>
          <w:tcPr>
            <w:tcW w:w="2188" w:type="dxa"/>
            <w:vAlign w:val="center"/>
          </w:tcPr>
          <w:p>
            <w:pPr>
              <w:widowControl w:val="0"/>
              <w:jc w:val="right"/>
              <w:rPr>
                <w:szCs w:val="21"/>
              </w:rPr>
            </w:pPr>
            <w:r>
              <w:rPr>
                <w:rFonts w:hint="eastAsia"/>
                <w:szCs w:val="21"/>
              </w:rPr>
              <w:t>　</w:t>
            </w:r>
          </w:p>
        </w:tc>
        <w:tc>
          <w:tcPr>
            <w:tcW w:w="2376" w:type="dxa"/>
            <w:vAlign w:val="center"/>
          </w:tcPr>
          <w:p>
            <w:pPr>
              <w:widowControl w:val="0"/>
              <w:jc w:val="both"/>
              <w:rPr>
                <w:szCs w:val="21"/>
              </w:rPr>
            </w:pPr>
            <w:r>
              <w:rPr>
                <w:rFonts w:hint="eastAsia"/>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rPr>
                <w:szCs w:val="21"/>
              </w:rPr>
            </w:pPr>
            <w:r>
              <w:rPr>
                <w:szCs w:val="21"/>
              </w:rPr>
              <w:t>除上述各项之外的其他营业外收入和支出</w:t>
            </w:r>
          </w:p>
        </w:tc>
        <w:tc>
          <w:tcPr>
            <w:tcW w:w="2188" w:type="dxa"/>
            <w:vAlign w:val="center"/>
          </w:tcPr>
          <w:p>
            <w:pPr>
              <w:widowControl w:val="0"/>
              <w:jc w:val="right"/>
              <w:rPr>
                <w:szCs w:val="21"/>
              </w:rPr>
            </w:pPr>
            <w:r>
              <w:rPr>
                <w:rFonts w:hint="eastAsia"/>
                <w:szCs w:val="21"/>
              </w:rPr>
              <w:t>2,078,608.28</w:t>
            </w:r>
          </w:p>
        </w:tc>
        <w:tc>
          <w:tcPr>
            <w:tcW w:w="2376" w:type="dxa"/>
            <w:vAlign w:val="center"/>
          </w:tcPr>
          <w:p>
            <w:pPr>
              <w:widowControl w:val="0"/>
              <w:jc w:val="both"/>
              <w:rPr>
                <w:szCs w:val="21"/>
              </w:rPr>
            </w:pPr>
            <w:r>
              <w:rPr>
                <w:rFonts w:hint="eastAsia"/>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rPr>
                <w:szCs w:val="21"/>
              </w:rPr>
            </w:pPr>
            <w:r>
              <w:rPr>
                <w:szCs w:val="21"/>
              </w:rPr>
              <w:t>其他符合非经常性损益定义的损益项目</w:t>
            </w:r>
          </w:p>
        </w:tc>
        <w:tc>
          <w:tcPr>
            <w:tcW w:w="2188" w:type="dxa"/>
            <w:vAlign w:val="center"/>
          </w:tcPr>
          <w:p>
            <w:pPr>
              <w:widowControl w:val="0"/>
              <w:jc w:val="right"/>
              <w:rPr>
                <w:szCs w:val="21"/>
              </w:rPr>
            </w:pPr>
            <w:r>
              <w:rPr>
                <w:rFonts w:hint="eastAsia"/>
                <w:szCs w:val="21"/>
              </w:rPr>
              <w:t>　</w:t>
            </w:r>
          </w:p>
        </w:tc>
        <w:tc>
          <w:tcPr>
            <w:tcW w:w="2376" w:type="dxa"/>
            <w:vAlign w:val="center"/>
          </w:tcPr>
          <w:p>
            <w:pPr>
              <w:widowControl w:val="0"/>
              <w:jc w:val="both"/>
              <w:rPr>
                <w:szCs w:val="21"/>
              </w:rPr>
            </w:pPr>
            <w:r>
              <w:rPr>
                <w:rFonts w:hint="eastAsia"/>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left"/>
              <w:rPr>
                <w:szCs w:val="21"/>
              </w:rPr>
            </w:pPr>
            <w:r>
              <w:rPr>
                <w:rFonts w:hint="eastAsia"/>
              </w:rPr>
              <w:t>减：</w:t>
            </w:r>
            <w:r>
              <w:rPr>
                <w:szCs w:val="21"/>
              </w:rPr>
              <w:t>所得税影响额</w:t>
            </w:r>
          </w:p>
        </w:tc>
        <w:tc>
          <w:tcPr>
            <w:tcW w:w="2188" w:type="dxa"/>
            <w:vAlign w:val="center"/>
          </w:tcPr>
          <w:p>
            <w:pPr>
              <w:widowControl w:val="0"/>
              <w:jc w:val="right"/>
              <w:rPr>
                <w:szCs w:val="21"/>
              </w:rPr>
            </w:pPr>
            <w:r>
              <w:rPr>
                <w:rFonts w:hint="eastAsia"/>
                <w:szCs w:val="21"/>
              </w:rPr>
              <w:t>295,971.72</w:t>
            </w:r>
          </w:p>
        </w:tc>
        <w:tc>
          <w:tcPr>
            <w:tcW w:w="2376" w:type="dxa"/>
            <w:vAlign w:val="center"/>
          </w:tcPr>
          <w:p>
            <w:pPr>
              <w:widowControl w:val="0"/>
              <w:jc w:val="both"/>
              <w:rPr>
                <w:szCs w:val="21"/>
              </w:rPr>
            </w:pPr>
            <w:r>
              <w:rPr>
                <w:rFonts w:hint="eastAsia"/>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jc w:val="left"/>
              <w:rPr>
                <w:szCs w:val="21"/>
              </w:rPr>
            </w:pPr>
            <w:r>
              <w:rPr>
                <w:szCs w:val="21"/>
              </w:rPr>
              <w:t>少数股东权益影响额</w:t>
            </w:r>
            <w:r>
              <w:rPr>
                <w:rFonts w:hint="eastAsia"/>
                <w:szCs w:val="21"/>
              </w:rPr>
              <w:t>（税后）</w:t>
            </w:r>
          </w:p>
        </w:tc>
        <w:tc>
          <w:tcPr>
            <w:tcW w:w="2188" w:type="dxa"/>
            <w:vAlign w:val="center"/>
          </w:tcPr>
          <w:p>
            <w:pPr>
              <w:widowControl w:val="0"/>
              <w:jc w:val="right"/>
              <w:rPr>
                <w:szCs w:val="21"/>
              </w:rPr>
            </w:pPr>
            <w:r>
              <w:rPr>
                <w:rFonts w:hint="eastAsia"/>
                <w:szCs w:val="21"/>
              </w:rPr>
              <w:t>551,362.60</w:t>
            </w:r>
          </w:p>
        </w:tc>
        <w:tc>
          <w:tcPr>
            <w:tcW w:w="2376" w:type="dxa"/>
            <w:vAlign w:val="center"/>
          </w:tcPr>
          <w:p>
            <w:pPr>
              <w:widowControl w:val="0"/>
              <w:jc w:val="both"/>
              <w:rPr>
                <w:szCs w:val="21"/>
              </w:rPr>
            </w:pPr>
            <w:r>
              <w:rPr>
                <w:rFonts w:hint="eastAsia"/>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7" w:type="dxa"/>
            <w:vAlign w:val="center"/>
          </w:tcPr>
          <w:p>
            <w:pPr>
              <w:pStyle w:val="56"/>
              <w:ind w:firstLine="0" w:firstLineChars="0"/>
              <w:jc w:val="center"/>
              <w:rPr>
                <w:szCs w:val="21"/>
              </w:rPr>
            </w:pPr>
            <w:r>
              <w:rPr>
                <w:szCs w:val="21"/>
              </w:rPr>
              <w:t>合计</w:t>
            </w:r>
          </w:p>
        </w:tc>
        <w:tc>
          <w:tcPr>
            <w:tcW w:w="2188" w:type="dxa"/>
            <w:vAlign w:val="center"/>
          </w:tcPr>
          <w:p>
            <w:pPr>
              <w:widowControl w:val="0"/>
              <w:jc w:val="right"/>
              <w:rPr>
                <w:szCs w:val="21"/>
              </w:rPr>
            </w:pPr>
            <w:r>
              <w:rPr>
                <w:rFonts w:hint="eastAsia"/>
                <w:szCs w:val="21"/>
              </w:rPr>
              <w:t>5,566,332.20</w:t>
            </w:r>
          </w:p>
        </w:tc>
        <w:tc>
          <w:tcPr>
            <w:tcW w:w="2376" w:type="dxa"/>
            <w:vAlign w:val="center"/>
          </w:tcPr>
          <w:p>
            <w:pPr>
              <w:widowControl w:val="0"/>
              <w:jc w:val="both"/>
              <w:rPr>
                <w:szCs w:val="21"/>
              </w:rPr>
            </w:pPr>
            <w:r>
              <w:rPr>
                <w:rFonts w:hint="eastAsia"/>
                <w:szCs w:val="21"/>
              </w:rPr>
              <w:t>　</w:t>
            </w:r>
          </w:p>
        </w:tc>
      </w:tr>
    </w:tbl>
    <w:p>
      <w:pPr>
        <w:keepNext w:val="0"/>
        <w:keepLines w:val="0"/>
        <w:pageBreakBefore w:val="0"/>
        <w:widowControl/>
        <w:kinsoku/>
        <w:wordWrap/>
        <w:overflowPunct/>
        <w:topLinePunct w:val="0"/>
        <w:autoSpaceDE/>
        <w:autoSpaceDN/>
        <w:bidi w:val="0"/>
        <w:adjustRightInd/>
        <w:snapToGrid/>
        <w:spacing w:line="400" w:lineRule="exact"/>
        <w:textAlignment w:val="auto"/>
        <w:rPr>
          <w:sz w:val="21"/>
        </w:rPr>
      </w:pPr>
    </w:p>
    <w:bookmarkEnd w:id="433"/>
    <w:bookmarkEnd w:id="434"/>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sz w:val="21"/>
          <w:szCs w:val="21"/>
        </w:rPr>
      </w:pPr>
      <w:bookmarkStart w:id="435" w:name="_Hlk154752626"/>
      <w:r>
        <w:rPr>
          <w:rFonts w:hint="eastAsia"/>
          <w:sz w:val="21"/>
          <w:szCs w:val="21"/>
        </w:rPr>
        <w:t>对公司将《公开发行证券的公司信息披露解释性公告第</w:t>
      </w:r>
      <w:r>
        <w:rPr>
          <w:sz w:val="21"/>
          <w:szCs w:val="21"/>
        </w:rPr>
        <w:t>1号——非经常性损益》未列举的项目认定为非经常性损益项目且金额重大的，以及将《公开发行证券的公司信息披露解释性公告第1号——非经常性损益》中列举的非经常性损益项目界定为经常性损益的项目，应说明原因。</w:t>
      </w:r>
    </w:p>
    <w:sdt>
      <w:sdtPr>
        <w:rPr>
          <w:szCs w:val="21"/>
        </w:rPr>
        <w:alias w:val="是否适用：将非经常性损益项目界定为经常性损益项目[双击切换]"/>
        <w:tag w:val="_GBC_a967cba183d54f83a4f652d6d31302c3"/>
        <w:id w:val="8346"/>
        <w:placeholder>
          <w:docPart w:val="GBC22222222222222222222222222222"/>
        </w:placeholder>
      </w:sdtPr>
      <w:sdtEndPr>
        <w:rPr>
          <w:szCs w:val="21"/>
        </w:rPr>
      </w:sdtEndPr>
      <w:sdtContent>
        <w:p>
          <w:pPr>
            <w:rPr>
              <w:szCs w:val="21"/>
            </w:rPr>
          </w:pPr>
          <w:r>
            <w:rPr>
              <w:rFonts w:ascii="宋体" w:hAnsi="宋体"/>
              <w:szCs w:val="21"/>
            </w:rPr>
            <w:fldChar w:fldCharType="begin"/>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
      <w:pPr>
        <w:spacing w:line="360" w:lineRule="exact"/>
        <w:rPr>
          <w:szCs w:val="21"/>
        </w:rPr>
      </w:pPr>
      <w:r>
        <w:rPr>
          <w:rFonts w:hint="eastAsia"/>
          <w:szCs w:val="21"/>
        </w:rPr>
        <w:t>其他说明：</w:t>
      </w:r>
    </w:p>
    <w:sdt>
      <w:sdtPr>
        <w:rPr>
          <w:szCs w:val="21"/>
        </w:rPr>
        <w:alias w:val="是否适用：非经常性损益的其他说明[双击切换]"/>
        <w:tag w:val="_GBC_02aa469151f448ef8b478dba20a7d811"/>
        <w:id w:val="8347"/>
        <w:placeholder>
          <w:docPart w:val="GBC22222222222222222222222222222"/>
        </w:placeholder>
      </w:sdtPr>
      <w:sdtEndPr>
        <w:rPr>
          <w:szCs w:val="21"/>
        </w:rPr>
      </w:sdtEndPr>
      <w:sdtContent>
        <w:p>
          <w:pPr>
            <w:rPr>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bookmarkEnd w:id="435"/>
    <w:p>
      <w:pPr>
        <w:pStyle w:val="4"/>
        <w:numPr>
          <w:ilvl w:val="0"/>
          <w:numId w:val="134"/>
        </w:numPr>
        <w:rPr>
          <w:szCs w:val="21"/>
        </w:rPr>
      </w:pPr>
      <w:r>
        <w:rPr>
          <w:rFonts w:hint="eastAsia"/>
          <w:szCs w:val="21"/>
        </w:rPr>
        <w:t>净资产收益率及每股收益</w:t>
      </w:r>
    </w:p>
    <w:sdt>
      <w:sdtPr>
        <w:alias w:val="是否适用：净资产收益率及每股收益[双击切换]"/>
        <w:tag w:val="_GBC_c0f530bdf9ee48239f470eda08b303d7"/>
        <w:id w:val="8348"/>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913"/>
        <w:gridCol w:w="1840"/>
        <w:gridCol w:w="2146"/>
        <w:gridCol w:w="214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13" w:type="dxa"/>
            <w:vMerge w:val="restart"/>
            <w:tcBorders>
              <w:top w:val="single" w:color="auto" w:sz="4" w:space="0"/>
              <w:left w:val="single" w:color="auto" w:sz="4" w:space="0"/>
              <w:bottom w:val="single" w:color="auto" w:sz="4" w:space="0"/>
              <w:right w:val="single" w:color="auto" w:sz="4" w:space="0"/>
            </w:tcBorders>
            <w:vAlign w:val="center"/>
          </w:tcPr>
          <w:sdt>
            <w:sdtPr>
              <w:tag w:val="_PLD_85d9a7abc9cd45768b2b5f99afa4a4ef"/>
              <w:id w:val="8349"/>
            </w:sdtPr>
            <w:sdtContent>
              <w:p>
                <w:pPr>
                  <w:jc w:val="center"/>
                  <w:rPr>
                    <w:szCs w:val="21"/>
                  </w:rPr>
                </w:pPr>
                <w:r>
                  <w:rPr>
                    <w:szCs w:val="21"/>
                  </w:rPr>
                  <w:t>报告期利润</w:t>
                </w:r>
              </w:p>
            </w:sdtContent>
          </w:sdt>
        </w:tc>
        <w:tc>
          <w:tcPr>
            <w:tcW w:w="1840" w:type="dxa"/>
            <w:vMerge w:val="restart"/>
            <w:tcBorders>
              <w:top w:val="single" w:color="auto" w:sz="4" w:space="0"/>
              <w:left w:val="single" w:color="auto" w:sz="4" w:space="0"/>
              <w:right w:val="single" w:color="auto" w:sz="4" w:space="0"/>
            </w:tcBorders>
            <w:vAlign w:val="center"/>
          </w:tcPr>
          <w:sdt>
            <w:sdtPr>
              <w:tag w:val="_PLD_7f5ad103cbb04f7d904001b07266bf41"/>
              <w:id w:val="8350"/>
            </w:sdtPr>
            <w:sdtContent>
              <w:p>
                <w:pPr>
                  <w:jc w:val="center"/>
                  <w:rPr>
                    <w:szCs w:val="21"/>
                  </w:rPr>
                </w:pPr>
                <w:r>
                  <w:rPr>
                    <w:szCs w:val="21"/>
                  </w:rPr>
                  <w:t>加权平均净资产收益率（%）</w:t>
                </w:r>
              </w:p>
            </w:sdtContent>
          </w:sdt>
        </w:tc>
        <w:tc>
          <w:tcPr>
            <w:tcW w:w="4294" w:type="dxa"/>
            <w:gridSpan w:val="2"/>
            <w:tcBorders>
              <w:top w:val="single" w:color="auto" w:sz="4" w:space="0"/>
              <w:left w:val="single" w:color="auto" w:sz="4" w:space="0"/>
              <w:bottom w:val="single" w:color="auto" w:sz="4" w:space="0"/>
              <w:right w:val="single" w:color="auto" w:sz="4" w:space="0"/>
            </w:tcBorders>
            <w:vAlign w:val="center"/>
          </w:tcPr>
          <w:sdt>
            <w:sdtPr>
              <w:tag w:val="_PLD_adaa515ff68f455d8bcd75e516da3040"/>
              <w:id w:val="8351"/>
            </w:sdtPr>
            <w:sdtContent>
              <w:p>
                <w:pPr>
                  <w:jc w:val="center"/>
                  <w:rPr>
                    <w:szCs w:val="21"/>
                  </w:rPr>
                </w:pPr>
                <w:r>
                  <w:rPr>
                    <w:szCs w:val="21"/>
                  </w:rPr>
                  <w:t>每股收益</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913" w:type="dxa"/>
            <w:vMerge w:val="continue"/>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840" w:type="dxa"/>
            <w:vMerge w:val="continue"/>
            <w:tcBorders>
              <w:left w:val="single" w:color="auto" w:sz="4" w:space="0"/>
              <w:bottom w:val="single" w:color="auto" w:sz="4" w:space="0"/>
              <w:right w:val="single" w:color="auto" w:sz="4" w:space="0"/>
            </w:tcBorders>
            <w:vAlign w:val="center"/>
          </w:tcPr>
          <w:p>
            <w:pPr>
              <w:jc w:val="center"/>
              <w:rPr>
                <w:szCs w:val="21"/>
              </w:rPr>
            </w:pPr>
          </w:p>
        </w:tc>
        <w:tc>
          <w:tcPr>
            <w:tcW w:w="2146" w:type="dxa"/>
            <w:tcBorders>
              <w:top w:val="single" w:color="auto" w:sz="4" w:space="0"/>
              <w:left w:val="single" w:color="auto" w:sz="4" w:space="0"/>
              <w:bottom w:val="single" w:color="auto" w:sz="4" w:space="0"/>
              <w:right w:val="single" w:color="auto" w:sz="4" w:space="0"/>
            </w:tcBorders>
            <w:vAlign w:val="center"/>
          </w:tcPr>
          <w:sdt>
            <w:sdtPr>
              <w:tag w:val="_PLD_503a9e353572491fb64751c75881b5ac"/>
              <w:id w:val="8352"/>
            </w:sdtPr>
            <w:sdtContent>
              <w:p>
                <w:pPr>
                  <w:jc w:val="center"/>
                  <w:rPr>
                    <w:szCs w:val="21"/>
                  </w:rPr>
                </w:pPr>
                <w:r>
                  <w:rPr>
                    <w:szCs w:val="21"/>
                  </w:rPr>
                  <w:t>基本每股收益</w:t>
                </w:r>
              </w:p>
            </w:sdtContent>
          </w:sdt>
        </w:tc>
        <w:tc>
          <w:tcPr>
            <w:tcW w:w="2148" w:type="dxa"/>
            <w:tcBorders>
              <w:top w:val="single" w:color="auto" w:sz="4" w:space="0"/>
              <w:left w:val="single" w:color="auto" w:sz="4" w:space="0"/>
              <w:bottom w:val="single" w:color="auto" w:sz="4" w:space="0"/>
              <w:right w:val="single" w:color="auto" w:sz="4" w:space="0"/>
            </w:tcBorders>
            <w:vAlign w:val="center"/>
          </w:tcPr>
          <w:sdt>
            <w:sdtPr>
              <w:tag w:val="_PLD_b57959d0e3714f2590eb4529892e5c18"/>
              <w:id w:val="8353"/>
            </w:sdtPr>
            <w:sdtContent>
              <w:p>
                <w:pPr>
                  <w:jc w:val="center"/>
                  <w:rPr>
                    <w:szCs w:val="21"/>
                  </w:rPr>
                </w:pPr>
                <w:r>
                  <w:rPr>
                    <w:szCs w:val="21"/>
                  </w:rPr>
                  <w:t>稀释每股收益</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913" w:type="dxa"/>
            <w:tcBorders>
              <w:top w:val="single" w:color="auto" w:sz="4" w:space="0"/>
              <w:left w:val="single" w:color="auto" w:sz="4" w:space="0"/>
              <w:bottom w:val="single" w:color="auto" w:sz="4" w:space="0"/>
              <w:right w:val="single" w:color="auto" w:sz="4" w:space="0"/>
            </w:tcBorders>
            <w:vAlign w:val="center"/>
          </w:tcPr>
          <w:p>
            <w:pPr>
              <w:rPr>
                <w:szCs w:val="21"/>
              </w:rPr>
            </w:pPr>
            <w:r>
              <w:rPr>
                <w:szCs w:val="21"/>
              </w:rPr>
              <w:t>归属于公司普通股股东的净利润</w:t>
            </w:r>
          </w:p>
        </w:tc>
        <w:tc>
          <w:tcPr>
            <w:tcW w:w="1840" w:type="dxa"/>
            <w:tcBorders>
              <w:top w:val="single" w:color="auto" w:sz="4" w:space="0"/>
              <w:left w:val="single" w:color="auto" w:sz="4" w:space="0"/>
              <w:bottom w:val="single" w:color="auto" w:sz="4" w:space="0"/>
              <w:right w:val="single" w:color="auto" w:sz="4" w:space="0"/>
            </w:tcBorders>
            <w:vAlign w:val="center"/>
          </w:tcPr>
          <w:p>
            <w:pPr>
              <w:jc w:val="right"/>
              <w:rPr>
                <w:rFonts w:hint="default" w:eastAsia="宋体"/>
                <w:szCs w:val="21"/>
                <w:lang w:val="en-US" w:eastAsia="zh-CN"/>
              </w:rPr>
            </w:pPr>
            <w:r>
              <w:rPr>
                <w:rFonts w:hint="eastAsia"/>
                <w:color w:val="auto"/>
                <w:szCs w:val="21"/>
              </w:rPr>
              <w:t>0.45</w:t>
            </w:r>
            <w:r>
              <w:rPr>
                <w:rFonts w:hint="eastAsia"/>
                <w:color w:val="auto"/>
                <w:szCs w:val="21"/>
                <w:lang w:val="en-US" w:eastAsia="zh-CN"/>
              </w:rPr>
              <w:t>09</w:t>
            </w:r>
          </w:p>
        </w:tc>
        <w:tc>
          <w:tcPr>
            <w:tcW w:w="2146"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0.0179</w:t>
            </w:r>
          </w:p>
        </w:tc>
        <w:tc>
          <w:tcPr>
            <w:tcW w:w="214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913" w:type="dxa"/>
            <w:tcBorders>
              <w:top w:val="single" w:color="auto" w:sz="4" w:space="0"/>
              <w:left w:val="single" w:color="auto" w:sz="4" w:space="0"/>
              <w:bottom w:val="single" w:color="auto" w:sz="4" w:space="0"/>
              <w:right w:val="single" w:color="auto" w:sz="4" w:space="0"/>
            </w:tcBorders>
            <w:vAlign w:val="center"/>
          </w:tcPr>
          <w:p>
            <w:pPr>
              <w:rPr>
                <w:szCs w:val="21"/>
              </w:rPr>
            </w:pPr>
            <w:r>
              <w:rPr>
                <w:szCs w:val="21"/>
              </w:rPr>
              <w:t>扣除非经常性损益后归属于公司普通股股东的净利润</w:t>
            </w:r>
          </w:p>
        </w:tc>
        <w:tc>
          <w:tcPr>
            <w:tcW w:w="1840" w:type="dxa"/>
            <w:tcBorders>
              <w:top w:val="single" w:color="auto" w:sz="4" w:space="0"/>
              <w:left w:val="single" w:color="auto" w:sz="4" w:space="0"/>
              <w:bottom w:val="single" w:color="auto" w:sz="4" w:space="0"/>
              <w:right w:val="single" w:color="auto" w:sz="4" w:space="0"/>
            </w:tcBorders>
            <w:vAlign w:val="center"/>
          </w:tcPr>
          <w:p>
            <w:pPr>
              <w:jc w:val="right"/>
              <w:rPr>
                <w:rFonts w:hint="default" w:eastAsia="宋体"/>
                <w:szCs w:val="21"/>
                <w:lang w:val="en-US" w:eastAsia="zh-CN"/>
              </w:rPr>
            </w:pPr>
            <w:r>
              <w:rPr>
                <w:rFonts w:hint="eastAsia"/>
                <w:color w:val="auto"/>
                <w:szCs w:val="21"/>
              </w:rPr>
              <w:t>0.</w:t>
            </w:r>
            <w:r>
              <w:rPr>
                <w:rFonts w:hint="eastAsia"/>
                <w:color w:val="auto"/>
                <w:szCs w:val="21"/>
                <w:lang w:val="en-US" w:eastAsia="zh-CN"/>
              </w:rPr>
              <w:t>1960</w:t>
            </w:r>
          </w:p>
        </w:tc>
        <w:tc>
          <w:tcPr>
            <w:tcW w:w="2146" w:type="dxa"/>
            <w:tcBorders>
              <w:top w:val="single" w:color="auto" w:sz="4" w:space="0"/>
              <w:left w:val="single" w:color="auto" w:sz="4" w:space="0"/>
              <w:bottom w:val="single" w:color="auto" w:sz="4" w:space="0"/>
              <w:right w:val="single" w:color="auto" w:sz="4" w:space="0"/>
            </w:tcBorders>
            <w:vAlign w:val="center"/>
          </w:tcPr>
          <w:p>
            <w:pPr>
              <w:jc w:val="right"/>
              <w:rPr>
                <w:rFonts w:hint="default" w:eastAsia="宋体"/>
                <w:szCs w:val="21"/>
                <w:lang w:val="en-US" w:eastAsia="zh-CN"/>
              </w:rPr>
            </w:pPr>
            <w:r>
              <w:rPr>
                <w:rFonts w:hint="eastAsia"/>
                <w:color w:val="auto"/>
                <w:szCs w:val="21"/>
              </w:rPr>
              <w:t>0.0</w:t>
            </w:r>
            <w:r>
              <w:rPr>
                <w:rFonts w:hint="eastAsia"/>
                <w:color w:val="auto"/>
                <w:szCs w:val="21"/>
                <w:lang w:val="en-US" w:eastAsia="zh-CN"/>
              </w:rPr>
              <w:t>078</w:t>
            </w:r>
          </w:p>
        </w:tc>
        <w:tc>
          <w:tcPr>
            <w:tcW w:w="2148" w:type="dxa"/>
            <w:tcBorders>
              <w:top w:val="single" w:color="auto" w:sz="4" w:space="0"/>
              <w:left w:val="single" w:color="auto" w:sz="4" w:space="0"/>
              <w:bottom w:val="single" w:color="auto" w:sz="4" w:space="0"/>
              <w:right w:val="single" w:color="auto" w:sz="4" w:space="0"/>
            </w:tcBorders>
            <w:vAlign w:val="center"/>
          </w:tcPr>
          <w:p>
            <w:pPr>
              <w:jc w:val="right"/>
              <w:rPr>
                <w:szCs w:val="21"/>
              </w:rPr>
            </w:pPr>
            <w:r>
              <w:rPr>
                <w:rFonts w:hint="eastAsia"/>
                <w:color w:val="auto"/>
                <w:szCs w:val="21"/>
              </w:rPr>
              <w:t>/</w:t>
            </w:r>
          </w:p>
        </w:tc>
      </w:tr>
    </w:tbl>
    <w:p>
      <w:pPr>
        <w:rPr>
          <w:szCs w:val="21"/>
        </w:rPr>
      </w:pPr>
    </w:p>
    <w:p>
      <w:pPr>
        <w:pStyle w:val="4"/>
        <w:numPr>
          <w:ilvl w:val="0"/>
          <w:numId w:val="134"/>
        </w:numPr>
        <w:rPr>
          <w:rFonts w:hint="eastAsia" w:ascii="宋体" w:hAnsi="宋体"/>
          <w:szCs w:val="21"/>
        </w:rPr>
      </w:pPr>
      <w:r>
        <w:rPr>
          <w:rFonts w:hint="eastAsia" w:ascii="宋体" w:hAnsi="宋体"/>
          <w:szCs w:val="21"/>
        </w:rPr>
        <w:t>境内外会计准则下会计数据差异</w:t>
      </w:r>
    </w:p>
    <w:sdt>
      <w:sdtPr>
        <w:alias w:val="是否适用：境内外会计准则下会计数据差异[双击切换]"/>
        <w:tag w:val="_GBC_256af937a96e4869ba07cb19341957bb"/>
        <w:id w:val="8354"/>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rPr>
          <w:szCs w:val="21"/>
        </w:rPr>
      </w:pPr>
    </w:p>
    <w:p>
      <w:pPr>
        <w:pStyle w:val="4"/>
        <w:numPr>
          <w:ilvl w:val="0"/>
          <w:numId w:val="134"/>
        </w:numPr>
        <w:rPr>
          <w:szCs w:val="21"/>
        </w:rPr>
      </w:pPr>
      <w:r>
        <w:rPr>
          <w:rFonts w:hint="eastAsia"/>
          <w:szCs w:val="21"/>
        </w:rPr>
        <w:t>其他</w:t>
      </w:r>
    </w:p>
    <w:sdt>
      <w:sdtPr>
        <w:rPr>
          <w:rFonts w:hint="eastAsia"/>
          <w:szCs w:val="21"/>
        </w:rPr>
        <w:alias w:val="是否适用：补充资料其他说明事项[双击切换]"/>
        <w:tag w:val="_GBC_96c49cb17ab64891ac1d396be649be3c"/>
        <w:id w:val="8355"/>
        <w:placeholder>
          <w:docPart w:val="GBC22222222222222222222222222222"/>
        </w:placeholder>
      </w:sdtPr>
      <w:sdtEndPr>
        <w:rPr>
          <w:rFonts w:hint="eastAsia"/>
          <w:szCs w:val="21"/>
        </w:rPr>
      </w:sdtEndPr>
      <w:sdtContent>
        <w:p>
          <w:pPr>
            <w:rPr>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pPr>
        <w:rPr>
          <w:szCs w:val="21"/>
        </w:rPr>
      </w:pPr>
    </w:p>
    <w:p>
      <w:pPr>
        <w:spacing w:line="360" w:lineRule="exact"/>
        <w:ind w:right="5"/>
        <w:rPr>
          <w:b/>
          <w:bCs/>
          <w:sz w:val="24"/>
        </w:rPr>
      </w:pPr>
      <w:bookmarkStart w:id="436" w:name="_Hlk89951888"/>
      <w:bookmarkStart w:id="437" w:name="_Hlk90043452"/>
    </w:p>
    <w:p>
      <w:pPr>
        <w:wordWrap w:val="0"/>
        <w:spacing w:line="360" w:lineRule="exact"/>
        <w:jc w:val="right"/>
        <w:rPr>
          <w:u w:val="single"/>
        </w:rPr>
      </w:pPr>
      <w:r>
        <w:t>董事长：</w:t>
      </w:r>
      <w:sdt>
        <w:sdtPr>
          <w:alias w:val="报告发布人"/>
          <w:tag w:val="_GBC_728ad6dff57942a69e22fcccc1f10a3c"/>
          <w:id w:val="8356"/>
          <w:placeholder>
            <w:docPart w:val="GBC22222222222222222222222222222"/>
          </w:placeholder>
        </w:sdtPr>
        <w:sdtContent>
          <w:r>
            <w:t>周云祥</w:t>
          </w:r>
        </w:sdtContent>
      </w:sdt>
      <w:r>
        <w:rPr>
          <w:rFonts w:hint="eastAsia"/>
        </w:rPr>
        <w:t xml:space="preserve"> </w:t>
      </w:r>
    </w:p>
    <w:p>
      <w:pPr>
        <w:spacing w:line="360" w:lineRule="exact"/>
        <w:jc w:val="right"/>
      </w:pPr>
      <w:r>
        <w:t>董事会批准报送日期：</w:t>
      </w:r>
      <w:sdt>
        <w:sdtPr>
          <w:alias w:val="报告董事会批准报送日期"/>
          <w:tag w:val="_GBC_7b8c4a7926dc47299591537f5943936d"/>
          <w:id w:val="8357"/>
          <w:placeholder>
            <w:docPart w:val="GBC22222222222222222222222222222"/>
          </w:placeholder>
          <w:date>
            <w:dateFormat w:val="yyyy'年'M'月'd'日'"/>
            <w:lid w:val="zh-CN"/>
            <w:storeMappedDataAs w:val="datetime"/>
            <w:calendar w:val="gregorian"/>
          </w:date>
        </w:sdtPr>
        <w:sdtContent>
          <w:r>
            <w:t>2026年3月25日</w:t>
          </w:r>
        </w:sdtContent>
      </w:sdt>
      <w:r>
        <w:rPr>
          <w:rFonts w:hint="eastAsia"/>
        </w:rPr>
        <w:t xml:space="preserve"> </w:t>
      </w:r>
    </w:p>
    <w:bookmarkEnd w:id="436"/>
    <w:bookmarkEnd w:id="437"/>
    <w:p>
      <w:pPr>
        <w:spacing w:line="360" w:lineRule="exact"/>
        <w:ind w:right="5"/>
      </w:pPr>
    </w:p>
    <w:p>
      <w:pPr>
        <w:spacing w:line="360" w:lineRule="exact"/>
        <w:ind w:right="5"/>
        <w:rPr>
          <w:b/>
          <w:sz w:val="24"/>
        </w:rPr>
      </w:pPr>
      <w:r>
        <w:rPr>
          <w:b/>
          <w:sz w:val="24"/>
        </w:rPr>
        <w:t>修订信息</w:t>
      </w:r>
    </w:p>
    <w:sdt>
      <w:sdtPr>
        <w:alias w:val="是否适用：修订信息表[双击切换]"/>
        <w:tag w:val="_GBC_888e757d42a24d3a87b71f50b0589b0a"/>
        <w:id w:val="8358"/>
        <w:placeholder>
          <w:docPart w:val="GBC22222222222222222222222222222"/>
        </w:placeholder>
      </w:sdtPr>
      <w:sdtContent>
        <w:p>
          <w:r>
            <w:rPr>
              <w:rFonts w:ascii="宋体" w:hAnsi="宋体"/>
            </w:rPr>
            <w:fldChar w:fldCharType="begin"/>
          </w:r>
          <w:r>
            <w:rPr>
              <w:rFonts w:hint="eastAsia"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pPr>
        <w:spacing w:line="360" w:lineRule="exact"/>
        <w:ind w:right="5"/>
      </w:pPr>
    </w:p>
    <w:sectPr>
      <w:pgSz w:w="11906" w:h="16838"/>
      <w:pgMar w:top="1525" w:right="1276" w:bottom="1440" w:left="1797" w:header="856"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Helvetica-Narrow">
    <w:altName w:val="Segoe Print"/>
    <w:panose1 w:val="00000000000000000000"/>
    <w:charset w:val="00"/>
    <w:family w:val="swiss"/>
    <w:pitch w:val="default"/>
    <w:sig w:usb0="00000000" w:usb1="00000000" w:usb2="00000000" w:usb3="00000000" w:csb0="00000001" w:csb1="00000000"/>
  </w:font>
  <w:font w:name="Noto Sans CJK JP Regular">
    <w:altName w:val="宋体"/>
    <w:panose1 w:val="00000000000000000000"/>
    <w:charset w:val="86"/>
    <w:family w:val="swiss"/>
    <w:pitch w:val="default"/>
    <w:sig w:usb0="00000000" w:usb1="00000000" w:usb2="00000016" w:usb3="00000000" w:csb0="602E0107" w:csb1="00000000"/>
  </w:font>
  <w:font w:name="FZLTSK--GBK1-0">
    <w:altName w:val="Times New Roman"/>
    <w:panose1 w:val="00000000000000000000"/>
    <w:charset w:val="00"/>
    <w:family w:val="roman"/>
    <w:pitch w:val="default"/>
    <w:sig w:usb0="00000000" w:usb1="00000000" w:usb2="00000000" w:usb3="00000000" w:csb0="00000000" w:csb1="00000000"/>
  </w:font>
  <w:font w:name="KPMGv6">
    <w:altName w:val="Times New Roman"/>
    <w:panose1 w:val="00000000000000000000"/>
    <w:charset w:val="00"/>
    <w:family w:val="auto"/>
    <w:pitch w:val="default"/>
    <w:sig w:usb0="00000000" w:usb1="00000000" w:usb2="00000000" w:usb3="00000000" w:csb0="00000001" w:csb1="00000000"/>
  </w:font>
  <w:font w:name="Univers 55">
    <w:altName w:val="Segoe UI Symbol"/>
    <w:panose1 w:val="020B0500000000000000"/>
    <w:charset w:val="00"/>
    <w:family w:val="swiss"/>
    <w:pitch w:val="default"/>
    <w:sig w:usb0="00000000" w:usb1="00000000" w:usb2="00000000" w:usb3="00000000" w:csb0="00000001" w:csb1="00000000"/>
  </w:font>
  <w:font w:name="宋体-方正超大字符集">
    <w:altName w:val="宋体"/>
    <w:panose1 w:val="00000000000000000000"/>
    <w:charset w:val="86"/>
    <w:family w:val="script"/>
    <w:pitch w:val="default"/>
    <w:sig w:usb0="00000000" w:usb1="00000000" w:usb2="00000010" w:usb3="00000000" w:csb0="00040000" w:csb1="00000000"/>
  </w:font>
  <w:font w:name="Arial Narrow">
    <w:altName w:val="Arial"/>
    <w:panose1 w:val="020B0606020202030204"/>
    <w:charset w:val="00"/>
    <w:family w:val="auto"/>
    <w:pitch w:val="default"/>
    <w:sig w:usb0="00000000" w:usb1="00000000" w:usb2="00000000" w:usb3="00000000" w:csb0="2000009F" w:csb1="DFD70000"/>
  </w:font>
  <w:font w:name="仿宋_GB2312">
    <w:altName w:val="仿宋"/>
    <w:panose1 w:val="00000000000000000000"/>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Segoe UI Symbol">
    <w:panose1 w:val="020B0502040204020203"/>
    <w:charset w:val="00"/>
    <w:family w:val="auto"/>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83</w:t>
    </w:r>
    <w:r>
      <w:rPr>
        <w:b/>
        <w:bCs/>
        <w:sz w:val="24"/>
        <w:szCs w:val="24"/>
      </w:rPr>
      <w:fldChar w:fldCharType="end"/>
    </w:r>
  </w:p>
  <w:p>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tabs>
        <w:tab w:val="left" w:pos="8364"/>
        <w:tab w:val="left" w:pos="8505"/>
        <w:tab w:val="clear" w:pos="8306"/>
      </w:tabs>
      <w:ind w:right="21" w:rightChars="10"/>
      <w:rPr>
        <w:b/>
      </w:rPr>
    </w:pPr>
    <w:sdt>
      <w:sdtPr>
        <w:rPr>
          <w:rFonts w:hint="eastAsia"/>
        </w:rPr>
        <w:alias w:val="公司法定中文名称"/>
        <w:tag w:val="_GBC_e3e0c995ecc548d39789fc25ee290bfb"/>
        <w:id w:val="1836415349"/>
        <w:placeholder>
          <w:docPart w:val="DefaultPlaceholder_-1854013440"/>
        </w:placeholder>
        <w:dataBinding w:prefixMappings="xmlns:clcid-cgi='clcid-cgi'" w:xpath="/*/clcid-cgi:GongSiFaDingZhongWenMingCheng[not(@periodRef)]" w:storeItemID="{89EBAB94-44A0-46A2-B712-30D997D04A6D}"/>
        <w:text/>
      </w:sdtPr>
      <w:sdtEndPr>
        <w:rPr>
          <w:rFonts w:hint="eastAsia"/>
        </w:rPr>
      </w:sdtEndPr>
      <w:sdtContent>
        <w:r>
          <w:rPr>
            <w:rFonts w:hint="eastAsia"/>
            <w:lang w:eastAsia="zh-CN"/>
          </w:rPr>
          <w:t>柳州两面针股份有限公司</w:t>
        </w:r>
      </w:sdtContent>
    </w:sdt>
    <w:r>
      <w:rPr>
        <w:rFonts w:hint="eastAsia"/>
      </w:rPr>
      <w:t>2025年年度报告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3058"/>
    <w:multiLevelType w:val="multilevel"/>
    <w:tmpl w:val="00533058"/>
    <w:lvl w:ilvl="0" w:tentative="0">
      <w:start w:val="1"/>
      <w:numFmt w:val="decimal"/>
      <w:lvlText w:val="%1、"/>
      <w:lvlJc w:val="left"/>
      <w:pPr>
        <w:ind w:left="425" w:hanging="425"/>
      </w:pPr>
      <w:rPr>
        <w:rFonts w:hint="eastAsia" w:ascii="宋体" w:hAnsi="宋体" w:eastAsia="宋体"/>
        <w:color w:val="auto"/>
        <w:sz w:val="21"/>
        <w:szCs w:val="21"/>
        <w:u w:val="none"/>
      </w:rPr>
    </w:lvl>
    <w:lvl w:ilvl="1" w:tentative="0">
      <w:start w:val="1"/>
      <w:numFmt w:val="chineseCountingThousand"/>
      <w:lvlText w:val="%2、"/>
      <w:lvlJc w:val="left"/>
      <w:pPr>
        <w:ind w:left="567" w:hanging="567"/>
      </w:pPr>
      <w:rPr>
        <w:rFonts w:hint="eastAsia"/>
        <w:color w:val="auto"/>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01C7576E"/>
    <w:multiLevelType w:val="multilevel"/>
    <w:tmpl w:val="01C7576E"/>
    <w:lvl w:ilvl="0" w:tentative="0">
      <w:start w:val="1"/>
      <w:numFmt w:val="decimal"/>
      <w:suff w:val="nothing"/>
      <w:lvlText w:val="%1、 "/>
      <w:lvlJc w:val="left"/>
      <w:pPr>
        <w:ind w:left="425" w:hanging="425"/>
      </w:pPr>
      <w:rPr>
        <w:rFonts w:hint="eastAsia" w:ascii="宋体" w:hAnsi="宋体" w:eastAsia="宋体"/>
        <w:b/>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02E66CBA"/>
    <w:multiLevelType w:val="multilevel"/>
    <w:tmpl w:val="02E66CBA"/>
    <w:lvl w:ilvl="0" w:tentative="0">
      <w:start w:val="1"/>
      <w:numFmt w:val="chineseCountingThousand"/>
      <w:suff w:val="nothing"/>
      <w:lvlText w:val="(%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37142FD"/>
    <w:multiLevelType w:val="multilevel"/>
    <w:tmpl w:val="037142FD"/>
    <w:lvl w:ilvl="0" w:tentative="0">
      <w:start w:val="1"/>
      <w:numFmt w:val="decimal"/>
      <w:lvlText w:val="(%1)."/>
      <w:lvlJc w:val="left"/>
      <w:pPr>
        <w:ind w:left="420" w:hanging="42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3B7239C"/>
    <w:multiLevelType w:val="multilevel"/>
    <w:tmpl w:val="03B7239C"/>
    <w:lvl w:ilvl="0" w:tentative="0">
      <w:start w:val="1"/>
      <w:numFmt w:val="chineseCountingThousand"/>
      <w:lvlText w:val="%1、"/>
      <w:lvlJc w:val="left"/>
      <w:pPr>
        <w:ind w:left="420" w:hanging="42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4322D58"/>
    <w:multiLevelType w:val="multilevel"/>
    <w:tmpl w:val="04322D58"/>
    <w:lvl w:ilvl="0" w:tentative="0">
      <w:start w:val="1"/>
      <w:numFmt w:val="decimal"/>
      <w:lvlText w:val="(%1)."/>
      <w:lvlJc w:val="left"/>
      <w:pPr>
        <w:ind w:left="425" w:hanging="425"/>
      </w:pPr>
      <w:rPr>
        <w:rFonts w:hint="eastAsia" w:ascii="宋体" w:hAnsi="宋体" w:eastAsia="宋体"/>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055A7D50"/>
    <w:multiLevelType w:val="multilevel"/>
    <w:tmpl w:val="055A7D50"/>
    <w:lvl w:ilvl="0" w:tentative="0">
      <w:start w:val="1"/>
      <w:numFmt w:val="decimal"/>
      <w:suff w:val="space"/>
      <w:lvlText w:val="(%1)."/>
      <w:lvlJc w:val="left"/>
      <w:pPr>
        <w:ind w:left="0" w:firstLine="0"/>
      </w:pPr>
      <w:rPr>
        <w:rFonts w:hint="eastAsia" w:eastAsia="宋体" w:asciiTheme="minorEastAsia" w:hAnsiTheme="minor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76A22C6"/>
    <w:multiLevelType w:val="multilevel"/>
    <w:tmpl w:val="076A22C6"/>
    <w:lvl w:ilvl="0" w:tentative="0">
      <w:start w:val="1"/>
      <w:numFmt w:val="decimal"/>
      <w:suff w:val="nothing"/>
      <w:lvlText w:val="(%1)."/>
      <w:lvlJc w:val="left"/>
      <w:pPr>
        <w:ind w:left="0" w:firstLine="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80D0CFB"/>
    <w:multiLevelType w:val="multilevel"/>
    <w:tmpl w:val="080D0CFB"/>
    <w:lvl w:ilvl="0" w:tentative="0">
      <w:start w:val="1"/>
      <w:numFmt w:val="decimal"/>
      <w:lvlText w:val="(%1)."/>
      <w:lvlJc w:val="left"/>
      <w:pPr>
        <w:ind w:left="420" w:hanging="42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93C6900"/>
    <w:multiLevelType w:val="multilevel"/>
    <w:tmpl w:val="093C6900"/>
    <w:lvl w:ilvl="0" w:tentative="0">
      <w:start w:val="1"/>
      <w:numFmt w:val="decimal"/>
      <w:lvlText w:val="(%1)."/>
      <w:lvlJc w:val="left"/>
      <w:pPr>
        <w:ind w:left="425" w:hanging="425"/>
      </w:pPr>
      <w:rPr>
        <w:rFonts w:hint="eastAsia" w:ascii="宋体" w:hAnsi="宋体" w:eastAsia="宋体"/>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0">
    <w:nsid w:val="0C000243"/>
    <w:multiLevelType w:val="multilevel"/>
    <w:tmpl w:val="0C000243"/>
    <w:lvl w:ilvl="0" w:tentative="0">
      <w:start w:val="1"/>
      <w:numFmt w:val="decimal"/>
      <w:lvlText w:val="%1、 "/>
      <w:lvlJc w:val="left"/>
      <w:pPr>
        <w:ind w:left="425" w:hanging="425"/>
      </w:pPr>
      <w:rPr>
        <w:rFonts w:hint="eastAsia" w:ascii="宋体" w:hAnsi="宋体" w:eastAsia="宋体"/>
        <w:b/>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
    <w:nsid w:val="0CAE1B45"/>
    <w:multiLevelType w:val="multilevel"/>
    <w:tmpl w:val="0CAE1B45"/>
    <w:lvl w:ilvl="0" w:tentative="0">
      <w:start w:val="1"/>
      <w:numFmt w:val="decimal"/>
      <w:lvlText w:val="(%1)."/>
      <w:lvlJc w:val="left"/>
      <w:pPr>
        <w:ind w:left="425" w:hanging="425"/>
      </w:pPr>
      <w:rPr>
        <w:rFonts w:hint="eastAsia" w:ascii="宋体" w:hAnsi="宋体" w:eastAsia="宋体"/>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2">
    <w:nsid w:val="0DC97DB7"/>
    <w:multiLevelType w:val="multilevel"/>
    <w:tmpl w:val="0DC97DB7"/>
    <w:lvl w:ilvl="0" w:tentative="0">
      <w:start w:val="1"/>
      <w:numFmt w:val="japaneseCounting"/>
      <w:lvlText w:val="(%1)"/>
      <w:lvlJc w:val="left"/>
      <w:pPr>
        <w:ind w:left="465" w:hanging="46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E103BA1"/>
    <w:multiLevelType w:val="multilevel"/>
    <w:tmpl w:val="0E103BA1"/>
    <w:lvl w:ilvl="0" w:tentative="0">
      <w:start w:val="1"/>
      <w:numFmt w:val="decimal"/>
      <w:suff w:val="space"/>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0E1F5ED2"/>
    <w:multiLevelType w:val="multilevel"/>
    <w:tmpl w:val="0E1F5ED2"/>
    <w:lvl w:ilvl="0" w:tentative="0">
      <w:start w:val="1"/>
      <w:numFmt w:val="decimal"/>
      <w:lvlText w:val="%1、"/>
      <w:lvlJc w:val="left"/>
      <w:pPr>
        <w:ind w:left="425" w:hanging="425"/>
      </w:pPr>
      <w:rPr>
        <w:rFonts w:hint="eastAsia" w:ascii="宋体" w:hAnsi="宋体" w:eastAsia="宋体"/>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5">
    <w:nsid w:val="0EE939DD"/>
    <w:multiLevelType w:val="multilevel"/>
    <w:tmpl w:val="0EE939DD"/>
    <w:lvl w:ilvl="0" w:tentative="0">
      <w:start w:val="1"/>
      <w:numFmt w:val="decimal"/>
      <w:lvlText w:val="%1、"/>
      <w:lvlJc w:val="left"/>
      <w:pPr>
        <w:ind w:left="420" w:hanging="420"/>
      </w:pPr>
      <w:rPr>
        <w:rFonts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0FB258AF"/>
    <w:multiLevelType w:val="multilevel"/>
    <w:tmpl w:val="0FB258AF"/>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lvlText w:val="(%4)."/>
      <w:lvlJc w:val="left"/>
      <w:pPr>
        <w:ind w:left="851" w:hanging="851"/>
      </w:pPr>
      <w:rPr>
        <w:rFonts w:hint="eastAsia" w:ascii="宋体" w:hAnsi="宋体" w:eastAsia="宋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7">
    <w:nsid w:val="10A00340"/>
    <w:multiLevelType w:val="multilevel"/>
    <w:tmpl w:val="10A00340"/>
    <w:lvl w:ilvl="0" w:tentative="0">
      <w:start w:val="1"/>
      <w:numFmt w:val="decimal"/>
      <w:lvlText w:val="(%1)."/>
      <w:lvlJc w:val="left"/>
      <w:pPr>
        <w:ind w:left="420" w:hanging="42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51215BB"/>
    <w:multiLevelType w:val="multilevel"/>
    <w:tmpl w:val="151215BB"/>
    <w:lvl w:ilvl="0" w:tentative="0">
      <w:start w:val="1"/>
      <w:numFmt w:val="decimal"/>
      <w:suff w:val="space"/>
      <w:lvlText w:val="(%1)."/>
      <w:lvlJc w:val="left"/>
      <w:pPr>
        <w:ind w:left="435" w:hanging="43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15621257"/>
    <w:multiLevelType w:val="multilevel"/>
    <w:tmpl w:val="15621257"/>
    <w:lvl w:ilvl="0" w:tentative="0">
      <w:start w:val="1"/>
      <w:numFmt w:val="decimal"/>
      <w:lvlText w:val="%1."/>
      <w:lvlJc w:val="left"/>
      <w:pPr>
        <w:ind w:left="425" w:hanging="425"/>
      </w:pPr>
      <w:rPr>
        <w:rFonts w:hint="eastAsia"/>
      </w:rPr>
    </w:lvl>
    <w:lvl w:ilvl="1" w:tentative="0">
      <w:start w:val="1"/>
      <w:numFmt w:val="chineseCountingThousand"/>
      <w:suff w:val="space"/>
      <w:lvlText w:val="(%2)"/>
      <w:lvlJc w:val="left"/>
      <w:pPr>
        <w:ind w:left="425" w:hanging="425"/>
      </w:pPr>
      <w:rPr>
        <w:rFonts w:hint="eastAsia" w:ascii="宋体" w:hAnsi="宋体" w:eastAsia="宋体"/>
      </w:rPr>
    </w:lvl>
    <w:lvl w:ilvl="2" w:tentative="0">
      <w:start w:val="1"/>
      <w:numFmt w:val="decimal"/>
      <w:lvlText w:val="%1.%2.%3."/>
      <w:lvlJc w:val="left"/>
      <w:pPr>
        <w:ind w:left="425" w:hanging="425"/>
      </w:pPr>
      <w:rPr>
        <w:rFonts w:hint="eastAsia"/>
      </w:rPr>
    </w:lvl>
    <w:lvl w:ilvl="3" w:tentative="0">
      <w:start w:val="1"/>
      <w:numFmt w:val="decimal"/>
      <w:lvlText w:val="%1.%2.%3.%4."/>
      <w:lvlJc w:val="left"/>
      <w:pPr>
        <w:ind w:left="425" w:hanging="425"/>
      </w:pPr>
      <w:rPr>
        <w:rFonts w:hint="eastAsia"/>
      </w:rPr>
    </w:lvl>
    <w:lvl w:ilvl="4" w:tentative="0">
      <w:start w:val="1"/>
      <w:numFmt w:val="decimal"/>
      <w:lvlText w:val="%1.%2.%3.%4.%5."/>
      <w:lvlJc w:val="left"/>
      <w:pPr>
        <w:ind w:left="425" w:hanging="425"/>
      </w:pPr>
      <w:rPr>
        <w:rFonts w:hint="eastAsia"/>
      </w:rPr>
    </w:lvl>
    <w:lvl w:ilvl="5" w:tentative="0">
      <w:start w:val="1"/>
      <w:numFmt w:val="decimal"/>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20">
    <w:nsid w:val="16265715"/>
    <w:multiLevelType w:val="multilevel"/>
    <w:tmpl w:val="16265715"/>
    <w:lvl w:ilvl="0" w:tentative="0">
      <w:start w:val="1"/>
      <w:numFmt w:val="decimal"/>
      <w:lvlText w:val="(%1)."/>
      <w:lvlJc w:val="left"/>
      <w:pPr>
        <w:ind w:left="425" w:hanging="425"/>
      </w:pPr>
      <w:rPr>
        <w:rFonts w:hint="eastAsia" w:ascii="宋体" w:hAnsi="宋体" w:eastAsia="宋体"/>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185F3408"/>
    <w:multiLevelType w:val="multilevel"/>
    <w:tmpl w:val="185F3408"/>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lvlText w:val="(%4)."/>
      <w:lvlJc w:val="left"/>
      <w:pPr>
        <w:ind w:left="851" w:hanging="851"/>
      </w:pPr>
      <w:rPr>
        <w:rFonts w:hint="eastAsia" w:ascii="宋体" w:hAnsi="宋体" w:eastAsia="宋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2">
    <w:nsid w:val="18982D2E"/>
    <w:multiLevelType w:val="multilevel"/>
    <w:tmpl w:val="18982D2E"/>
    <w:lvl w:ilvl="0" w:tentative="0">
      <w:start w:val="1"/>
      <w:numFmt w:val="decimal"/>
      <w:lvlText w:val="(%1)."/>
      <w:lvlJc w:val="left"/>
      <w:pPr>
        <w:ind w:left="425" w:hanging="425"/>
      </w:pPr>
      <w:rPr>
        <w:rFonts w:hint="eastAsia"/>
      </w:rPr>
    </w:lvl>
    <w:lvl w:ilvl="1" w:tentative="0">
      <w:start w:val="1"/>
      <w:numFmt w:val="chineseCountingThousand"/>
      <w:lvlText w:val="(%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4)."/>
      <w:lvlJc w:val="left"/>
      <w:pPr>
        <w:ind w:left="851" w:hanging="851"/>
      </w:pPr>
      <w:rPr>
        <w:rFonts w:hint="eastAsia" w:ascii="宋体" w:hAnsi="宋体" w:eastAsia="宋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3">
    <w:nsid w:val="18A52FB9"/>
    <w:multiLevelType w:val="multilevel"/>
    <w:tmpl w:val="18A52FB9"/>
    <w:lvl w:ilvl="0" w:tentative="0">
      <w:start w:val="1"/>
      <w:numFmt w:val="chineseCountingThousand"/>
      <w:lvlText w:val="(%1)"/>
      <w:lvlJc w:val="left"/>
      <w:pPr>
        <w:ind w:left="420" w:hanging="420"/>
      </w:pPr>
    </w:lvl>
    <w:lvl w:ilvl="1" w:tentative="0">
      <w:start w:val="1"/>
      <w:numFmt w:val="chineseCountingThousand"/>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19B61093"/>
    <w:multiLevelType w:val="multilevel"/>
    <w:tmpl w:val="19B61093"/>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1B0970AA"/>
    <w:multiLevelType w:val="multilevel"/>
    <w:tmpl w:val="1B0970AA"/>
    <w:lvl w:ilvl="0" w:tentative="0">
      <w:start w:val="1"/>
      <w:numFmt w:val="decimal"/>
      <w:lvlText w:val="(%1)."/>
      <w:lvlJc w:val="left"/>
      <w:pPr>
        <w:ind w:left="0" w:firstLine="0"/>
      </w:pPr>
      <w:rPr>
        <w:rFonts w:hint="default"/>
      </w:rPr>
    </w:lvl>
    <w:lvl w:ilvl="1" w:tentative="0">
      <w:start w:val="1"/>
      <w:numFmt w:val="chineseCountingThousand"/>
      <w:lvlText w:val="(%2)"/>
      <w:lvlJc w:val="left"/>
      <w:pPr>
        <w:ind w:left="0" w:firstLine="0"/>
      </w:pPr>
      <w:rPr>
        <w:rFonts w:hint="eastAsia"/>
      </w:rPr>
    </w:lvl>
    <w:lvl w:ilvl="2" w:tentative="0">
      <w:start w:val="1"/>
      <w:numFmt w:val="chineseCountingThousand"/>
      <w:lvlText w:val="(%3)"/>
      <w:lvlJc w:val="left"/>
      <w:pPr>
        <w:ind w:left="0" w:firstLine="0"/>
      </w:pPr>
      <w:rPr>
        <w:rFonts w:hint="eastAsia"/>
      </w:rPr>
    </w:lvl>
    <w:lvl w:ilvl="3" w:tentative="0">
      <w:start w:val="1"/>
      <w:numFmt w:val="decimal"/>
      <w:lvlText w:val="(%4)."/>
      <w:lvlJc w:val="left"/>
      <w:pPr>
        <w:ind w:left="0" w:firstLine="0"/>
      </w:pPr>
      <w:rPr>
        <w:rFonts w:ascii="宋体" w:hAnsi="宋体" w:eastAsia="宋体"/>
        <w:b/>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6">
    <w:nsid w:val="1C0A5E4B"/>
    <w:multiLevelType w:val="multilevel"/>
    <w:tmpl w:val="1C0A5E4B"/>
    <w:lvl w:ilvl="0" w:tentative="0">
      <w:start w:val="1"/>
      <w:numFmt w:val="decimal"/>
      <w:lvlText w:val="(%1)."/>
      <w:lvlJc w:val="left"/>
      <w:pPr>
        <w:ind w:left="440" w:hanging="440"/>
      </w:pPr>
      <w:rPr>
        <w:rFonts w:hint="eastAsia" w:asciiTheme="majorEastAsia" w:hAnsiTheme="majorEastAsia" w:eastAsiaTheme="maj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7">
    <w:nsid w:val="1CEC30BF"/>
    <w:multiLevelType w:val="multilevel"/>
    <w:tmpl w:val="1CEC30BF"/>
    <w:lvl w:ilvl="0" w:tentative="0">
      <w:start w:val="1"/>
      <w:numFmt w:val="chineseCountingThousand"/>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8">
    <w:nsid w:val="1D11584D"/>
    <w:multiLevelType w:val="multilevel"/>
    <w:tmpl w:val="1D11584D"/>
    <w:lvl w:ilvl="0" w:tentative="0">
      <w:start w:val="1"/>
      <w:numFmt w:val="decimal"/>
      <w:lvlText w:val="%1、"/>
      <w:lvlJc w:val="left"/>
      <w:pPr>
        <w:ind w:left="425" w:hanging="425"/>
      </w:pPr>
      <w:rPr>
        <w:rFonts w:hint="eastAsia" w:eastAsia="宋体" w:asciiTheme="majorEastAsia" w:hAnsiTheme="majorEastAsia"/>
        <w:b/>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9">
    <w:nsid w:val="1E235F8B"/>
    <w:multiLevelType w:val="multilevel"/>
    <w:tmpl w:val="1E235F8B"/>
    <w:lvl w:ilvl="0" w:tentative="0">
      <w:start w:val="1"/>
      <w:numFmt w:val="chineseCountingThousand"/>
      <w:lvlText w:val="第%1节"/>
      <w:lvlJc w:val="left"/>
      <w:pPr>
        <w:ind w:left="0" w:firstLine="0"/>
      </w:pPr>
      <w:rPr>
        <w:rFonts w:hint="eastAsia"/>
        <w:color w:val="auto"/>
        <w:sz w:val="28"/>
        <w:szCs w:val="28"/>
        <w:u w:val="none"/>
        <w:lang w:val="en-US"/>
      </w:rPr>
    </w:lvl>
    <w:lvl w:ilvl="1" w:tentative="0">
      <w:start w:val="1"/>
      <w:numFmt w:val="chineseCountingThousand"/>
      <w:lvlText w:val="%2、"/>
      <w:lvlJc w:val="left"/>
      <w:pPr>
        <w:ind w:left="567" w:hanging="567"/>
      </w:pPr>
      <w:rPr>
        <w:rFonts w:hint="eastAsia"/>
        <w:color w:val="auto"/>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0">
    <w:nsid w:val="1F4131F6"/>
    <w:multiLevelType w:val="multilevel"/>
    <w:tmpl w:val="1F4131F6"/>
    <w:lvl w:ilvl="0" w:tentative="0">
      <w:start w:val="1"/>
      <w:numFmt w:val="decimal"/>
      <w:suff w:val="nothing"/>
      <w:lvlText w:val="%1、 "/>
      <w:lvlJc w:val="left"/>
      <w:pPr>
        <w:ind w:left="420" w:hanging="42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1F6D425C"/>
    <w:multiLevelType w:val="multilevel"/>
    <w:tmpl w:val="1F6D425C"/>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1F9677B9"/>
    <w:multiLevelType w:val="multilevel"/>
    <w:tmpl w:val="1F9677B9"/>
    <w:lvl w:ilvl="0" w:tentative="0">
      <w:start w:val="1"/>
      <w:numFmt w:val="decimal"/>
      <w:lvlText w:val="(%1)."/>
      <w:lvlJc w:val="left"/>
      <w:pPr>
        <w:ind w:left="425" w:hanging="425"/>
      </w:pPr>
      <w:rPr>
        <w:rFonts w:hint="eastAsia"/>
      </w:rPr>
    </w:lvl>
    <w:lvl w:ilvl="1" w:tentative="0">
      <w:start w:val="1"/>
      <w:numFmt w:val="chineseCountingThousand"/>
      <w:lvlText w:val="(%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suff w:val="space"/>
      <w:lvlText w:val="(%4)."/>
      <w:lvlJc w:val="left"/>
      <w:pPr>
        <w:ind w:left="0" w:firstLine="0"/>
      </w:pPr>
      <w:rPr>
        <w:rFonts w:hint="eastAsia" w:ascii="宋体" w:hAnsi="宋体" w:eastAsia="宋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3">
    <w:nsid w:val="1FD019D7"/>
    <w:multiLevelType w:val="multilevel"/>
    <w:tmpl w:val="1FD019D7"/>
    <w:lvl w:ilvl="0" w:tentative="0">
      <w:start w:val="1"/>
      <w:numFmt w:val="decimal"/>
      <w:lvlText w:val="%1."/>
      <w:lvlJc w:val="left"/>
      <w:pPr>
        <w:ind w:left="425" w:hanging="425"/>
      </w:pPr>
      <w:rPr>
        <w:rFonts w:hint="eastAsia"/>
      </w:rPr>
    </w:lvl>
    <w:lvl w:ilvl="1" w:tentative="0">
      <w:start w:val="1"/>
      <w:numFmt w:val="chineseCountingThousand"/>
      <w:suff w:val="space"/>
      <w:lvlText w:val="(%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4">
    <w:nsid w:val="204F3B0A"/>
    <w:multiLevelType w:val="multilevel"/>
    <w:tmpl w:val="204F3B0A"/>
    <w:lvl w:ilvl="0" w:tentative="0">
      <w:start w:val="1"/>
      <w:numFmt w:val="chineseCountingThousand"/>
      <w:lvlText w:val="(%1)"/>
      <w:lvlJc w:val="left"/>
      <w:pPr>
        <w:ind w:left="0" w:firstLine="0"/>
      </w:pPr>
      <w:rPr>
        <w:rFonts w:hint="default"/>
      </w:rPr>
    </w:lvl>
    <w:lvl w:ilvl="1" w:tentative="0">
      <w:start w:val="1"/>
      <w:numFmt w:val="chineseCountingThousand"/>
      <w:suff w:val="space"/>
      <w:lvlText w:val="(%2)"/>
      <w:lvlJc w:val="left"/>
      <w:pPr>
        <w:ind w:left="0" w:firstLine="0"/>
      </w:pPr>
      <w:rPr>
        <w:rFonts w:hint="eastAsia" w:ascii="宋体" w:hAnsi="宋体" w:eastAsia="宋体"/>
      </w:rPr>
    </w:lvl>
    <w:lvl w:ilvl="2" w:tentative="0">
      <w:start w:val="1"/>
      <w:numFmt w:val="chineseCountingThousand"/>
      <w:suff w:val="nothing"/>
      <w:lvlText w:val="(%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35">
    <w:nsid w:val="2121200C"/>
    <w:multiLevelType w:val="multilevel"/>
    <w:tmpl w:val="2121200C"/>
    <w:lvl w:ilvl="0" w:tentative="0">
      <w:start w:val="1"/>
      <w:numFmt w:val="decimal"/>
      <w:lvlText w:val="(%1)."/>
      <w:lvlJc w:val="left"/>
      <w:pPr>
        <w:ind w:left="425" w:hanging="425"/>
      </w:pPr>
      <w:rPr>
        <w:rFonts w:hint="eastAsia" w:ascii="宋体" w:hAnsi="宋体" w:eastAsia="宋体"/>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6">
    <w:nsid w:val="217F3B1B"/>
    <w:multiLevelType w:val="multilevel"/>
    <w:tmpl w:val="217F3B1B"/>
    <w:lvl w:ilvl="0" w:tentative="0">
      <w:start w:val="1"/>
      <w:numFmt w:val="decimal"/>
      <w:lvlText w:val="(%1)."/>
      <w:lvlJc w:val="left"/>
      <w:pPr>
        <w:ind w:left="0" w:firstLine="0"/>
      </w:pPr>
      <w:rPr>
        <w:rFonts w:hint="default" w:ascii="宋体" w:hAnsi="宋体" w:eastAsia="宋体"/>
        <w:color w:val="auto"/>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7">
    <w:nsid w:val="21A7388C"/>
    <w:multiLevelType w:val="multilevel"/>
    <w:tmpl w:val="21A7388C"/>
    <w:lvl w:ilvl="0" w:tentative="0">
      <w:start w:val="1"/>
      <w:numFmt w:val="chineseCountingThousand"/>
      <w:lvlText w:val="(%1)"/>
      <w:lvlJc w:val="left"/>
      <w:pPr>
        <w:ind w:left="425" w:hanging="425"/>
      </w:pPr>
      <w:rPr>
        <w:rFonts w:hint="eastAsia" w:ascii="宋体" w:hAnsi="宋体" w:eastAsia="宋体"/>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8">
    <w:nsid w:val="246C0E3A"/>
    <w:multiLevelType w:val="multilevel"/>
    <w:tmpl w:val="246C0E3A"/>
    <w:lvl w:ilvl="0" w:tentative="0">
      <w:start w:val="1"/>
      <w:numFmt w:val="decimal"/>
      <w:lvlText w:val="(%1). "/>
      <w:lvlJc w:val="left"/>
      <w:pPr>
        <w:ind w:left="425" w:hanging="425"/>
      </w:pPr>
      <w:rPr>
        <w:rFonts w:hint="eastAsia"/>
        <w:color w:val="auto"/>
        <w:u w:val="none"/>
      </w:rPr>
    </w:lvl>
    <w:lvl w:ilvl="1" w:tentative="0">
      <w:start w:val="1"/>
      <w:numFmt w:val="chineseCountingThousand"/>
      <w:suff w:val="space"/>
      <w:lvlText w:val="%2、"/>
      <w:lvlJc w:val="left"/>
      <w:pPr>
        <w:ind w:left="567" w:hanging="567"/>
      </w:pPr>
      <w:rPr>
        <w:rFonts w:hint="eastAsia"/>
        <w:color w:val="auto"/>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9">
    <w:nsid w:val="273131BF"/>
    <w:multiLevelType w:val="multilevel"/>
    <w:tmpl w:val="273131BF"/>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lvlText w:val="(%4)."/>
      <w:lvlJc w:val="left"/>
      <w:pPr>
        <w:ind w:left="851" w:hanging="851"/>
      </w:pPr>
      <w:rPr>
        <w:rFonts w:hint="eastAsia" w:ascii="宋体" w:hAnsi="宋体" w:eastAsia="宋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0">
    <w:nsid w:val="2AB9492A"/>
    <w:multiLevelType w:val="multilevel"/>
    <w:tmpl w:val="2AB9492A"/>
    <w:lvl w:ilvl="0" w:tentative="0">
      <w:start w:val="1"/>
      <w:numFmt w:val="decimal"/>
      <w:lvlText w:val="%1."/>
      <w:lvlJc w:val="left"/>
      <w:pPr>
        <w:ind w:left="425" w:hanging="425"/>
      </w:pPr>
    </w:lvl>
    <w:lvl w:ilvl="1" w:tentative="0">
      <w:start w:val="1"/>
      <w:numFmt w:val="chineseCountingThousand"/>
      <w:lvlText w:val="(%2)"/>
      <w:lvlJc w:val="left"/>
      <w:pPr>
        <w:ind w:left="567" w:hanging="567"/>
      </w:pPr>
      <w:rPr>
        <w:rFonts w:ascii="宋体" w:hAnsi="宋体" w:eastAsia="宋体"/>
      </w:r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41">
    <w:nsid w:val="2ABA5091"/>
    <w:multiLevelType w:val="multilevel"/>
    <w:tmpl w:val="2ABA5091"/>
    <w:lvl w:ilvl="0" w:tentative="0">
      <w:start w:val="1"/>
      <w:numFmt w:val="chineseCountingThousand"/>
      <w:suff w:val="nothing"/>
      <w:lvlText w:val="%1、"/>
      <w:lvlJc w:val="left"/>
      <w:pPr>
        <w:ind w:left="450" w:hanging="45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2AF651E5"/>
    <w:multiLevelType w:val="multilevel"/>
    <w:tmpl w:val="2AF651E5"/>
    <w:lvl w:ilvl="0" w:tentative="0">
      <w:start w:val="1"/>
      <w:numFmt w:val="decimal"/>
      <w:suff w:val="nothing"/>
      <w:lvlText w:val="(%1). "/>
      <w:lvlJc w:val="left"/>
      <w:pPr>
        <w:ind w:left="420" w:hanging="420"/>
      </w:pPr>
      <w:rPr>
        <w:rFonts w:hint="eastAsia" w:ascii="宋体" w:hAnsi="宋体" w:eastAsia="宋体"/>
        <w:b/>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2B081EE9"/>
    <w:multiLevelType w:val="multilevel"/>
    <w:tmpl w:val="2B081EE9"/>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4">
    <w:nsid w:val="2C6C7566"/>
    <w:multiLevelType w:val="multilevel"/>
    <w:tmpl w:val="2C6C7566"/>
    <w:lvl w:ilvl="0" w:tentative="0">
      <w:start w:val="1"/>
      <w:numFmt w:val="decimal"/>
      <w:lvlText w:val="%1、"/>
      <w:lvlJc w:val="left"/>
      <w:pPr>
        <w:ind w:left="440" w:hanging="440"/>
      </w:pPr>
      <w:rPr>
        <w:rFonts w:hint="eastAsia" w:eastAsia="宋体" w:asciiTheme="majorEastAsia" w:hAnsiTheme="maj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5">
    <w:nsid w:val="2C7D045A"/>
    <w:multiLevelType w:val="multilevel"/>
    <w:tmpl w:val="2C7D045A"/>
    <w:lvl w:ilvl="0" w:tentative="0">
      <w:start w:val="1"/>
      <w:numFmt w:val="decimal"/>
      <w:suff w:val="nothing"/>
      <w:lvlText w:val="%1、 "/>
      <w:lvlJc w:val="left"/>
      <w:pPr>
        <w:ind w:left="420" w:hanging="42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2D376212"/>
    <w:multiLevelType w:val="multilevel"/>
    <w:tmpl w:val="2D376212"/>
    <w:lvl w:ilvl="0" w:tentative="0">
      <w:start w:val="1"/>
      <w:numFmt w:val="decimal"/>
      <w:suff w:val="nothing"/>
      <w:lvlText w:val="(%1)."/>
      <w:lvlJc w:val="left"/>
      <w:pPr>
        <w:ind w:left="0" w:firstLine="0"/>
      </w:pPr>
      <w:rPr>
        <w:rFonts w:hint="eastAsia" w:eastAsia="宋体" w:asciiTheme="majorEastAsia" w:hAnsiTheme="majorEastAsia"/>
      </w:rPr>
    </w:lvl>
    <w:lvl w:ilvl="1" w:tentative="0">
      <w:start w:val="1"/>
      <w:numFmt w:val="lowerLetter"/>
      <w:lvlText w:val="%2)"/>
      <w:lvlJc w:val="left"/>
      <w:pPr>
        <w:ind w:left="985" w:hanging="440"/>
      </w:pPr>
    </w:lvl>
    <w:lvl w:ilvl="2" w:tentative="0">
      <w:start w:val="1"/>
      <w:numFmt w:val="lowerRoman"/>
      <w:lvlText w:val="%3."/>
      <w:lvlJc w:val="right"/>
      <w:pPr>
        <w:ind w:left="1425" w:hanging="440"/>
      </w:pPr>
    </w:lvl>
    <w:lvl w:ilvl="3" w:tentative="0">
      <w:start w:val="1"/>
      <w:numFmt w:val="decimal"/>
      <w:lvlText w:val="%4."/>
      <w:lvlJc w:val="left"/>
      <w:pPr>
        <w:ind w:left="1865" w:hanging="440"/>
      </w:pPr>
    </w:lvl>
    <w:lvl w:ilvl="4" w:tentative="0">
      <w:start w:val="1"/>
      <w:numFmt w:val="lowerLetter"/>
      <w:lvlText w:val="%5)"/>
      <w:lvlJc w:val="left"/>
      <w:pPr>
        <w:ind w:left="2305" w:hanging="440"/>
      </w:pPr>
    </w:lvl>
    <w:lvl w:ilvl="5" w:tentative="0">
      <w:start w:val="1"/>
      <w:numFmt w:val="lowerRoman"/>
      <w:lvlText w:val="%6."/>
      <w:lvlJc w:val="right"/>
      <w:pPr>
        <w:ind w:left="2745" w:hanging="440"/>
      </w:pPr>
    </w:lvl>
    <w:lvl w:ilvl="6" w:tentative="0">
      <w:start w:val="1"/>
      <w:numFmt w:val="decimal"/>
      <w:lvlText w:val="%7."/>
      <w:lvlJc w:val="left"/>
      <w:pPr>
        <w:ind w:left="3185" w:hanging="440"/>
      </w:pPr>
    </w:lvl>
    <w:lvl w:ilvl="7" w:tentative="0">
      <w:start w:val="1"/>
      <w:numFmt w:val="lowerLetter"/>
      <w:lvlText w:val="%8)"/>
      <w:lvlJc w:val="left"/>
      <w:pPr>
        <w:ind w:left="3625" w:hanging="440"/>
      </w:pPr>
    </w:lvl>
    <w:lvl w:ilvl="8" w:tentative="0">
      <w:start w:val="1"/>
      <w:numFmt w:val="lowerRoman"/>
      <w:lvlText w:val="%9."/>
      <w:lvlJc w:val="right"/>
      <w:pPr>
        <w:ind w:left="4065" w:hanging="440"/>
      </w:pPr>
    </w:lvl>
  </w:abstractNum>
  <w:abstractNum w:abstractNumId="47">
    <w:nsid w:val="2DE55932"/>
    <w:multiLevelType w:val="multilevel"/>
    <w:tmpl w:val="2DE55932"/>
    <w:lvl w:ilvl="0" w:tentative="0">
      <w:start w:val="1"/>
      <w:numFmt w:val="chineseCountingThousand"/>
      <w:suff w:val="nothing"/>
      <w:lvlText w:val="%1、"/>
      <w:lvlJc w:val="left"/>
      <w:pPr>
        <w:ind w:left="420" w:hanging="420"/>
      </w:pPr>
      <w:rPr>
        <w:rFonts w:hint="eastAsia"/>
        <w:b/>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8">
    <w:nsid w:val="304B6811"/>
    <w:multiLevelType w:val="multilevel"/>
    <w:tmpl w:val="304B6811"/>
    <w:lvl w:ilvl="0" w:tentative="0">
      <w:start w:val="1"/>
      <w:numFmt w:val="decimal"/>
      <w:suff w:val="nothing"/>
      <w:lvlText w:val="(%1)."/>
      <w:lvlJc w:val="left"/>
      <w:pPr>
        <w:ind w:left="0" w:firstLine="0"/>
      </w:pPr>
      <w:rPr>
        <w:rFonts w:hint="eastAsia" w:eastAsia="宋体" w:asciiTheme="majorEastAsia" w:hAnsiTheme="majorEastAsia"/>
      </w:rPr>
    </w:lvl>
    <w:lvl w:ilvl="1" w:tentative="0">
      <w:start w:val="1"/>
      <w:numFmt w:val="lowerLetter"/>
      <w:lvlText w:val="%2)"/>
      <w:lvlJc w:val="left"/>
      <w:pPr>
        <w:ind w:left="985" w:hanging="440"/>
      </w:pPr>
    </w:lvl>
    <w:lvl w:ilvl="2" w:tentative="0">
      <w:start w:val="1"/>
      <w:numFmt w:val="lowerRoman"/>
      <w:lvlText w:val="%3."/>
      <w:lvlJc w:val="right"/>
      <w:pPr>
        <w:ind w:left="1425" w:hanging="440"/>
      </w:pPr>
    </w:lvl>
    <w:lvl w:ilvl="3" w:tentative="0">
      <w:start w:val="1"/>
      <w:numFmt w:val="decimal"/>
      <w:lvlText w:val="%4."/>
      <w:lvlJc w:val="left"/>
      <w:pPr>
        <w:ind w:left="1865" w:hanging="440"/>
      </w:pPr>
    </w:lvl>
    <w:lvl w:ilvl="4" w:tentative="0">
      <w:start w:val="1"/>
      <w:numFmt w:val="lowerLetter"/>
      <w:lvlText w:val="%5)"/>
      <w:lvlJc w:val="left"/>
      <w:pPr>
        <w:ind w:left="2305" w:hanging="440"/>
      </w:pPr>
    </w:lvl>
    <w:lvl w:ilvl="5" w:tentative="0">
      <w:start w:val="1"/>
      <w:numFmt w:val="lowerRoman"/>
      <w:lvlText w:val="%6."/>
      <w:lvlJc w:val="right"/>
      <w:pPr>
        <w:ind w:left="2745" w:hanging="440"/>
      </w:pPr>
    </w:lvl>
    <w:lvl w:ilvl="6" w:tentative="0">
      <w:start w:val="1"/>
      <w:numFmt w:val="decimal"/>
      <w:lvlText w:val="%7."/>
      <w:lvlJc w:val="left"/>
      <w:pPr>
        <w:ind w:left="3185" w:hanging="440"/>
      </w:pPr>
    </w:lvl>
    <w:lvl w:ilvl="7" w:tentative="0">
      <w:start w:val="1"/>
      <w:numFmt w:val="lowerLetter"/>
      <w:lvlText w:val="%8)"/>
      <w:lvlJc w:val="left"/>
      <w:pPr>
        <w:ind w:left="3625" w:hanging="440"/>
      </w:pPr>
    </w:lvl>
    <w:lvl w:ilvl="8" w:tentative="0">
      <w:start w:val="1"/>
      <w:numFmt w:val="lowerRoman"/>
      <w:lvlText w:val="%9."/>
      <w:lvlJc w:val="right"/>
      <w:pPr>
        <w:ind w:left="4065" w:hanging="440"/>
      </w:pPr>
    </w:lvl>
  </w:abstractNum>
  <w:abstractNum w:abstractNumId="49">
    <w:nsid w:val="30712312"/>
    <w:multiLevelType w:val="multilevel"/>
    <w:tmpl w:val="30712312"/>
    <w:lvl w:ilvl="0" w:tentative="0">
      <w:start w:val="1"/>
      <w:numFmt w:val="decimal"/>
      <w:lvlText w:val="(%1)."/>
      <w:lvlJc w:val="left"/>
      <w:pPr>
        <w:ind w:left="425" w:hanging="425"/>
      </w:pPr>
      <w:rPr>
        <w:rFonts w:hint="eastAsia" w:ascii="宋体" w:hAnsi="宋体" w:eastAsia="宋体"/>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0">
    <w:nsid w:val="31042AC8"/>
    <w:multiLevelType w:val="multilevel"/>
    <w:tmpl w:val="31042AC8"/>
    <w:lvl w:ilvl="0" w:tentative="0">
      <w:start w:val="1"/>
      <w:numFmt w:val="chineseCountingThousand"/>
      <w:suff w:val="nothing"/>
      <w:lvlText w:val="%1、"/>
      <w:lvlJc w:val="left"/>
      <w:pPr>
        <w:ind w:left="420" w:hanging="420"/>
      </w:pPr>
      <w:rPr>
        <w:color w:val="auto"/>
      </w:rPr>
    </w:lvl>
    <w:lvl w:ilvl="1" w:tentative="0">
      <w:start w:val="1"/>
      <w:numFmt w:val="japaneseCounting"/>
      <w:lvlText w:val="%2、"/>
      <w:lvlJc w:val="left"/>
      <w:pPr>
        <w:ind w:left="840" w:hanging="420"/>
      </w:pPr>
      <w:rPr>
        <w:rFonts w:hint="default"/>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1">
    <w:nsid w:val="322A2C22"/>
    <w:multiLevelType w:val="multilevel"/>
    <w:tmpl w:val="322A2C22"/>
    <w:lvl w:ilvl="0" w:tentative="0">
      <w:start w:val="1"/>
      <w:numFmt w:val="decimal"/>
      <w:lvlText w:val="%1、"/>
      <w:lvlJc w:val="left"/>
      <w:pPr>
        <w:ind w:left="420" w:hanging="420"/>
      </w:pPr>
      <w:rPr>
        <w:rFonts w:hint="eastAsia" w:eastAsia="宋体" w:asciiTheme="majorEastAsia" w:hAnsiTheme="maj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2">
    <w:nsid w:val="326F7C0F"/>
    <w:multiLevelType w:val="multilevel"/>
    <w:tmpl w:val="326F7C0F"/>
    <w:lvl w:ilvl="0" w:tentative="0">
      <w:start w:val="1"/>
      <w:numFmt w:val="decimal"/>
      <w:suff w:val="nothing"/>
      <w:lvlText w:val="(%1)."/>
      <w:lvlJc w:val="left"/>
      <w:pPr>
        <w:ind w:left="420" w:hanging="420"/>
      </w:pPr>
      <w:rPr>
        <w:rFonts w:hint="eastAsia" w:eastAsia="宋体" w:asciiTheme="minorEastAsia" w:hAnsi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3">
    <w:nsid w:val="3438131C"/>
    <w:multiLevelType w:val="multilevel"/>
    <w:tmpl w:val="3438131C"/>
    <w:lvl w:ilvl="0" w:tentative="0">
      <w:start w:val="1"/>
      <w:numFmt w:val="decimal"/>
      <w:lvlText w:val="%1、"/>
      <w:lvlJc w:val="left"/>
      <w:pPr>
        <w:ind w:left="425" w:hanging="425"/>
      </w:pPr>
      <w:rPr>
        <w:rFonts w:hint="eastAsia" w:ascii="宋体" w:hAnsi="宋体" w:eastAsia="宋体"/>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4">
    <w:nsid w:val="346B3069"/>
    <w:multiLevelType w:val="multilevel"/>
    <w:tmpl w:val="346B3069"/>
    <w:lvl w:ilvl="0" w:tentative="0">
      <w:start w:val="1"/>
      <w:numFmt w:val="decimal"/>
      <w:suff w:val="nothing"/>
      <w:lvlText w:val="(%1)."/>
      <w:lvlJc w:val="left"/>
      <w:pPr>
        <w:ind w:left="0" w:firstLine="0"/>
      </w:pPr>
      <w:rPr>
        <w:rFonts w:hint="eastAsia" w:eastAsia="宋体" w:asciiTheme="majorEastAsia" w:hAnsiTheme="majorEastAsia"/>
      </w:rPr>
    </w:lvl>
    <w:lvl w:ilvl="1" w:tentative="0">
      <w:start w:val="1"/>
      <w:numFmt w:val="lowerLetter"/>
      <w:lvlText w:val="%2)"/>
      <w:lvlJc w:val="left"/>
      <w:pPr>
        <w:ind w:left="985" w:hanging="440"/>
      </w:pPr>
    </w:lvl>
    <w:lvl w:ilvl="2" w:tentative="0">
      <w:start w:val="1"/>
      <w:numFmt w:val="lowerRoman"/>
      <w:lvlText w:val="%3."/>
      <w:lvlJc w:val="right"/>
      <w:pPr>
        <w:ind w:left="1425" w:hanging="440"/>
      </w:pPr>
    </w:lvl>
    <w:lvl w:ilvl="3" w:tentative="0">
      <w:start w:val="1"/>
      <w:numFmt w:val="decimal"/>
      <w:lvlText w:val="%4."/>
      <w:lvlJc w:val="left"/>
      <w:pPr>
        <w:ind w:left="1865" w:hanging="440"/>
      </w:pPr>
    </w:lvl>
    <w:lvl w:ilvl="4" w:tentative="0">
      <w:start w:val="1"/>
      <w:numFmt w:val="lowerLetter"/>
      <w:lvlText w:val="%5)"/>
      <w:lvlJc w:val="left"/>
      <w:pPr>
        <w:ind w:left="2305" w:hanging="440"/>
      </w:pPr>
    </w:lvl>
    <w:lvl w:ilvl="5" w:tentative="0">
      <w:start w:val="1"/>
      <w:numFmt w:val="lowerRoman"/>
      <w:lvlText w:val="%6."/>
      <w:lvlJc w:val="right"/>
      <w:pPr>
        <w:ind w:left="2745" w:hanging="440"/>
      </w:pPr>
    </w:lvl>
    <w:lvl w:ilvl="6" w:tentative="0">
      <w:start w:val="1"/>
      <w:numFmt w:val="decimal"/>
      <w:lvlText w:val="%7."/>
      <w:lvlJc w:val="left"/>
      <w:pPr>
        <w:ind w:left="3185" w:hanging="440"/>
      </w:pPr>
    </w:lvl>
    <w:lvl w:ilvl="7" w:tentative="0">
      <w:start w:val="1"/>
      <w:numFmt w:val="lowerLetter"/>
      <w:lvlText w:val="%8)"/>
      <w:lvlJc w:val="left"/>
      <w:pPr>
        <w:ind w:left="3625" w:hanging="440"/>
      </w:pPr>
    </w:lvl>
    <w:lvl w:ilvl="8" w:tentative="0">
      <w:start w:val="1"/>
      <w:numFmt w:val="lowerRoman"/>
      <w:lvlText w:val="%9."/>
      <w:lvlJc w:val="right"/>
      <w:pPr>
        <w:ind w:left="4065" w:hanging="440"/>
      </w:pPr>
    </w:lvl>
  </w:abstractNum>
  <w:abstractNum w:abstractNumId="55">
    <w:nsid w:val="352D39A8"/>
    <w:multiLevelType w:val="multilevel"/>
    <w:tmpl w:val="352D39A8"/>
    <w:lvl w:ilvl="0" w:tentative="0">
      <w:start w:val="1"/>
      <w:numFmt w:val="decimal"/>
      <w:lvlText w:val="(%1)."/>
      <w:lvlJc w:val="left"/>
      <w:pPr>
        <w:ind w:left="420" w:hanging="42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6">
    <w:nsid w:val="36550F0E"/>
    <w:multiLevelType w:val="multilevel"/>
    <w:tmpl w:val="36550F0E"/>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suff w:val="nothing"/>
      <w:lvlText w:val="(%4)."/>
      <w:lvlJc w:val="left"/>
      <w:pPr>
        <w:ind w:left="851" w:hanging="851"/>
      </w:pPr>
      <w:rPr>
        <w:rFonts w:hint="eastAsia" w:ascii="宋体" w:hAnsi="宋体" w:eastAsia="宋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7">
    <w:nsid w:val="37C3610E"/>
    <w:multiLevelType w:val="multilevel"/>
    <w:tmpl w:val="37C3610E"/>
    <w:lvl w:ilvl="0" w:tentative="0">
      <w:start w:val="1"/>
      <w:numFmt w:val="chineseCountingThousand"/>
      <w:lvlText w:val="%1、"/>
      <w:lvlJc w:val="left"/>
      <w:pPr>
        <w:ind w:left="0" w:firstLine="0"/>
      </w:pPr>
      <w:rPr>
        <w:rFonts w:hint="default"/>
        <w:b/>
        <w:i w:val="0"/>
        <w:color w:val="auto"/>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8">
    <w:nsid w:val="391941CF"/>
    <w:multiLevelType w:val="multilevel"/>
    <w:tmpl w:val="391941CF"/>
    <w:lvl w:ilvl="0" w:tentative="0">
      <w:start w:val="1"/>
      <w:numFmt w:val="decimal"/>
      <w:suff w:val="nothing"/>
      <w:lvlText w:val="(%1)."/>
      <w:lvlJc w:val="left"/>
      <w:pPr>
        <w:ind w:left="0" w:firstLine="0"/>
      </w:pPr>
      <w:rPr>
        <w:rFonts w:hint="eastAsia" w:eastAsia="宋体" w:asciiTheme="majorEastAsia" w:hAnsiTheme="majorEastAsia"/>
      </w:rPr>
    </w:lvl>
    <w:lvl w:ilvl="1" w:tentative="0">
      <w:start w:val="1"/>
      <w:numFmt w:val="lowerLetter"/>
      <w:lvlText w:val="%2)"/>
      <w:lvlJc w:val="left"/>
      <w:pPr>
        <w:ind w:left="985" w:hanging="440"/>
      </w:pPr>
    </w:lvl>
    <w:lvl w:ilvl="2" w:tentative="0">
      <w:start w:val="1"/>
      <w:numFmt w:val="lowerRoman"/>
      <w:lvlText w:val="%3."/>
      <w:lvlJc w:val="right"/>
      <w:pPr>
        <w:ind w:left="1425" w:hanging="440"/>
      </w:pPr>
    </w:lvl>
    <w:lvl w:ilvl="3" w:tentative="0">
      <w:start w:val="1"/>
      <w:numFmt w:val="decimal"/>
      <w:lvlText w:val="%4."/>
      <w:lvlJc w:val="left"/>
      <w:pPr>
        <w:ind w:left="1865" w:hanging="440"/>
      </w:pPr>
    </w:lvl>
    <w:lvl w:ilvl="4" w:tentative="0">
      <w:start w:val="1"/>
      <w:numFmt w:val="lowerLetter"/>
      <w:lvlText w:val="%5)"/>
      <w:lvlJc w:val="left"/>
      <w:pPr>
        <w:ind w:left="2305" w:hanging="440"/>
      </w:pPr>
    </w:lvl>
    <w:lvl w:ilvl="5" w:tentative="0">
      <w:start w:val="1"/>
      <w:numFmt w:val="lowerRoman"/>
      <w:lvlText w:val="%6."/>
      <w:lvlJc w:val="right"/>
      <w:pPr>
        <w:ind w:left="2745" w:hanging="440"/>
      </w:pPr>
    </w:lvl>
    <w:lvl w:ilvl="6" w:tentative="0">
      <w:start w:val="1"/>
      <w:numFmt w:val="decimal"/>
      <w:lvlText w:val="%7."/>
      <w:lvlJc w:val="left"/>
      <w:pPr>
        <w:ind w:left="3185" w:hanging="440"/>
      </w:pPr>
    </w:lvl>
    <w:lvl w:ilvl="7" w:tentative="0">
      <w:start w:val="1"/>
      <w:numFmt w:val="lowerLetter"/>
      <w:lvlText w:val="%8)"/>
      <w:lvlJc w:val="left"/>
      <w:pPr>
        <w:ind w:left="3625" w:hanging="440"/>
      </w:pPr>
    </w:lvl>
    <w:lvl w:ilvl="8" w:tentative="0">
      <w:start w:val="1"/>
      <w:numFmt w:val="lowerRoman"/>
      <w:lvlText w:val="%9."/>
      <w:lvlJc w:val="right"/>
      <w:pPr>
        <w:ind w:left="4065" w:hanging="440"/>
      </w:pPr>
    </w:lvl>
  </w:abstractNum>
  <w:abstractNum w:abstractNumId="59">
    <w:nsid w:val="3A0E649E"/>
    <w:multiLevelType w:val="multilevel"/>
    <w:tmpl w:val="3A0E649E"/>
    <w:lvl w:ilvl="0" w:tentative="0">
      <w:start w:val="1"/>
      <w:numFmt w:val="decimal"/>
      <w:lvlText w:val="%1、"/>
      <w:lvlJc w:val="left"/>
      <w:pPr>
        <w:ind w:left="440" w:hanging="440"/>
      </w:pPr>
      <w:rPr>
        <w:rFonts w:hint="eastAsia" w:eastAsia="宋体" w:asciiTheme="majorEastAsia" w:hAnsiTheme="maj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0">
    <w:nsid w:val="3B82AB7A"/>
    <w:multiLevelType w:val="multilevel"/>
    <w:tmpl w:val="3B82AB7A"/>
    <w:lvl w:ilvl="0" w:tentative="0">
      <w:start w:val="1"/>
      <w:numFmt w:val="decimal"/>
      <w:suff w:val="nothing"/>
      <w:lvlText w:val="%1、"/>
      <w:lvlJc w:val="left"/>
      <w:pPr>
        <w:ind w:left="420" w:hanging="420"/>
      </w:pPr>
      <w:rPr>
        <w:rFonts w:ascii="宋体" w:hAnsi="宋体" w:eastAsia="宋体"/>
        <w:b/>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1">
    <w:nsid w:val="3D2B6D0A"/>
    <w:multiLevelType w:val="multilevel"/>
    <w:tmpl w:val="3D2B6D0A"/>
    <w:lvl w:ilvl="0" w:tentative="0">
      <w:start w:val="1"/>
      <w:numFmt w:val="chineseCountingThousand"/>
      <w:suff w:val="space"/>
      <w:lvlText w:val="(%1)"/>
      <w:lvlJc w:val="left"/>
      <w:pPr>
        <w:ind w:left="420" w:hanging="420"/>
      </w:pPr>
      <w:rPr>
        <w:rFonts w:hint="eastAsia" w:ascii="宋体" w:hAnsi="宋体" w:eastAsia="宋体"/>
      </w:rPr>
    </w:lvl>
    <w:lvl w:ilvl="1" w:tentative="0">
      <w:start w:val="1"/>
      <w:numFmt w:val="chineseCountingThousand"/>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2">
    <w:nsid w:val="3D620F38"/>
    <w:multiLevelType w:val="multilevel"/>
    <w:tmpl w:val="3D620F38"/>
    <w:lvl w:ilvl="0" w:tentative="0">
      <w:start w:val="1"/>
      <w:numFmt w:val="decimal"/>
      <w:lvlText w:val="%1、"/>
      <w:lvlJc w:val="left"/>
      <w:pPr>
        <w:ind w:left="420" w:hanging="420"/>
      </w:pPr>
      <w:rPr>
        <w:rFonts w:hint="eastAsia" w:ascii="宋体" w:hAnsi="宋体" w:eastAsia="宋体"/>
      </w:rPr>
    </w:lvl>
    <w:lvl w:ilvl="1" w:tentative="0">
      <w:start w:val="1"/>
      <w:numFmt w:val="decimal"/>
      <w:lvlText w:val="%2、"/>
      <w:lvlJc w:val="left"/>
      <w:pPr>
        <w:ind w:left="840" w:hanging="420"/>
      </w:pPr>
      <w:rPr>
        <w:rFonts w:hint="eastAsia"/>
      </w:rPr>
    </w:lvl>
    <w:lvl w:ilvl="2" w:tentative="0">
      <w:start w:val="1"/>
      <w:numFmt w:val="decimal"/>
      <w:lvlText w:val="%3、"/>
      <w:lvlJc w:val="lef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3">
    <w:nsid w:val="3DC039A2"/>
    <w:multiLevelType w:val="multilevel"/>
    <w:tmpl w:val="3DC039A2"/>
    <w:lvl w:ilvl="0" w:tentative="0">
      <w:start w:val="1"/>
      <w:numFmt w:val="decimal"/>
      <w:lvlText w:val="%1、 "/>
      <w:lvlJc w:val="left"/>
      <w:pPr>
        <w:ind w:left="425" w:hanging="425"/>
      </w:pPr>
      <w:rPr>
        <w:rFonts w:hint="eastAsia" w:ascii="宋体" w:hAnsi="宋体" w:eastAsia="宋体"/>
        <w:b/>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4">
    <w:nsid w:val="3EA740FE"/>
    <w:multiLevelType w:val="multilevel"/>
    <w:tmpl w:val="3EA740FE"/>
    <w:lvl w:ilvl="0" w:tentative="0">
      <w:start w:val="1"/>
      <w:numFmt w:val="decimal"/>
      <w:lvlText w:val="%1、"/>
      <w:lvlJc w:val="left"/>
      <w:pPr>
        <w:ind w:left="425" w:hanging="425"/>
      </w:pPr>
      <w:rPr>
        <w:rFonts w:hint="eastAsia" w:ascii="宋体" w:hAnsi="宋体" w:eastAsia="宋体"/>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5">
    <w:nsid w:val="3F1C5616"/>
    <w:multiLevelType w:val="multilevel"/>
    <w:tmpl w:val="3F1C5616"/>
    <w:lvl w:ilvl="0" w:tentative="0">
      <w:start w:val="1"/>
      <w:numFmt w:val="japaneseCount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6">
    <w:nsid w:val="3FAB46A5"/>
    <w:multiLevelType w:val="multilevel"/>
    <w:tmpl w:val="3FAB46A5"/>
    <w:lvl w:ilvl="0" w:tentative="0">
      <w:start w:val="1"/>
      <w:numFmt w:val="decimal"/>
      <w:lvlText w:val="(%1)."/>
      <w:lvlJc w:val="left"/>
      <w:pPr>
        <w:ind w:left="0" w:firstLine="0"/>
      </w:pPr>
      <w:rPr>
        <w:rFonts w:hint="default"/>
      </w:rPr>
    </w:lvl>
    <w:lvl w:ilvl="1" w:tentative="0">
      <w:start w:val="1"/>
      <w:numFmt w:val="chineseCountingThousand"/>
      <w:lvlText w:val="(%2)"/>
      <w:lvlJc w:val="left"/>
      <w:pPr>
        <w:ind w:left="0" w:firstLine="0"/>
      </w:pPr>
      <w:rPr>
        <w:rFonts w:hint="eastAsia"/>
      </w:rPr>
    </w:lvl>
    <w:lvl w:ilvl="2" w:tentative="0">
      <w:start w:val="1"/>
      <w:numFmt w:val="chineseCountingThousand"/>
      <w:lvlText w:val="(%3)"/>
      <w:lvlJc w:val="left"/>
      <w:pPr>
        <w:ind w:left="0" w:firstLine="0"/>
      </w:pPr>
      <w:rPr>
        <w:rFonts w:hint="eastAsia"/>
      </w:rPr>
    </w:lvl>
    <w:lvl w:ilvl="3" w:tentative="0">
      <w:start w:val="1"/>
      <w:numFmt w:val="decimal"/>
      <w:lvlText w:val="(%4)."/>
      <w:lvlJc w:val="left"/>
      <w:pPr>
        <w:ind w:left="0" w:firstLine="0"/>
      </w:pPr>
      <w:rPr>
        <w:rFonts w:ascii="宋体" w:hAnsi="宋体" w:eastAsia="宋体"/>
        <w:b/>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67">
    <w:nsid w:val="401A73B0"/>
    <w:multiLevelType w:val="multilevel"/>
    <w:tmpl w:val="401A73B0"/>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lvlText w:val="(%4)."/>
      <w:lvlJc w:val="left"/>
      <w:pPr>
        <w:ind w:left="851" w:hanging="851"/>
      </w:pPr>
      <w:rPr>
        <w:rFonts w:hint="eastAsia" w:ascii="宋体" w:hAnsi="宋体" w:eastAsia="宋体"/>
        <w:b/>
        <w:color w:val="auto"/>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68">
    <w:nsid w:val="40973487"/>
    <w:multiLevelType w:val="multilevel"/>
    <w:tmpl w:val="40973487"/>
    <w:lvl w:ilvl="0" w:tentative="0">
      <w:start w:val="1"/>
      <w:numFmt w:val="decimal"/>
      <w:lvlText w:val="(%1)."/>
      <w:lvlJc w:val="left"/>
      <w:pPr>
        <w:ind w:left="0" w:firstLine="0"/>
      </w:pPr>
      <w:rPr>
        <w:rFonts w:hint="default"/>
      </w:rPr>
    </w:lvl>
    <w:lvl w:ilvl="1" w:tentative="0">
      <w:start w:val="1"/>
      <w:numFmt w:val="chineseCountingThousand"/>
      <w:lvlText w:val="(%2)"/>
      <w:lvlJc w:val="left"/>
      <w:pPr>
        <w:ind w:left="0" w:firstLine="0"/>
      </w:pPr>
      <w:rPr>
        <w:rFonts w:hint="eastAsia"/>
      </w:rPr>
    </w:lvl>
    <w:lvl w:ilvl="2" w:tentative="0">
      <w:start w:val="1"/>
      <w:numFmt w:val="chineseCountingThousand"/>
      <w:lvlText w:val="(%3)"/>
      <w:lvlJc w:val="left"/>
      <w:pPr>
        <w:ind w:left="0" w:firstLine="0"/>
      </w:pPr>
      <w:rPr>
        <w:rFonts w:hint="eastAsia"/>
      </w:rPr>
    </w:lvl>
    <w:lvl w:ilvl="3" w:tentative="0">
      <w:start w:val="1"/>
      <w:numFmt w:val="decimal"/>
      <w:lvlText w:val="(%4)."/>
      <w:lvlJc w:val="left"/>
      <w:pPr>
        <w:ind w:left="0" w:firstLine="0"/>
      </w:pPr>
      <w:rPr>
        <w:rFonts w:ascii="宋体" w:hAnsi="宋体" w:eastAsia="宋体"/>
        <w:b/>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69">
    <w:nsid w:val="414422AC"/>
    <w:multiLevelType w:val="multilevel"/>
    <w:tmpl w:val="414422AC"/>
    <w:lvl w:ilvl="0" w:tentative="0">
      <w:start w:val="1"/>
      <w:numFmt w:val="decimal"/>
      <w:suff w:val="nothing"/>
      <w:lvlText w:val="(%1)."/>
      <w:lvlJc w:val="left"/>
      <w:pPr>
        <w:ind w:left="0" w:firstLine="0"/>
      </w:pPr>
      <w:rPr>
        <w:rFonts w:hint="eastAsia" w:eastAsia="宋体" w:asciiTheme="majorEastAsia" w:hAnsiTheme="majorEastAsia"/>
      </w:rPr>
    </w:lvl>
    <w:lvl w:ilvl="1" w:tentative="0">
      <w:start w:val="1"/>
      <w:numFmt w:val="lowerLetter"/>
      <w:lvlText w:val="%2)"/>
      <w:lvlJc w:val="left"/>
      <w:pPr>
        <w:ind w:left="985" w:hanging="440"/>
      </w:pPr>
    </w:lvl>
    <w:lvl w:ilvl="2" w:tentative="0">
      <w:start w:val="1"/>
      <w:numFmt w:val="lowerRoman"/>
      <w:lvlText w:val="%3."/>
      <w:lvlJc w:val="right"/>
      <w:pPr>
        <w:ind w:left="1425" w:hanging="440"/>
      </w:pPr>
    </w:lvl>
    <w:lvl w:ilvl="3" w:tentative="0">
      <w:start w:val="1"/>
      <w:numFmt w:val="decimal"/>
      <w:lvlText w:val="%4."/>
      <w:lvlJc w:val="left"/>
      <w:pPr>
        <w:ind w:left="1865" w:hanging="440"/>
      </w:pPr>
    </w:lvl>
    <w:lvl w:ilvl="4" w:tentative="0">
      <w:start w:val="1"/>
      <w:numFmt w:val="lowerLetter"/>
      <w:lvlText w:val="%5)"/>
      <w:lvlJc w:val="left"/>
      <w:pPr>
        <w:ind w:left="2305" w:hanging="440"/>
      </w:pPr>
    </w:lvl>
    <w:lvl w:ilvl="5" w:tentative="0">
      <w:start w:val="1"/>
      <w:numFmt w:val="lowerRoman"/>
      <w:lvlText w:val="%6."/>
      <w:lvlJc w:val="right"/>
      <w:pPr>
        <w:ind w:left="2745" w:hanging="440"/>
      </w:pPr>
    </w:lvl>
    <w:lvl w:ilvl="6" w:tentative="0">
      <w:start w:val="1"/>
      <w:numFmt w:val="decimal"/>
      <w:lvlText w:val="%7."/>
      <w:lvlJc w:val="left"/>
      <w:pPr>
        <w:ind w:left="3185" w:hanging="440"/>
      </w:pPr>
    </w:lvl>
    <w:lvl w:ilvl="7" w:tentative="0">
      <w:start w:val="1"/>
      <w:numFmt w:val="lowerLetter"/>
      <w:lvlText w:val="%8)"/>
      <w:lvlJc w:val="left"/>
      <w:pPr>
        <w:ind w:left="3625" w:hanging="440"/>
      </w:pPr>
    </w:lvl>
    <w:lvl w:ilvl="8" w:tentative="0">
      <w:start w:val="1"/>
      <w:numFmt w:val="lowerRoman"/>
      <w:lvlText w:val="%9."/>
      <w:lvlJc w:val="right"/>
      <w:pPr>
        <w:ind w:left="4065" w:hanging="440"/>
      </w:pPr>
    </w:lvl>
  </w:abstractNum>
  <w:abstractNum w:abstractNumId="70">
    <w:nsid w:val="41CF53AC"/>
    <w:multiLevelType w:val="multilevel"/>
    <w:tmpl w:val="41CF53AC"/>
    <w:lvl w:ilvl="0" w:tentative="0">
      <w:start w:val="1"/>
      <w:numFmt w:val="decimal"/>
      <w:suff w:val="nothing"/>
      <w:lvlText w:val="(%1)."/>
      <w:lvlJc w:val="left"/>
      <w:pPr>
        <w:ind w:left="0" w:firstLine="0"/>
      </w:pPr>
      <w:rPr>
        <w:rFonts w:hint="eastAsia" w:eastAsia="宋体" w:asciiTheme="majorEastAsia" w:hAnsiTheme="majorEastAsia"/>
      </w:rPr>
    </w:lvl>
    <w:lvl w:ilvl="1" w:tentative="0">
      <w:start w:val="1"/>
      <w:numFmt w:val="lowerLetter"/>
      <w:lvlText w:val="%2)"/>
      <w:lvlJc w:val="left"/>
      <w:pPr>
        <w:ind w:left="985" w:hanging="440"/>
      </w:pPr>
    </w:lvl>
    <w:lvl w:ilvl="2" w:tentative="0">
      <w:start w:val="1"/>
      <w:numFmt w:val="lowerRoman"/>
      <w:lvlText w:val="%3."/>
      <w:lvlJc w:val="right"/>
      <w:pPr>
        <w:ind w:left="1425" w:hanging="440"/>
      </w:pPr>
    </w:lvl>
    <w:lvl w:ilvl="3" w:tentative="0">
      <w:start w:val="1"/>
      <w:numFmt w:val="decimal"/>
      <w:lvlText w:val="%4."/>
      <w:lvlJc w:val="left"/>
      <w:pPr>
        <w:ind w:left="1865" w:hanging="440"/>
      </w:pPr>
    </w:lvl>
    <w:lvl w:ilvl="4" w:tentative="0">
      <w:start w:val="1"/>
      <w:numFmt w:val="lowerLetter"/>
      <w:lvlText w:val="%5)"/>
      <w:lvlJc w:val="left"/>
      <w:pPr>
        <w:ind w:left="2305" w:hanging="440"/>
      </w:pPr>
    </w:lvl>
    <w:lvl w:ilvl="5" w:tentative="0">
      <w:start w:val="1"/>
      <w:numFmt w:val="lowerRoman"/>
      <w:lvlText w:val="%6."/>
      <w:lvlJc w:val="right"/>
      <w:pPr>
        <w:ind w:left="2745" w:hanging="440"/>
      </w:pPr>
    </w:lvl>
    <w:lvl w:ilvl="6" w:tentative="0">
      <w:start w:val="1"/>
      <w:numFmt w:val="decimal"/>
      <w:lvlText w:val="%7."/>
      <w:lvlJc w:val="left"/>
      <w:pPr>
        <w:ind w:left="3185" w:hanging="440"/>
      </w:pPr>
    </w:lvl>
    <w:lvl w:ilvl="7" w:tentative="0">
      <w:start w:val="1"/>
      <w:numFmt w:val="lowerLetter"/>
      <w:lvlText w:val="%8)"/>
      <w:lvlJc w:val="left"/>
      <w:pPr>
        <w:ind w:left="3625" w:hanging="440"/>
      </w:pPr>
    </w:lvl>
    <w:lvl w:ilvl="8" w:tentative="0">
      <w:start w:val="1"/>
      <w:numFmt w:val="lowerRoman"/>
      <w:lvlText w:val="%9."/>
      <w:lvlJc w:val="right"/>
      <w:pPr>
        <w:ind w:left="4065" w:hanging="440"/>
      </w:pPr>
    </w:lvl>
  </w:abstractNum>
  <w:abstractNum w:abstractNumId="71">
    <w:nsid w:val="42F33200"/>
    <w:multiLevelType w:val="multilevel"/>
    <w:tmpl w:val="42F33200"/>
    <w:lvl w:ilvl="0" w:tentative="0">
      <w:start w:val="1"/>
      <w:numFmt w:val="decimal"/>
      <w:suff w:val="nothing"/>
      <w:lvlText w:val="%1、 "/>
      <w:lvlJc w:val="left"/>
      <w:pPr>
        <w:ind w:left="420" w:hanging="42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2">
    <w:nsid w:val="452D24C2"/>
    <w:multiLevelType w:val="multilevel"/>
    <w:tmpl w:val="452D24C2"/>
    <w:lvl w:ilvl="0" w:tentative="0">
      <w:start w:val="1"/>
      <w:numFmt w:val="decimal"/>
      <w:lvlText w:val="%1、 "/>
      <w:lvlJc w:val="left"/>
      <w:pPr>
        <w:ind w:left="425" w:hanging="425"/>
      </w:pPr>
      <w:rPr>
        <w:rFonts w:hint="eastAsia" w:ascii="宋体" w:hAnsi="宋体" w:eastAsia="宋体"/>
        <w:b/>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3">
    <w:nsid w:val="453722AE"/>
    <w:multiLevelType w:val="multilevel"/>
    <w:tmpl w:val="453722AE"/>
    <w:lvl w:ilvl="0" w:tentative="0">
      <w:start w:val="1"/>
      <w:numFmt w:val="decimal"/>
      <w:lvlText w:val="(%1)."/>
      <w:lvlJc w:val="left"/>
      <w:pPr>
        <w:ind w:left="440" w:hanging="440"/>
      </w:pPr>
      <w:rPr>
        <w:rFonts w:hint="eastAsia" w:asciiTheme="majorEastAsia" w:hAnsiTheme="majorEastAsia" w:eastAsiaTheme="maj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4">
    <w:nsid w:val="45D95701"/>
    <w:multiLevelType w:val="multilevel"/>
    <w:tmpl w:val="45D95701"/>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5">
    <w:nsid w:val="45EE0604"/>
    <w:multiLevelType w:val="multilevel"/>
    <w:tmpl w:val="45EE0604"/>
    <w:lvl w:ilvl="0" w:tentative="0">
      <w:start w:val="1"/>
      <w:numFmt w:val="japaneseCounting"/>
      <w:lvlText w:val="(%1)"/>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6">
    <w:nsid w:val="463E0B3C"/>
    <w:multiLevelType w:val="multilevel"/>
    <w:tmpl w:val="463E0B3C"/>
    <w:lvl w:ilvl="0" w:tentative="0">
      <w:start w:val="1"/>
      <w:numFmt w:val="chineseCountingThousand"/>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7">
    <w:nsid w:val="46E20981"/>
    <w:multiLevelType w:val="multilevel"/>
    <w:tmpl w:val="46E20981"/>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lvlText w:val="(%4)."/>
      <w:lvlJc w:val="left"/>
      <w:pPr>
        <w:ind w:left="851" w:hanging="851"/>
      </w:pPr>
      <w:rPr>
        <w:rFonts w:hint="eastAsia" w:ascii="宋体" w:hAnsi="宋体" w:eastAsia="宋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8">
    <w:nsid w:val="47B412BD"/>
    <w:multiLevelType w:val="multilevel"/>
    <w:tmpl w:val="47B412BD"/>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lvlText w:val="(%4)."/>
      <w:lvlJc w:val="left"/>
      <w:pPr>
        <w:ind w:left="851" w:hanging="851"/>
      </w:pPr>
      <w:rPr>
        <w:rFonts w:hint="eastAsia" w:ascii="宋体" w:hAnsi="宋体" w:eastAsia="宋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9">
    <w:nsid w:val="49C71EB0"/>
    <w:multiLevelType w:val="multilevel"/>
    <w:tmpl w:val="49C71EB0"/>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lvlText w:val="(%4)."/>
      <w:lvlJc w:val="left"/>
      <w:pPr>
        <w:ind w:left="851" w:hanging="851"/>
      </w:pPr>
      <w:rPr>
        <w:rFonts w:hint="eastAsia" w:ascii="宋体" w:hAnsi="宋体" w:eastAsia="宋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80">
    <w:nsid w:val="4A125FEF"/>
    <w:multiLevelType w:val="multilevel"/>
    <w:tmpl w:val="4A125FEF"/>
    <w:lvl w:ilvl="0" w:tentative="0">
      <w:start w:val="1"/>
      <w:numFmt w:val="decimal"/>
      <w:lvlText w:val="%1、"/>
      <w:lvlJc w:val="left"/>
      <w:pPr>
        <w:ind w:left="420" w:hanging="420"/>
      </w:pPr>
      <w:rPr>
        <w:rFonts w:hint="eastAsia" w:eastAsia="宋体" w:asciiTheme="majorEastAsia" w:hAnsiTheme="majorEastAsia"/>
      </w:rPr>
    </w:lvl>
    <w:lvl w:ilvl="1" w:tentative="0">
      <w:start w:val="1"/>
      <w:numFmt w:val="decimal"/>
      <w:lvlText w:val="%2、"/>
      <w:lvlJc w:val="left"/>
      <w:pPr>
        <w:ind w:left="840" w:hanging="420"/>
      </w:pPr>
      <w:rPr>
        <w:rFonts w:hint="eastAsia"/>
      </w:rPr>
    </w:lvl>
    <w:lvl w:ilvl="2" w:tentative="0">
      <w:start w:val="1"/>
      <w:numFmt w:val="decimal"/>
      <w:lvlText w:val="%3、"/>
      <w:lvlJc w:val="lef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1">
    <w:nsid w:val="4AC23DB8"/>
    <w:multiLevelType w:val="multilevel"/>
    <w:tmpl w:val="4AC23DB8"/>
    <w:lvl w:ilvl="0" w:tentative="0">
      <w:start w:val="1"/>
      <w:numFmt w:val="chineseCountingThousand"/>
      <w:suff w:val="space"/>
      <w:lvlText w:val="(%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2">
    <w:nsid w:val="4ACD5C44"/>
    <w:multiLevelType w:val="multilevel"/>
    <w:tmpl w:val="4ACD5C44"/>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3">
    <w:nsid w:val="4B8A1F74"/>
    <w:multiLevelType w:val="multilevel"/>
    <w:tmpl w:val="4B8A1F74"/>
    <w:lvl w:ilvl="0" w:tentative="0">
      <w:start w:val="1"/>
      <w:numFmt w:val="decimal"/>
      <w:lvlText w:val="%1、"/>
      <w:lvlJc w:val="left"/>
      <w:pPr>
        <w:ind w:left="0" w:firstLine="0"/>
      </w:pPr>
      <w:rPr>
        <w:rFonts w:hint="default"/>
      </w:rPr>
    </w:lvl>
    <w:lvl w:ilvl="1" w:tentative="0">
      <w:start w:val="1"/>
      <w:numFmt w:val="chineseCountingThousand"/>
      <w:lvlText w:val="(%2)"/>
      <w:lvlJc w:val="left"/>
      <w:pPr>
        <w:ind w:left="0" w:firstLine="0"/>
      </w:pPr>
      <w:rPr>
        <w:rFonts w:hint="eastAsia"/>
      </w:rPr>
    </w:lvl>
    <w:lvl w:ilvl="2" w:tentative="0">
      <w:start w:val="1"/>
      <w:numFmt w:val="decimal"/>
      <w:lvlText w:val="%3、"/>
      <w:lvlJc w:val="left"/>
      <w:pPr>
        <w:ind w:left="0" w:firstLine="0"/>
      </w:pPr>
      <w:rPr>
        <w:rFonts w:hint="eastAsia" w:ascii="宋体" w:hAnsi="宋体" w:eastAsia="宋体"/>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84">
    <w:nsid w:val="4FF23454"/>
    <w:multiLevelType w:val="multilevel"/>
    <w:tmpl w:val="4FF23454"/>
    <w:lvl w:ilvl="0" w:tentative="0">
      <w:start w:val="1"/>
      <w:numFmt w:val="decimal"/>
      <w:lvlText w:val="(%1)."/>
      <w:lvlJc w:val="left"/>
      <w:pPr>
        <w:ind w:left="420" w:hanging="42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5">
    <w:nsid w:val="50F33864"/>
    <w:multiLevelType w:val="multilevel"/>
    <w:tmpl w:val="50F33864"/>
    <w:lvl w:ilvl="0" w:tentative="0">
      <w:start w:val="1"/>
      <w:numFmt w:val="chineseCountingThousand"/>
      <w:lvlText w:val="(%1)"/>
      <w:lvlJc w:val="right"/>
      <w:pPr>
        <w:ind w:left="1260" w:hanging="420"/>
      </w:pPr>
      <w:rPr>
        <w:rFonts w:hint="eastAsia"/>
      </w:rPr>
    </w:lvl>
    <w:lvl w:ilvl="1" w:tentative="0">
      <w:start w:val="1"/>
      <w:numFmt w:val="lowerLetter"/>
      <w:lvlText w:val="%2)"/>
      <w:lvlJc w:val="left"/>
      <w:pPr>
        <w:ind w:left="840" w:hanging="420"/>
      </w:pPr>
    </w:lvl>
    <w:lvl w:ilvl="2" w:tentative="0">
      <w:start w:val="1"/>
      <w:numFmt w:val="chineseCountingThousand"/>
      <w:lvlText w:val="(%3)"/>
      <w:lvlJc w:val="right"/>
      <w:pPr>
        <w:ind w:left="420" w:hanging="420"/>
      </w:pPr>
      <w:rPr>
        <w:rFonts w:hint="eastAsia"/>
      </w:rPr>
    </w:lvl>
    <w:lvl w:ilvl="3" w:tentative="0">
      <w:start w:val="1"/>
      <w:numFmt w:val="chineseCountingThousand"/>
      <w:suff w:val="nothing"/>
      <w:lvlText w:val="(%4)"/>
      <w:lvlJc w:val="left"/>
      <w:pPr>
        <w:ind w:left="0" w:firstLine="0"/>
      </w:pPr>
      <w:rPr>
        <w:rFonts w:hint="eastAsia" w:ascii="宋体" w:hAnsi="宋体" w:eastAsia="宋体"/>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6">
    <w:nsid w:val="511727FE"/>
    <w:multiLevelType w:val="multilevel"/>
    <w:tmpl w:val="511727FE"/>
    <w:lvl w:ilvl="0" w:tentative="0">
      <w:start w:val="1"/>
      <w:numFmt w:val="decimal"/>
      <w:lvlText w:val="(%1)."/>
      <w:lvlJc w:val="left"/>
      <w:pPr>
        <w:ind w:left="0" w:firstLine="0"/>
      </w:pPr>
      <w:rPr>
        <w:rFonts w:hint="default"/>
      </w:rPr>
    </w:lvl>
    <w:lvl w:ilvl="1" w:tentative="0">
      <w:start w:val="1"/>
      <w:numFmt w:val="chineseCountingThousand"/>
      <w:lvlText w:val="(%2)"/>
      <w:lvlJc w:val="left"/>
      <w:pPr>
        <w:ind w:left="0" w:firstLine="0"/>
      </w:pPr>
      <w:rPr>
        <w:rFonts w:hint="eastAsia"/>
      </w:rPr>
    </w:lvl>
    <w:lvl w:ilvl="2" w:tentative="0">
      <w:start w:val="1"/>
      <w:numFmt w:val="chineseCountingThousand"/>
      <w:lvlText w:val="(%3)"/>
      <w:lvlJc w:val="left"/>
      <w:pPr>
        <w:ind w:left="0" w:firstLine="0"/>
      </w:pPr>
      <w:rPr>
        <w:rFonts w:hint="eastAsia"/>
      </w:rPr>
    </w:lvl>
    <w:lvl w:ilvl="3" w:tentative="0">
      <w:start w:val="1"/>
      <w:numFmt w:val="decimal"/>
      <w:lvlText w:val="(%4)."/>
      <w:lvlJc w:val="left"/>
      <w:pPr>
        <w:ind w:left="0" w:firstLine="0"/>
      </w:pPr>
      <w:rPr>
        <w:rFonts w:hint="eastAsia" w:ascii="宋体" w:hAnsi="宋体" w:eastAsia="宋体"/>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87">
    <w:nsid w:val="51265863"/>
    <w:multiLevelType w:val="multilevel"/>
    <w:tmpl w:val="51265863"/>
    <w:lvl w:ilvl="0" w:tentative="0">
      <w:start w:val="1"/>
      <w:numFmt w:val="chineseCountingThousand"/>
      <w:lvlText w:val="(%1)"/>
      <w:lvlJc w:val="left"/>
      <w:pPr>
        <w:ind w:left="420" w:hanging="420"/>
      </w:pPr>
    </w:lvl>
    <w:lvl w:ilvl="1" w:tentative="0">
      <w:start w:val="1"/>
      <w:numFmt w:val="decimal"/>
      <w:lvlText w:val="(%2). "/>
      <w:lvlJc w:val="left"/>
      <w:pPr>
        <w:ind w:left="840" w:hanging="420"/>
      </w:pPr>
      <w:rPr>
        <w:rFonts w:hint="eastAsia" w:ascii="宋体" w:hAnsi="宋体" w:eastAsia="宋体"/>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8">
    <w:nsid w:val="520C604D"/>
    <w:multiLevelType w:val="multilevel"/>
    <w:tmpl w:val="520C604D"/>
    <w:lvl w:ilvl="0" w:tentative="0">
      <w:start w:val="1"/>
      <w:numFmt w:val="decimal"/>
      <w:suff w:val="space"/>
      <w:lvlText w:val="(%1)."/>
      <w:lvlJc w:val="left"/>
      <w:pPr>
        <w:ind w:left="0" w:firstLine="0"/>
      </w:pPr>
      <w:rPr>
        <w:rFonts w:hint="eastAsia" w:eastAsia="宋体" w:asciiTheme="minorEastAsia" w:hAnsiTheme="minor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9">
    <w:nsid w:val="531A49E7"/>
    <w:multiLevelType w:val="multilevel"/>
    <w:tmpl w:val="531A49E7"/>
    <w:lvl w:ilvl="0" w:tentative="0">
      <w:start w:val="1"/>
      <w:numFmt w:val="decimal"/>
      <w:lvlText w:val="(%1)."/>
      <w:lvlJc w:val="left"/>
      <w:pPr>
        <w:ind w:left="0" w:firstLine="0"/>
      </w:pPr>
      <w:rPr>
        <w:rFonts w:hint="default"/>
      </w:rPr>
    </w:lvl>
    <w:lvl w:ilvl="1" w:tentative="0">
      <w:start w:val="1"/>
      <w:numFmt w:val="chineseCountingThousand"/>
      <w:lvlText w:val="(%2)"/>
      <w:lvlJc w:val="left"/>
      <w:pPr>
        <w:ind w:left="0" w:firstLine="0"/>
      </w:pPr>
      <w:rPr>
        <w:rFonts w:hint="eastAsia"/>
      </w:rPr>
    </w:lvl>
    <w:lvl w:ilvl="2" w:tentative="0">
      <w:start w:val="1"/>
      <w:numFmt w:val="chineseCountingThousand"/>
      <w:lvlText w:val="(%3)"/>
      <w:lvlJc w:val="left"/>
      <w:pPr>
        <w:ind w:left="0" w:firstLine="0"/>
      </w:pPr>
      <w:rPr>
        <w:rFonts w:hint="eastAsia"/>
      </w:rPr>
    </w:lvl>
    <w:lvl w:ilvl="3" w:tentative="0">
      <w:start w:val="1"/>
      <w:numFmt w:val="decimal"/>
      <w:lvlText w:val="(%4)."/>
      <w:lvlJc w:val="left"/>
      <w:pPr>
        <w:ind w:left="0" w:firstLine="0"/>
      </w:pPr>
      <w:rPr>
        <w:rFonts w:ascii="宋体" w:hAnsi="宋体" w:eastAsia="宋体"/>
        <w:b/>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90">
    <w:nsid w:val="542027AB"/>
    <w:multiLevelType w:val="multilevel"/>
    <w:tmpl w:val="542027AB"/>
    <w:lvl w:ilvl="0" w:tentative="0">
      <w:start w:val="1"/>
      <w:numFmt w:val="decimal"/>
      <w:lvlText w:val="%1、"/>
      <w:lvlJc w:val="left"/>
      <w:pPr>
        <w:ind w:left="420" w:hanging="420"/>
      </w:pPr>
      <w:rPr>
        <w:rFonts w:hint="eastAsia" w:ascii="宋体" w:hAnsi="宋体" w:eastAsia="宋体"/>
      </w:rPr>
    </w:lvl>
    <w:lvl w:ilvl="1" w:tentative="0">
      <w:start w:val="1"/>
      <w:numFmt w:val="decimal"/>
      <w:lvlText w:val="%2、"/>
      <w:lvlJc w:val="left"/>
      <w:pPr>
        <w:ind w:left="840" w:hanging="420"/>
      </w:pPr>
      <w:rPr>
        <w:rFonts w:hint="eastAsia"/>
      </w:rPr>
    </w:lvl>
    <w:lvl w:ilvl="2" w:tentative="0">
      <w:start w:val="1"/>
      <w:numFmt w:val="decimal"/>
      <w:lvlText w:val="%3、"/>
      <w:lvlJc w:val="lef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1">
    <w:nsid w:val="573E2AF3"/>
    <w:multiLevelType w:val="multilevel"/>
    <w:tmpl w:val="573E2AF3"/>
    <w:lvl w:ilvl="0" w:tentative="0">
      <w:start w:val="1"/>
      <w:numFmt w:val="decimal"/>
      <w:suff w:val="nothing"/>
      <w:lvlText w:val="(%1)."/>
      <w:lvlJc w:val="left"/>
      <w:pPr>
        <w:ind w:left="0" w:firstLine="0"/>
      </w:pPr>
      <w:rPr>
        <w:rFonts w:hint="eastAsia" w:eastAsia="宋体" w:asciiTheme="majorEastAsia" w:hAnsiTheme="majorEastAsia"/>
      </w:rPr>
    </w:lvl>
    <w:lvl w:ilvl="1" w:tentative="0">
      <w:start w:val="1"/>
      <w:numFmt w:val="lowerLetter"/>
      <w:lvlText w:val="%2)"/>
      <w:lvlJc w:val="left"/>
      <w:pPr>
        <w:ind w:left="985" w:hanging="440"/>
      </w:pPr>
    </w:lvl>
    <w:lvl w:ilvl="2" w:tentative="0">
      <w:start w:val="1"/>
      <w:numFmt w:val="lowerRoman"/>
      <w:lvlText w:val="%3."/>
      <w:lvlJc w:val="right"/>
      <w:pPr>
        <w:ind w:left="1425" w:hanging="440"/>
      </w:pPr>
    </w:lvl>
    <w:lvl w:ilvl="3" w:tentative="0">
      <w:start w:val="1"/>
      <w:numFmt w:val="decimal"/>
      <w:lvlText w:val="%4."/>
      <w:lvlJc w:val="left"/>
      <w:pPr>
        <w:ind w:left="1865" w:hanging="440"/>
      </w:pPr>
    </w:lvl>
    <w:lvl w:ilvl="4" w:tentative="0">
      <w:start w:val="1"/>
      <w:numFmt w:val="lowerLetter"/>
      <w:lvlText w:val="%5)"/>
      <w:lvlJc w:val="left"/>
      <w:pPr>
        <w:ind w:left="2305" w:hanging="440"/>
      </w:pPr>
    </w:lvl>
    <w:lvl w:ilvl="5" w:tentative="0">
      <w:start w:val="1"/>
      <w:numFmt w:val="lowerRoman"/>
      <w:lvlText w:val="%6."/>
      <w:lvlJc w:val="right"/>
      <w:pPr>
        <w:ind w:left="2745" w:hanging="440"/>
      </w:pPr>
    </w:lvl>
    <w:lvl w:ilvl="6" w:tentative="0">
      <w:start w:val="1"/>
      <w:numFmt w:val="decimal"/>
      <w:lvlText w:val="%7."/>
      <w:lvlJc w:val="left"/>
      <w:pPr>
        <w:ind w:left="3185" w:hanging="440"/>
      </w:pPr>
    </w:lvl>
    <w:lvl w:ilvl="7" w:tentative="0">
      <w:start w:val="1"/>
      <w:numFmt w:val="lowerLetter"/>
      <w:lvlText w:val="%8)"/>
      <w:lvlJc w:val="left"/>
      <w:pPr>
        <w:ind w:left="3625" w:hanging="440"/>
      </w:pPr>
    </w:lvl>
    <w:lvl w:ilvl="8" w:tentative="0">
      <w:start w:val="1"/>
      <w:numFmt w:val="lowerRoman"/>
      <w:lvlText w:val="%9."/>
      <w:lvlJc w:val="right"/>
      <w:pPr>
        <w:ind w:left="4065" w:hanging="440"/>
      </w:pPr>
    </w:lvl>
  </w:abstractNum>
  <w:abstractNum w:abstractNumId="92">
    <w:nsid w:val="57D70C03"/>
    <w:multiLevelType w:val="multilevel"/>
    <w:tmpl w:val="57D70C03"/>
    <w:lvl w:ilvl="0" w:tentative="0">
      <w:start w:val="1"/>
      <w:numFmt w:val="decimal"/>
      <w:lvlText w:val="%1、"/>
      <w:lvlJc w:val="left"/>
      <w:pPr>
        <w:ind w:left="425" w:hanging="425"/>
      </w:pPr>
      <w:rPr>
        <w:rFonts w:hint="eastAsia" w:ascii="宋体" w:hAnsi="宋体" w:eastAsia="宋体"/>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3">
    <w:nsid w:val="59862246"/>
    <w:multiLevelType w:val="multilevel"/>
    <w:tmpl w:val="59862246"/>
    <w:lvl w:ilvl="0" w:tentative="0">
      <w:start w:val="1"/>
      <w:numFmt w:val="decimal"/>
      <w:lvlText w:val="%1、"/>
      <w:lvlJc w:val="left"/>
      <w:pPr>
        <w:ind w:left="425" w:hanging="425"/>
      </w:pPr>
      <w:rPr>
        <w:rFonts w:hint="eastAsia" w:ascii="宋体" w:hAnsi="宋体" w:eastAsia="宋体"/>
        <w:b/>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4">
    <w:nsid w:val="59EF7C0F"/>
    <w:multiLevelType w:val="multilevel"/>
    <w:tmpl w:val="59EF7C0F"/>
    <w:lvl w:ilvl="0" w:tentative="0">
      <w:start w:val="1"/>
      <w:numFmt w:val="chineseCountingThousand"/>
      <w:suff w:val="nothing"/>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5">
    <w:nsid w:val="5BDC5A30"/>
    <w:multiLevelType w:val="multilevel"/>
    <w:tmpl w:val="5BDC5A30"/>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lvlText w:val="(%4)."/>
      <w:lvlJc w:val="left"/>
      <w:pPr>
        <w:ind w:left="851" w:hanging="851"/>
      </w:pPr>
      <w:rPr>
        <w:rFonts w:hint="eastAsia" w:ascii="宋体" w:hAnsi="宋体" w:eastAsia="宋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96">
    <w:nsid w:val="5C673432"/>
    <w:multiLevelType w:val="multilevel"/>
    <w:tmpl w:val="5C673432"/>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97">
    <w:nsid w:val="5CA85E2E"/>
    <w:multiLevelType w:val="multilevel"/>
    <w:tmpl w:val="5CA85E2E"/>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suff w:val="nothing"/>
      <w:lvlText w:val="(%4). "/>
      <w:lvlJc w:val="left"/>
      <w:pPr>
        <w:ind w:left="0" w:firstLine="0"/>
      </w:pPr>
      <w:rPr>
        <w:rFonts w:hint="default" w:ascii="宋体" w:hAnsi="宋体" w:eastAsia="宋体"/>
        <w:b/>
        <w:color w:val="auto"/>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98">
    <w:nsid w:val="5CED316C"/>
    <w:multiLevelType w:val="multilevel"/>
    <w:tmpl w:val="5CED316C"/>
    <w:lvl w:ilvl="0" w:tentative="0">
      <w:start w:val="1"/>
      <w:numFmt w:val="decimal"/>
      <w:suff w:val="space"/>
      <w:lvlText w:val="(%1)."/>
      <w:lvlJc w:val="left"/>
      <w:pPr>
        <w:ind w:left="360" w:hanging="36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9">
    <w:nsid w:val="5D107713"/>
    <w:multiLevelType w:val="multilevel"/>
    <w:tmpl w:val="5D107713"/>
    <w:lvl w:ilvl="0" w:tentative="0">
      <w:start w:val="1"/>
      <w:numFmt w:val="decimal"/>
      <w:lvlText w:val="(%1)."/>
      <w:lvlJc w:val="left"/>
      <w:pPr>
        <w:ind w:left="425" w:hanging="425"/>
      </w:pPr>
      <w:rPr>
        <w:rFonts w:hint="eastAsia" w:ascii="宋体" w:hAnsi="宋体" w:eastAsia="宋体"/>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00">
    <w:nsid w:val="5D9A1F7E"/>
    <w:multiLevelType w:val="multilevel"/>
    <w:tmpl w:val="5D9A1F7E"/>
    <w:lvl w:ilvl="0" w:tentative="0">
      <w:start w:val="1"/>
      <w:numFmt w:val="decimal"/>
      <w:lvlText w:val="%1、"/>
      <w:lvlJc w:val="left"/>
      <w:pPr>
        <w:ind w:left="440" w:hanging="440"/>
      </w:pPr>
      <w:rPr>
        <w:rFonts w:hint="eastAsia" w:eastAsia="宋体" w:asciiTheme="majorEastAsia" w:hAnsiTheme="maj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1">
    <w:nsid w:val="5DB24638"/>
    <w:multiLevelType w:val="multilevel"/>
    <w:tmpl w:val="5DB24638"/>
    <w:lvl w:ilvl="0" w:tentative="0">
      <w:start w:val="1"/>
      <w:numFmt w:val="decimal"/>
      <w:lvlText w:val="(%1)."/>
      <w:lvlJc w:val="left"/>
      <w:pPr>
        <w:ind w:left="0" w:firstLine="0"/>
      </w:pPr>
      <w:rPr>
        <w:rFonts w:hint="default"/>
      </w:rPr>
    </w:lvl>
    <w:lvl w:ilvl="1" w:tentative="0">
      <w:start w:val="1"/>
      <w:numFmt w:val="chineseCountingThousand"/>
      <w:lvlText w:val="(%2)"/>
      <w:lvlJc w:val="left"/>
      <w:pPr>
        <w:ind w:left="0" w:firstLine="0"/>
      </w:pPr>
      <w:rPr>
        <w:rFonts w:hint="eastAsia"/>
      </w:rPr>
    </w:lvl>
    <w:lvl w:ilvl="2" w:tentative="0">
      <w:start w:val="1"/>
      <w:numFmt w:val="chineseCountingThousand"/>
      <w:lvlText w:val="(%3)"/>
      <w:lvlJc w:val="left"/>
      <w:pPr>
        <w:ind w:left="0" w:firstLine="0"/>
      </w:pPr>
      <w:rPr>
        <w:rFonts w:hint="eastAsia"/>
      </w:rPr>
    </w:lvl>
    <w:lvl w:ilvl="3" w:tentative="0">
      <w:start w:val="1"/>
      <w:numFmt w:val="decimal"/>
      <w:lvlText w:val="(%4)."/>
      <w:lvlJc w:val="left"/>
      <w:pPr>
        <w:ind w:left="0" w:firstLine="0"/>
      </w:pPr>
      <w:rPr>
        <w:rFonts w:ascii="宋体" w:hAnsi="宋体" w:eastAsia="宋体"/>
        <w:b/>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02">
    <w:nsid w:val="5DD2799E"/>
    <w:multiLevelType w:val="multilevel"/>
    <w:tmpl w:val="5DD2799E"/>
    <w:lvl w:ilvl="0" w:tentative="0">
      <w:start w:val="1"/>
      <w:numFmt w:val="decimal"/>
      <w:lvlText w:val="%1、 "/>
      <w:lvlJc w:val="left"/>
      <w:pPr>
        <w:ind w:left="440" w:hanging="440"/>
      </w:pPr>
      <w:rPr>
        <w:rFonts w:hint="eastAsia" w:ascii="宋体" w:hAnsi="宋体" w:eastAsia="宋体"/>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3">
    <w:nsid w:val="5DED1C0B"/>
    <w:multiLevelType w:val="multilevel"/>
    <w:tmpl w:val="5DED1C0B"/>
    <w:lvl w:ilvl="0" w:tentative="0">
      <w:start w:val="1"/>
      <w:numFmt w:val="decimal"/>
      <w:suff w:val="nothing"/>
      <w:lvlText w:val="(%1)."/>
      <w:lvlJc w:val="left"/>
      <w:pPr>
        <w:ind w:left="0" w:firstLine="0"/>
      </w:pPr>
      <w:rPr>
        <w:rFonts w:hint="eastAsia" w:eastAsia="宋体" w:asciiTheme="majorEastAsia" w:hAnsiTheme="majorEastAsia"/>
      </w:rPr>
    </w:lvl>
    <w:lvl w:ilvl="1" w:tentative="0">
      <w:start w:val="1"/>
      <w:numFmt w:val="lowerLetter"/>
      <w:lvlText w:val="%2)"/>
      <w:lvlJc w:val="left"/>
      <w:pPr>
        <w:ind w:left="985" w:hanging="440"/>
      </w:pPr>
    </w:lvl>
    <w:lvl w:ilvl="2" w:tentative="0">
      <w:start w:val="1"/>
      <w:numFmt w:val="lowerRoman"/>
      <w:lvlText w:val="%3."/>
      <w:lvlJc w:val="right"/>
      <w:pPr>
        <w:ind w:left="1425" w:hanging="440"/>
      </w:pPr>
    </w:lvl>
    <w:lvl w:ilvl="3" w:tentative="0">
      <w:start w:val="1"/>
      <w:numFmt w:val="decimal"/>
      <w:lvlText w:val="%4."/>
      <w:lvlJc w:val="left"/>
      <w:pPr>
        <w:ind w:left="1865" w:hanging="440"/>
      </w:pPr>
    </w:lvl>
    <w:lvl w:ilvl="4" w:tentative="0">
      <w:start w:val="1"/>
      <w:numFmt w:val="lowerLetter"/>
      <w:lvlText w:val="%5)"/>
      <w:lvlJc w:val="left"/>
      <w:pPr>
        <w:ind w:left="2305" w:hanging="440"/>
      </w:pPr>
    </w:lvl>
    <w:lvl w:ilvl="5" w:tentative="0">
      <w:start w:val="1"/>
      <w:numFmt w:val="lowerRoman"/>
      <w:lvlText w:val="%6."/>
      <w:lvlJc w:val="right"/>
      <w:pPr>
        <w:ind w:left="2745" w:hanging="440"/>
      </w:pPr>
    </w:lvl>
    <w:lvl w:ilvl="6" w:tentative="0">
      <w:start w:val="1"/>
      <w:numFmt w:val="decimal"/>
      <w:lvlText w:val="%7."/>
      <w:lvlJc w:val="left"/>
      <w:pPr>
        <w:ind w:left="3185" w:hanging="440"/>
      </w:pPr>
    </w:lvl>
    <w:lvl w:ilvl="7" w:tentative="0">
      <w:start w:val="1"/>
      <w:numFmt w:val="lowerLetter"/>
      <w:lvlText w:val="%8)"/>
      <w:lvlJc w:val="left"/>
      <w:pPr>
        <w:ind w:left="3625" w:hanging="440"/>
      </w:pPr>
    </w:lvl>
    <w:lvl w:ilvl="8" w:tentative="0">
      <w:start w:val="1"/>
      <w:numFmt w:val="lowerRoman"/>
      <w:lvlText w:val="%9."/>
      <w:lvlJc w:val="right"/>
      <w:pPr>
        <w:ind w:left="4065" w:hanging="440"/>
      </w:pPr>
    </w:lvl>
  </w:abstractNum>
  <w:abstractNum w:abstractNumId="104">
    <w:nsid w:val="5F405219"/>
    <w:multiLevelType w:val="multilevel"/>
    <w:tmpl w:val="5F405219"/>
    <w:lvl w:ilvl="0" w:tentative="0">
      <w:start w:val="1"/>
      <w:numFmt w:val="decimal"/>
      <w:lvlText w:val="(%1)."/>
      <w:lvlJc w:val="left"/>
      <w:pPr>
        <w:ind w:left="440" w:hanging="440"/>
      </w:pPr>
      <w:rPr>
        <w:rFonts w:hint="eastAsia" w:asciiTheme="majorEastAsia" w:hAnsiTheme="majorEastAsia" w:eastAsiaTheme="maj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5">
    <w:nsid w:val="5FD64E01"/>
    <w:multiLevelType w:val="multilevel"/>
    <w:tmpl w:val="5FD64E01"/>
    <w:lvl w:ilvl="0" w:tentative="0">
      <w:start w:val="1"/>
      <w:numFmt w:val="decimal"/>
      <w:lvlText w:val="(%1)."/>
      <w:lvlJc w:val="left"/>
      <w:pPr>
        <w:ind w:left="425" w:hanging="425"/>
      </w:pPr>
      <w:rPr>
        <w:rFonts w:hint="eastAsia" w:ascii="宋体" w:hAnsi="宋体" w:eastAsia="宋体"/>
        <w:b/>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06">
    <w:nsid w:val="60421A59"/>
    <w:multiLevelType w:val="multilevel"/>
    <w:tmpl w:val="60421A59"/>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7">
    <w:nsid w:val="63C5513C"/>
    <w:multiLevelType w:val="multilevel"/>
    <w:tmpl w:val="63C5513C"/>
    <w:lvl w:ilvl="0" w:tentative="0">
      <w:start w:val="1"/>
      <w:numFmt w:val="decimal"/>
      <w:lvlText w:val="(%1)."/>
      <w:lvlJc w:val="left"/>
      <w:pPr>
        <w:ind w:left="440" w:hanging="440"/>
      </w:pPr>
      <w:rPr>
        <w:rFonts w:hint="eastAsia" w:asciiTheme="majorEastAsia" w:hAnsiTheme="majorEastAsia" w:eastAsiaTheme="maj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8">
    <w:nsid w:val="650F40B7"/>
    <w:multiLevelType w:val="multilevel"/>
    <w:tmpl w:val="650F40B7"/>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9">
    <w:nsid w:val="69535DE9"/>
    <w:multiLevelType w:val="multilevel"/>
    <w:tmpl w:val="69535DE9"/>
    <w:lvl w:ilvl="0" w:tentative="0">
      <w:start w:val="1"/>
      <w:numFmt w:val="decimal"/>
      <w:suff w:val="nothing"/>
      <w:lvlText w:val="(%1). "/>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0">
    <w:nsid w:val="6B96254F"/>
    <w:multiLevelType w:val="multilevel"/>
    <w:tmpl w:val="6B96254F"/>
    <w:lvl w:ilvl="0" w:tentative="0">
      <w:start w:val="1"/>
      <w:numFmt w:val="decimal"/>
      <w:lvlText w:val="%1、"/>
      <w:lvlJc w:val="left"/>
      <w:pPr>
        <w:ind w:left="425" w:hanging="425"/>
      </w:pPr>
      <w:rPr>
        <w:rFonts w:hint="eastAsia" w:eastAsia="宋体" w:asciiTheme="majorEastAsia" w:hAnsiTheme="major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4."/>
      <w:lvlJc w:val="left"/>
      <w:pPr>
        <w:ind w:left="1984" w:hanging="708"/>
      </w:pPr>
      <w:rPr>
        <w:rFonts w:hint="eastAsia" w:ascii="宋体" w:hAnsi="宋体" w:eastAsia="宋体"/>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1">
    <w:nsid w:val="6E97785F"/>
    <w:multiLevelType w:val="multilevel"/>
    <w:tmpl w:val="6E97785F"/>
    <w:lvl w:ilvl="0" w:tentative="0">
      <w:start w:val="1"/>
      <w:numFmt w:val="decimal"/>
      <w:lvlText w:val="(%1)."/>
      <w:lvlJc w:val="left"/>
      <w:pPr>
        <w:ind w:left="420" w:hanging="42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2">
    <w:nsid w:val="6F111C3A"/>
    <w:multiLevelType w:val="multilevel"/>
    <w:tmpl w:val="6F111C3A"/>
    <w:lvl w:ilvl="0" w:tentative="0">
      <w:start w:val="1"/>
      <w:numFmt w:val="decimal"/>
      <w:lvlText w:val="(%1)."/>
      <w:lvlJc w:val="left"/>
      <w:pPr>
        <w:ind w:left="425" w:hanging="425"/>
      </w:pPr>
      <w:rPr>
        <w:rFonts w:hint="eastAsia"/>
      </w:rPr>
    </w:lvl>
    <w:lvl w:ilvl="1" w:tentative="0">
      <w:start w:val="1"/>
      <w:numFmt w:val="chineseCountingThousand"/>
      <w:lvlText w:val="(%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4)."/>
      <w:lvlJc w:val="left"/>
      <w:pPr>
        <w:ind w:left="851" w:hanging="851"/>
      </w:pPr>
      <w:rPr>
        <w:rFonts w:hint="eastAsia" w:ascii="宋体" w:hAnsi="宋体" w:eastAsia="宋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13">
    <w:nsid w:val="700C4404"/>
    <w:multiLevelType w:val="multilevel"/>
    <w:tmpl w:val="700C4404"/>
    <w:lvl w:ilvl="0" w:tentative="0">
      <w:start w:val="1"/>
      <w:numFmt w:val="decimal"/>
      <w:suff w:val="nothing"/>
      <w:lvlText w:val="(%1)."/>
      <w:lvlJc w:val="left"/>
      <w:pPr>
        <w:ind w:left="0" w:firstLine="0"/>
      </w:pPr>
      <w:rPr>
        <w:rFonts w:hint="eastAsia" w:eastAsia="宋体" w:asciiTheme="majorEastAsia" w:hAnsiTheme="majorEastAsia"/>
      </w:rPr>
    </w:lvl>
    <w:lvl w:ilvl="1" w:tentative="0">
      <w:start w:val="1"/>
      <w:numFmt w:val="lowerLetter"/>
      <w:lvlText w:val="%2)"/>
      <w:lvlJc w:val="left"/>
      <w:pPr>
        <w:ind w:left="985" w:hanging="440"/>
      </w:pPr>
    </w:lvl>
    <w:lvl w:ilvl="2" w:tentative="0">
      <w:start w:val="1"/>
      <w:numFmt w:val="lowerRoman"/>
      <w:lvlText w:val="%3."/>
      <w:lvlJc w:val="right"/>
      <w:pPr>
        <w:ind w:left="1425" w:hanging="440"/>
      </w:pPr>
    </w:lvl>
    <w:lvl w:ilvl="3" w:tentative="0">
      <w:start w:val="1"/>
      <w:numFmt w:val="decimal"/>
      <w:lvlText w:val="%4."/>
      <w:lvlJc w:val="left"/>
      <w:pPr>
        <w:ind w:left="1865" w:hanging="440"/>
      </w:pPr>
    </w:lvl>
    <w:lvl w:ilvl="4" w:tentative="0">
      <w:start w:val="1"/>
      <w:numFmt w:val="lowerLetter"/>
      <w:lvlText w:val="%5)"/>
      <w:lvlJc w:val="left"/>
      <w:pPr>
        <w:ind w:left="2305" w:hanging="440"/>
      </w:pPr>
    </w:lvl>
    <w:lvl w:ilvl="5" w:tentative="0">
      <w:start w:val="1"/>
      <w:numFmt w:val="lowerRoman"/>
      <w:lvlText w:val="%6."/>
      <w:lvlJc w:val="right"/>
      <w:pPr>
        <w:ind w:left="2745" w:hanging="440"/>
      </w:pPr>
    </w:lvl>
    <w:lvl w:ilvl="6" w:tentative="0">
      <w:start w:val="1"/>
      <w:numFmt w:val="decimal"/>
      <w:lvlText w:val="%7."/>
      <w:lvlJc w:val="left"/>
      <w:pPr>
        <w:ind w:left="3185" w:hanging="440"/>
      </w:pPr>
    </w:lvl>
    <w:lvl w:ilvl="7" w:tentative="0">
      <w:start w:val="1"/>
      <w:numFmt w:val="lowerLetter"/>
      <w:lvlText w:val="%8)"/>
      <w:lvlJc w:val="left"/>
      <w:pPr>
        <w:ind w:left="3625" w:hanging="440"/>
      </w:pPr>
    </w:lvl>
    <w:lvl w:ilvl="8" w:tentative="0">
      <w:start w:val="1"/>
      <w:numFmt w:val="lowerRoman"/>
      <w:lvlText w:val="%9."/>
      <w:lvlJc w:val="right"/>
      <w:pPr>
        <w:ind w:left="4065" w:hanging="440"/>
      </w:pPr>
    </w:lvl>
  </w:abstractNum>
  <w:abstractNum w:abstractNumId="114">
    <w:nsid w:val="701D5786"/>
    <w:multiLevelType w:val="multilevel"/>
    <w:tmpl w:val="701D5786"/>
    <w:lvl w:ilvl="0" w:tentative="0">
      <w:start w:val="1"/>
      <w:numFmt w:val="decimal"/>
      <w:lvlText w:val="%1、 "/>
      <w:lvlJc w:val="left"/>
      <w:pPr>
        <w:ind w:left="425" w:hanging="425"/>
      </w:pPr>
      <w:rPr>
        <w:rFonts w:hint="eastAsia" w:ascii="宋体" w:hAnsi="宋体" w:eastAsia="宋体"/>
        <w:b/>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15">
    <w:nsid w:val="70A4034A"/>
    <w:multiLevelType w:val="multilevel"/>
    <w:tmpl w:val="70A4034A"/>
    <w:lvl w:ilvl="0" w:tentative="0">
      <w:start w:val="1"/>
      <w:numFmt w:val="chineseCountingThousand"/>
      <w:suff w:val="nothing"/>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6">
    <w:nsid w:val="70E42A22"/>
    <w:multiLevelType w:val="multilevel"/>
    <w:tmpl w:val="70E42A22"/>
    <w:lvl w:ilvl="0" w:tentative="0">
      <w:start w:val="1"/>
      <w:numFmt w:val="decimal"/>
      <w:lvlText w:val="%1."/>
      <w:lvlJc w:val="left"/>
      <w:pPr>
        <w:ind w:left="425" w:hanging="425"/>
      </w:pPr>
    </w:lvl>
    <w:lvl w:ilvl="1" w:tentative="0">
      <w:start w:val="1"/>
      <w:numFmt w:val="chineseCountingThousand"/>
      <w:lvlText w:val="(%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17">
    <w:nsid w:val="71052507"/>
    <w:multiLevelType w:val="multilevel"/>
    <w:tmpl w:val="71052507"/>
    <w:lvl w:ilvl="0" w:tentative="0">
      <w:start w:val="1"/>
      <w:numFmt w:val="decimal"/>
      <w:suff w:val="nothing"/>
      <w:lvlText w:val="(%1)."/>
      <w:lvlJc w:val="left"/>
      <w:pPr>
        <w:ind w:left="0" w:firstLine="0"/>
      </w:pPr>
      <w:rPr>
        <w:rFonts w:hint="eastAsia" w:eastAsia="宋体" w:asciiTheme="majorEastAsia" w:hAnsiTheme="majorEastAsia"/>
      </w:rPr>
    </w:lvl>
    <w:lvl w:ilvl="1" w:tentative="0">
      <w:start w:val="1"/>
      <w:numFmt w:val="lowerLetter"/>
      <w:lvlText w:val="%2)"/>
      <w:lvlJc w:val="left"/>
      <w:pPr>
        <w:ind w:left="985" w:hanging="440"/>
      </w:pPr>
    </w:lvl>
    <w:lvl w:ilvl="2" w:tentative="0">
      <w:start w:val="1"/>
      <w:numFmt w:val="lowerRoman"/>
      <w:lvlText w:val="%3."/>
      <w:lvlJc w:val="right"/>
      <w:pPr>
        <w:ind w:left="1425" w:hanging="440"/>
      </w:pPr>
    </w:lvl>
    <w:lvl w:ilvl="3" w:tentative="0">
      <w:start w:val="1"/>
      <w:numFmt w:val="decimal"/>
      <w:lvlText w:val="%4."/>
      <w:lvlJc w:val="left"/>
      <w:pPr>
        <w:ind w:left="1865" w:hanging="440"/>
      </w:pPr>
    </w:lvl>
    <w:lvl w:ilvl="4" w:tentative="0">
      <w:start w:val="1"/>
      <w:numFmt w:val="lowerLetter"/>
      <w:lvlText w:val="%5)"/>
      <w:lvlJc w:val="left"/>
      <w:pPr>
        <w:ind w:left="2305" w:hanging="440"/>
      </w:pPr>
    </w:lvl>
    <w:lvl w:ilvl="5" w:tentative="0">
      <w:start w:val="1"/>
      <w:numFmt w:val="lowerRoman"/>
      <w:lvlText w:val="%6."/>
      <w:lvlJc w:val="right"/>
      <w:pPr>
        <w:ind w:left="2745" w:hanging="440"/>
      </w:pPr>
    </w:lvl>
    <w:lvl w:ilvl="6" w:tentative="0">
      <w:start w:val="1"/>
      <w:numFmt w:val="decimal"/>
      <w:lvlText w:val="%7."/>
      <w:lvlJc w:val="left"/>
      <w:pPr>
        <w:ind w:left="3185" w:hanging="440"/>
      </w:pPr>
    </w:lvl>
    <w:lvl w:ilvl="7" w:tentative="0">
      <w:start w:val="1"/>
      <w:numFmt w:val="lowerLetter"/>
      <w:lvlText w:val="%8)"/>
      <w:lvlJc w:val="left"/>
      <w:pPr>
        <w:ind w:left="3625" w:hanging="440"/>
      </w:pPr>
    </w:lvl>
    <w:lvl w:ilvl="8" w:tentative="0">
      <w:start w:val="1"/>
      <w:numFmt w:val="lowerRoman"/>
      <w:lvlText w:val="%9."/>
      <w:lvlJc w:val="right"/>
      <w:pPr>
        <w:ind w:left="4065" w:hanging="440"/>
      </w:pPr>
    </w:lvl>
  </w:abstractNum>
  <w:abstractNum w:abstractNumId="118">
    <w:nsid w:val="71D36D86"/>
    <w:multiLevelType w:val="multilevel"/>
    <w:tmpl w:val="71D36D86"/>
    <w:lvl w:ilvl="0" w:tentative="0">
      <w:start w:val="1"/>
      <w:numFmt w:val="decimal"/>
      <w:suff w:val="space"/>
      <w:lvlText w:val="(%1)."/>
      <w:lvlJc w:val="left"/>
      <w:pPr>
        <w:ind w:left="360" w:hanging="36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9">
    <w:nsid w:val="73FB28AC"/>
    <w:multiLevelType w:val="multilevel"/>
    <w:tmpl w:val="73FB28AC"/>
    <w:lvl w:ilvl="0" w:tentative="0">
      <w:start w:val="1"/>
      <w:numFmt w:val="decimal"/>
      <w:lvlText w:val="(%1)."/>
      <w:lvlJc w:val="left"/>
      <w:pPr>
        <w:ind w:left="0" w:firstLine="0"/>
      </w:pPr>
      <w:rPr>
        <w:rFonts w:hint="default"/>
      </w:rPr>
    </w:lvl>
    <w:lvl w:ilvl="1" w:tentative="0">
      <w:start w:val="1"/>
      <w:numFmt w:val="chineseCountingThousand"/>
      <w:lvlText w:val="(%2)"/>
      <w:lvlJc w:val="left"/>
      <w:pPr>
        <w:ind w:left="0" w:firstLine="0"/>
      </w:pPr>
      <w:rPr>
        <w:rFonts w:hint="eastAsia"/>
      </w:rPr>
    </w:lvl>
    <w:lvl w:ilvl="2" w:tentative="0">
      <w:start w:val="1"/>
      <w:numFmt w:val="chineseCountingThousand"/>
      <w:lvlText w:val="(%3)"/>
      <w:lvlJc w:val="left"/>
      <w:pPr>
        <w:ind w:left="0" w:firstLine="0"/>
      </w:pPr>
      <w:rPr>
        <w:rFonts w:hint="eastAsia"/>
      </w:rPr>
    </w:lvl>
    <w:lvl w:ilvl="3" w:tentative="0">
      <w:start w:val="1"/>
      <w:numFmt w:val="decimal"/>
      <w:lvlText w:val="(%4)."/>
      <w:lvlJc w:val="left"/>
      <w:pPr>
        <w:ind w:left="0" w:firstLine="0"/>
      </w:pPr>
      <w:rPr>
        <w:rFonts w:ascii="宋体" w:hAnsi="宋体" w:eastAsia="宋体"/>
        <w:b/>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20">
    <w:nsid w:val="7405377B"/>
    <w:multiLevelType w:val="multilevel"/>
    <w:tmpl w:val="7405377B"/>
    <w:lvl w:ilvl="0" w:tentative="0">
      <w:start w:val="1"/>
      <w:numFmt w:val="chineseCountingThousand"/>
      <w:suff w:val="space"/>
      <w:lvlText w:val="(%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1">
    <w:nsid w:val="75482B44"/>
    <w:multiLevelType w:val="multilevel"/>
    <w:tmpl w:val="75482B44"/>
    <w:lvl w:ilvl="0" w:tentative="0">
      <w:start w:val="1"/>
      <w:numFmt w:val="decimal"/>
      <w:suff w:val="nothing"/>
      <w:lvlText w:val="(%1). "/>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2">
    <w:nsid w:val="76DD5C82"/>
    <w:multiLevelType w:val="multilevel"/>
    <w:tmpl w:val="76DD5C82"/>
    <w:lvl w:ilvl="0" w:tentative="0">
      <w:start w:val="1"/>
      <w:numFmt w:val="decimal"/>
      <w:suff w:val="nothing"/>
      <w:lvlText w:val="(%1)."/>
      <w:lvlJc w:val="left"/>
      <w:pPr>
        <w:ind w:left="420" w:hanging="42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3">
    <w:nsid w:val="77111D1D"/>
    <w:multiLevelType w:val="multilevel"/>
    <w:tmpl w:val="77111D1D"/>
    <w:lvl w:ilvl="0" w:tentative="0">
      <w:start w:val="1"/>
      <w:numFmt w:val="chineseCountingThousand"/>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24">
    <w:nsid w:val="77194021"/>
    <w:multiLevelType w:val="multilevel"/>
    <w:tmpl w:val="77194021"/>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lvlText w:val="(%4)."/>
      <w:lvlJc w:val="left"/>
      <w:pPr>
        <w:ind w:left="851" w:hanging="851"/>
      </w:pPr>
      <w:rPr>
        <w:rFonts w:hint="eastAsia" w:ascii="宋体" w:hAnsi="宋体" w:eastAsia="宋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25">
    <w:nsid w:val="787035DE"/>
    <w:multiLevelType w:val="multilevel"/>
    <w:tmpl w:val="787035DE"/>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6">
    <w:nsid w:val="7A1266A0"/>
    <w:multiLevelType w:val="multilevel"/>
    <w:tmpl w:val="7A1266A0"/>
    <w:lvl w:ilvl="0" w:tentative="0">
      <w:start w:val="1"/>
      <w:numFmt w:val="decimal"/>
      <w:lvlText w:val="(%1)."/>
      <w:lvlJc w:val="left"/>
      <w:pPr>
        <w:ind w:left="0" w:firstLine="0"/>
      </w:pPr>
      <w:rPr>
        <w:rFonts w:hint="default"/>
      </w:rPr>
    </w:lvl>
    <w:lvl w:ilvl="1" w:tentative="0">
      <w:start w:val="1"/>
      <w:numFmt w:val="chineseCountingThousand"/>
      <w:lvlText w:val="(%2)"/>
      <w:lvlJc w:val="left"/>
      <w:pPr>
        <w:ind w:left="0" w:firstLine="0"/>
      </w:pPr>
      <w:rPr>
        <w:rFonts w:hint="eastAsia"/>
      </w:rPr>
    </w:lvl>
    <w:lvl w:ilvl="2" w:tentative="0">
      <w:start w:val="1"/>
      <w:numFmt w:val="chineseCountingThousand"/>
      <w:lvlText w:val="(%3)"/>
      <w:lvlJc w:val="left"/>
      <w:pPr>
        <w:ind w:left="0" w:firstLine="0"/>
      </w:pPr>
      <w:rPr>
        <w:rFonts w:hint="eastAsia"/>
      </w:rPr>
    </w:lvl>
    <w:lvl w:ilvl="3" w:tentative="0">
      <w:start w:val="1"/>
      <w:numFmt w:val="decimal"/>
      <w:lvlText w:val="(%4)."/>
      <w:lvlJc w:val="left"/>
      <w:pPr>
        <w:ind w:left="0" w:firstLine="0"/>
      </w:pPr>
      <w:rPr>
        <w:rFonts w:ascii="宋体" w:hAnsi="宋体" w:eastAsia="宋体"/>
        <w:b/>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27">
    <w:nsid w:val="7B1E025F"/>
    <w:multiLevelType w:val="multilevel"/>
    <w:tmpl w:val="7B1E025F"/>
    <w:lvl w:ilvl="0" w:tentative="0">
      <w:start w:val="1"/>
      <w:numFmt w:val="decimal"/>
      <w:lvlText w:val="%1、"/>
      <w:lvlJc w:val="left"/>
      <w:pPr>
        <w:ind w:left="420" w:hanging="420"/>
      </w:pPr>
      <w:rPr>
        <w:rFonts w:hint="eastAsia" w:ascii="宋体" w:hAnsi="宋体" w:eastAsia="宋体"/>
      </w:rPr>
    </w:lvl>
    <w:lvl w:ilvl="1" w:tentative="0">
      <w:start w:val="1"/>
      <w:numFmt w:val="decimal"/>
      <w:lvlText w:val="%2、"/>
      <w:lvlJc w:val="left"/>
      <w:pPr>
        <w:ind w:left="840" w:hanging="420"/>
      </w:pPr>
      <w:rPr>
        <w:rFonts w:hint="eastAsia"/>
      </w:rPr>
    </w:lvl>
    <w:lvl w:ilvl="2" w:tentative="0">
      <w:start w:val="1"/>
      <w:numFmt w:val="decimal"/>
      <w:lvlText w:val="%3、"/>
      <w:lvlJc w:val="lef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8">
    <w:nsid w:val="7C5239AC"/>
    <w:multiLevelType w:val="multilevel"/>
    <w:tmpl w:val="7C5239AC"/>
    <w:lvl w:ilvl="0" w:tentative="0">
      <w:start w:val="1"/>
      <w:numFmt w:val="decimal"/>
      <w:suff w:val="nothing"/>
      <w:lvlText w:val="(%1)."/>
      <w:lvlJc w:val="left"/>
      <w:pPr>
        <w:ind w:left="0" w:firstLine="0"/>
      </w:pPr>
      <w:rPr>
        <w:rFonts w:hint="eastAsia" w:eastAsia="宋体" w:asciiTheme="majorEastAsia" w:hAnsiTheme="majorEastAsia"/>
      </w:rPr>
    </w:lvl>
    <w:lvl w:ilvl="1" w:tentative="0">
      <w:start w:val="1"/>
      <w:numFmt w:val="lowerLetter"/>
      <w:lvlText w:val="%2)"/>
      <w:lvlJc w:val="left"/>
      <w:pPr>
        <w:ind w:left="985" w:hanging="440"/>
      </w:pPr>
    </w:lvl>
    <w:lvl w:ilvl="2" w:tentative="0">
      <w:start w:val="1"/>
      <w:numFmt w:val="lowerRoman"/>
      <w:lvlText w:val="%3."/>
      <w:lvlJc w:val="right"/>
      <w:pPr>
        <w:ind w:left="1425" w:hanging="440"/>
      </w:pPr>
    </w:lvl>
    <w:lvl w:ilvl="3" w:tentative="0">
      <w:start w:val="1"/>
      <w:numFmt w:val="decimal"/>
      <w:lvlText w:val="%4."/>
      <w:lvlJc w:val="left"/>
      <w:pPr>
        <w:ind w:left="1865" w:hanging="440"/>
      </w:pPr>
    </w:lvl>
    <w:lvl w:ilvl="4" w:tentative="0">
      <w:start w:val="1"/>
      <w:numFmt w:val="lowerLetter"/>
      <w:lvlText w:val="%5)"/>
      <w:lvlJc w:val="left"/>
      <w:pPr>
        <w:ind w:left="2305" w:hanging="440"/>
      </w:pPr>
    </w:lvl>
    <w:lvl w:ilvl="5" w:tentative="0">
      <w:start w:val="1"/>
      <w:numFmt w:val="lowerRoman"/>
      <w:lvlText w:val="%6."/>
      <w:lvlJc w:val="right"/>
      <w:pPr>
        <w:ind w:left="2745" w:hanging="440"/>
      </w:pPr>
    </w:lvl>
    <w:lvl w:ilvl="6" w:tentative="0">
      <w:start w:val="1"/>
      <w:numFmt w:val="decimal"/>
      <w:lvlText w:val="%7."/>
      <w:lvlJc w:val="left"/>
      <w:pPr>
        <w:ind w:left="3185" w:hanging="440"/>
      </w:pPr>
    </w:lvl>
    <w:lvl w:ilvl="7" w:tentative="0">
      <w:start w:val="1"/>
      <w:numFmt w:val="lowerLetter"/>
      <w:lvlText w:val="%8)"/>
      <w:lvlJc w:val="left"/>
      <w:pPr>
        <w:ind w:left="3625" w:hanging="440"/>
      </w:pPr>
    </w:lvl>
    <w:lvl w:ilvl="8" w:tentative="0">
      <w:start w:val="1"/>
      <w:numFmt w:val="lowerRoman"/>
      <w:lvlText w:val="%9."/>
      <w:lvlJc w:val="right"/>
      <w:pPr>
        <w:ind w:left="4065" w:hanging="440"/>
      </w:pPr>
    </w:lvl>
  </w:abstractNum>
  <w:abstractNum w:abstractNumId="129">
    <w:nsid w:val="7D07444B"/>
    <w:multiLevelType w:val="multilevel"/>
    <w:tmpl w:val="7D07444B"/>
    <w:lvl w:ilvl="0" w:tentative="0">
      <w:start w:val="1"/>
      <w:numFmt w:val="decimal"/>
      <w:lvlText w:val="(%1)."/>
      <w:lvlJc w:val="left"/>
      <w:pPr>
        <w:ind w:left="425" w:hanging="425"/>
      </w:pPr>
      <w:rPr>
        <w:rFonts w:hint="eastAsia" w:ascii="宋体" w:hAnsi="宋体" w:eastAsia="宋体"/>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30">
    <w:nsid w:val="7D1B5BAE"/>
    <w:multiLevelType w:val="multilevel"/>
    <w:tmpl w:val="7D1B5BAE"/>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1">
    <w:nsid w:val="7DDF1B1D"/>
    <w:multiLevelType w:val="multilevel"/>
    <w:tmpl w:val="7DDF1B1D"/>
    <w:lvl w:ilvl="0" w:tentative="0">
      <w:start w:val="1"/>
      <w:numFmt w:val="decimal"/>
      <w:lvlText w:val="(%1)."/>
      <w:lvlJc w:val="left"/>
      <w:pPr>
        <w:ind w:left="0" w:firstLine="0"/>
      </w:pPr>
      <w:rPr>
        <w:rFonts w:hint="default"/>
      </w:rPr>
    </w:lvl>
    <w:lvl w:ilvl="1" w:tentative="0">
      <w:start w:val="1"/>
      <w:numFmt w:val="chineseCountingThousand"/>
      <w:lvlText w:val="(%2)"/>
      <w:lvlJc w:val="left"/>
      <w:pPr>
        <w:ind w:left="0" w:firstLine="0"/>
      </w:pPr>
      <w:rPr>
        <w:rFonts w:hint="eastAsia"/>
      </w:rPr>
    </w:lvl>
    <w:lvl w:ilvl="2" w:tentative="0">
      <w:start w:val="1"/>
      <w:numFmt w:val="chineseCountingThousand"/>
      <w:lvlText w:val="(%3)"/>
      <w:lvlJc w:val="left"/>
      <w:pPr>
        <w:ind w:left="0" w:firstLine="0"/>
      </w:pPr>
      <w:rPr>
        <w:rFonts w:hint="eastAsia"/>
      </w:rPr>
    </w:lvl>
    <w:lvl w:ilvl="3" w:tentative="0">
      <w:start w:val="1"/>
      <w:numFmt w:val="decimal"/>
      <w:suff w:val="nothing"/>
      <w:lvlText w:val="(%4). "/>
      <w:lvlJc w:val="left"/>
      <w:pPr>
        <w:ind w:left="0" w:firstLine="0"/>
      </w:pPr>
      <w:rPr>
        <w:rFonts w:hint="eastAsia" w:ascii="宋体" w:hAnsi="宋体" w:eastAsia="宋体"/>
        <w:b/>
        <w:color w:val="auto"/>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32">
    <w:nsid w:val="7E7E7E18"/>
    <w:multiLevelType w:val="multilevel"/>
    <w:tmpl w:val="7E7E7E18"/>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lvlText w:val="(%4)."/>
      <w:lvlJc w:val="left"/>
      <w:pPr>
        <w:ind w:left="851" w:hanging="851"/>
      </w:pPr>
      <w:rPr>
        <w:rFonts w:hint="eastAsia" w:ascii="宋体" w:hAnsi="宋体" w:eastAsia="宋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33">
    <w:nsid w:val="7FCC199E"/>
    <w:multiLevelType w:val="multilevel"/>
    <w:tmpl w:val="7FCC199E"/>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3、"/>
      <w:lvlJc w:val="left"/>
      <w:pPr>
        <w:ind w:left="0" w:firstLine="0"/>
      </w:pPr>
      <w:rPr>
        <w:rFonts w:hint="eastAsia"/>
      </w:rPr>
    </w:lvl>
    <w:lvl w:ilvl="3" w:tentative="0">
      <w:start w:val="1"/>
      <w:numFmt w:val="decimal"/>
      <w:lvlText w:val="(%4)."/>
      <w:lvlJc w:val="left"/>
      <w:pPr>
        <w:ind w:left="851" w:hanging="851"/>
      </w:pPr>
      <w:rPr>
        <w:rFonts w:hint="eastAsia" w:ascii="宋体" w:hAnsi="宋体" w:eastAsia="宋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57"/>
  </w:num>
  <w:num w:numId="2">
    <w:abstractNumId w:val="29"/>
  </w:num>
  <w:num w:numId="3">
    <w:abstractNumId w:val="4"/>
  </w:num>
  <w:num w:numId="4">
    <w:abstractNumId w:val="38"/>
  </w:num>
  <w:num w:numId="5">
    <w:abstractNumId w:val="34"/>
  </w:num>
  <w:num w:numId="6">
    <w:abstractNumId w:val="87"/>
  </w:num>
  <w:num w:numId="7">
    <w:abstractNumId w:val="47"/>
  </w:num>
  <w:num w:numId="8">
    <w:abstractNumId w:val="61"/>
  </w:num>
  <w:num w:numId="9">
    <w:abstractNumId w:val="51"/>
  </w:num>
  <w:num w:numId="10">
    <w:abstractNumId w:val="36"/>
  </w:num>
  <w:num w:numId="11">
    <w:abstractNumId w:val="52"/>
  </w:num>
  <w:num w:numId="12">
    <w:abstractNumId w:val="28"/>
  </w:num>
  <w:num w:numId="13">
    <w:abstractNumId w:val="10"/>
  </w:num>
  <w:num w:numId="14">
    <w:abstractNumId w:val="5"/>
  </w:num>
  <w:num w:numId="15">
    <w:abstractNumId w:val="105"/>
  </w:num>
  <w:num w:numId="16">
    <w:abstractNumId w:val="9"/>
  </w:num>
  <w:num w:numId="17">
    <w:abstractNumId w:val="20"/>
  </w:num>
  <w:num w:numId="18">
    <w:abstractNumId w:val="11"/>
  </w:num>
  <w:num w:numId="19">
    <w:abstractNumId w:val="100"/>
  </w:num>
  <w:num w:numId="20">
    <w:abstractNumId w:val="85"/>
  </w:num>
  <w:num w:numId="21">
    <w:abstractNumId w:val="94"/>
  </w:num>
  <w:num w:numId="22">
    <w:abstractNumId w:val="65"/>
  </w:num>
  <w:num w:numId="23">
    <w:abstractNumId w:val="59"/>
  </w:num>
  <w:num w:numId="24">
    <w:abstractNumId w:val="76"/>
  </w:num>
  <w:num w:numId="25">
    <w:abstractNumId w:val="75"/>
  </w:num>
  <w:num w:numId="26">
    <w:abstractNumId w:val="27"/>
  </w:num>
  <w:num w:numId="27">
    <w:abstractNumId w:val="23"/>
  </w:num>
  <w:num w:numId="28">
    <w:abstractNumId w:val="40"/>
  </w:num>
  <w:num w:numId="29">
    <w:abstractNumId w:val="12"/>
  </w:num>
  <w:num w:numId="30">
    <w:abstractNumId w:val="50"/>
  </w:num>
  <w:num w:numId="31">
    <w:abstractNumId w:val="33"/>
  </w:num>
  <w:num w:numId="32">
    <w:abstractNumId w:val="115"/>
  </w:num>
  <w:num w:numId="33">
    <w:abstractNumId w:val="2"/>
  </w:num>
  <w:num w:numId="34">
    <w:abstractNumId w:val="74"/>
  </w:num>
  <w:num w:numId="35">
    <w:abstractNumId w:val="127"/>
  </w:num>
  <w:num w:numId="36">
    <w:abstractNumId w:val="90"/>
  </w:num>
  <w:num w:numId="37">
    <w:abstractNumId w:val="62"/>
  </w:num>
  <w:num w:numId="38">
    <w:abstractNumId w:val="81"/>
  </w:num>
  <w:num w:numId="39">
    <w:abstractNumId w:val="80"/>
  </w:num>
  <w:num w:numId="40">
    <w:abstractNumId w:val="110"/>
  </w:num>
  <w:num w:numId="41">
    <w:abstractNumId w:val="88"/>
  </w:num>
  <w:num w:numId="42">
    <w:abstractNumId w:val="6"/>
  </w:num>
  <w:num w:numId="43">
    <w:abstractNumId w:val="41"/>
  </w:num>
  <w:num w:numId="44">
    <w:abstractNumId w:val="116"/>
  </w:num>
  <w:num w:numId="45">
    <w:abstractNumId w:val="96"/>
  </w:num>
  <w:num w:numId="46">
    <w:abstractNumId w:val="37"/>
  </w:num>
  <w:num w:numId="47">
    <w:abstractNumId w:val="19"/>
  </w:num>
  <w:num w:numId="48">
    <w:abstractNumId w:val="120"/>
  </w:num>
  <w:num w:numId="49">
    <w:abstractNumId w:val="30"/>
  </w:num>
  <w:num w:numId="50">
    <w:abstractNumId w:val="72"/>
  </w:num>
  <w:num w:numId="51">
    <w:abstractNumId w:val="24"/>
  </w:num>
  <w:num w:numId="52">
    <w:abstractNumId w:val="123"/>
  </w:num>
  <w:num w:numId="53">
    <w:abstractNumId w:val="71"/>
  </w:num>
  <w:num w:numId="54">
    <w:abstractNumId w:val="63"/>
  </w:num>
  <w:num w:numId="55">
    <w:abstractNumId w:val="1"/>
  </w:num>
  <w:num w:numId="56">
    <w:abstractNumId w:val="49"/>
  </w:num>
  <w:num w:numId="57">
    <w:abstractNumId w:val="35"/>
  </w:num>
  <w:num w:numId="58">
    <w:abstractNumId w:val="112"/>
  </w:num>
  <w:num w:numId="59">
    <w:abstractNumId w:val="22"/>
  </w:num>
  <w:num w:numId="60">
    <w:abstractNumId w:val="32"/>
  </w:num>
  <w:num w:numId="61">
    <w:abstractNumId w:val="114"/>
  </w:num>
  <w:num w:numId="62">
    <w:abstractNumId w:val="60"/>
  </w:num>
  <w:num w:numId="63">
    <w:abstractNumId w:val="97"/>
  </w:num>
  <w:num w:numId="64">
    <w:abstractNumId w:val="21"/>
  </w:num>
  <w:num w:numId="65">
    <w:abstractNumId w:val="124"/>
  </w:num>
  <w:num w:numId="66">
    <w:abstractNumId w:val="107"/>
  </w:num>
  <w:num w:numId="67">
    <w:abstractNumId w:val="77"/>
  </w:num>
  <w:num w:numId="68">
    <w:abstractNumId w:val="48"/>
  </w:num>
  <w:num w:numId="69">
    <w:abstractNumId w:val="128"/>
  </w:num>
  <w:num w:numId="70">
    <w:abstractNumId w:val="46"/>
  </w:num>
  <w:num w:numId="71">
    <w:abstractNumId w:val="67"/>
  </w:num>
  <w:num w:numId="72">
    <w:abstractNumId w:val="132"/>
  </w:num>
  <w:num w:numId="73">
    <w:abstractNumId w:val="133"/>
  </w:num>
  <w:num w:numId="74">
    <w:abstractNumId w:val="39"/>
  </w:num>
  <w:num w:numId="75">
    <w:abstractNumId w:val="104"/>
  </w:num>
  <w:num w:numId="76">
    <w:abstractNumId w:val="16"/>
  </w:num>
  <w:num w:numId="77">
    <w:abstractNumId w:val="78"/>
  </w:num>
  <w:num w:numId="78">
    <w:abstractNumId w:val="54"/>
  </w:num>
  <w:num w:numId="79">
    <w:abstractNumId w:val="103"/>
  </w:num>
  <w:num w:numId="80">
    <w:abstractNumId w:val="69"/>
  </w:num>
  <w:num w:numId="81">
    <w:abstractNumId w:val="95"/>
  </w:num>
  <w:num w:numId="82">
    <w:abstractNumId w:val="108"/>
  </w:num>
  <w:num w:numId="83">
    <w:abstractNumId w:val="13"/>
  </w:num>
  <w:num w:numId="84">
    <w:abstractNumId w:val="79"/>
  </w:num>
  <w:num w:numId="85">
    <w:abstractNumId w:val="56"/>
  </w:num>
  <w:num w:numId="86">
    <w:abstractNumId w:val="125"/>
  </w:num>
  <w:num w:numId="87">
    <w:abstractNumId w:val="31"/>
  </w:num>
  <w:num w:numId="88">
    <w:abstractNumId w:val="82"/>
  </w:num>
  <w:num w:numId="89">
    <w:abstractNumId w:val="130"/>
  </w:num>
  <w:num w:numId="90">
    <w:abstractNumId w:val="42"/>
  </w:num>
  <w:num w:numId="91">
    <w:abstractNumId w:val="129"/>
  </w:num>
  <w:num w:numId="92">
    <w:abstractNumId w:val="99"/>
  </w:num>
  <w:num w:numId="93">
    <w:abstractNumId w:val="26"/>
  </w:num>
  <w:num w:numId="94">
    <w:abstractNumId w:val="131"/>
  </w:num>
  <w:num w:numId="95">
    <w:abstractNumId w:val="17"/>
  </w:num>
  <w:num w:numId="96">
    <w:abstractNumId w:val="113"/>
  </w:num>
  <w:num w:numId="97">
    <w:abstractNumId w:val="70"/>
  </w:num>
  <w:num w:numId="98">
    <w:abstractNumId w:val="111"/>
  </w:num>
  <w:num w:numId="99">
    <w:abstractNumId w:val="84"/>
  </w:num>
  <w:num w:numId="100">
    <w:abstractNumId w:val="55"/>
  </w:num>
  <w:num w:numId="101">
    <w:abstractNumId w:val="3"/>
  </w:num>
  <w:num w:numId="102">
    <w:abstractNumId w:val="7"/>
  </w:num>
  <w:num w:numId="103">
    <w:abstractNumId w:val="8"/>
  </w:num>
  <w:num w:numId="104">
    <w:abstractNumId w:val="122"/>
  </w:num>
  <w:num w:numId="105">
    <w:abstractNumId w:val="18"/>
  </w:num>
  <w:num w:numId="106">
    <w:abstractNumId w:val="102"/>
  </w:num>
  <w:num w:numId="107">
    <w:abstractNumId w:val="106"/>
  </w:num>
  <w:num w:numId="108">
    <w:abstractNumId w:val="83"/>
  </w:num>
  <w:num w:numId="109">
    <w:abstractNumId w:val="86"/>
  </w:num>
  <w:num w:numId="110">
    <w:abstractNumId w:val="119"/>
  </w:num>
  <w:num w:numId="111">
    <w:abstractNumId w:val="15"/>
  </w:num>
  <w:num w:numId="112">
    <w:abstractNumId w:val="44"/>
  </w:num>
  <w:num w:numId="113">
    <w:abstractNumId w:val="98"/>
  </w:num>
  <w:num w:numId="114">
    <w:abstractNumId w:val="118"/>
  </w:num>
  <w:num w:numId="115">
    <w:abstractNumId w:val="53"/>
  </w:num>
  <w:num w:numId="116">
    <w:abstractNumId w:val="14"/>
  </w:num>
  <w:num w:numId="117">
    <w:abstractNumId w:val="68"/>
  </w:num>
  <w:num w:numId="118">
    <w:abstractNumId w:val="89"/>
  </w:num>
  <w:num w:numId="119">
    <w:abstractNumId w:val="64"/>
  </w:num>
  <w:num w:numId="120">
    <w:abstractNumId w:val="73"/>
  </w:num>
  <w:num w:numId="121">
    <w:abstractNumId w:val="92"/>
  </w:num>
  <w:num w:numId="122">
    <w:abstractNumId w:val="101"/>
  </w:num>
  <w:num w:numId="123">
    <w:abstractNumId w:val="43"/>
  </w:num>
  <w:num w:numId="124">
    <w:abstractNumId w:val="93"/>
  </w:num>
  <w:num w:numId="125">
    <w:abstractNumId w:val="25"/>
  </w:num>
  <w:num w:numId="126">
    <w:abstractNumId w:val="66"/>
  </w:num>
  <w:num w:numId="127">
    <w:abstractNumId w:val="0"/>
  </w:num>
  <w:num w:numId="128">
    <w:abstractNumId w:val="126"/>
  </w:num>
  <w:num w:numId="129">
    <w:abstractNumId w:val="58"/>
  </w:num>
  <w:num w:numId="130">
    <w:abstractNumId w:val="117"/>
  </w:num>
  <w:num w:numId="131">
    <w:abstractNumId w:val="91"/>
  </w:num>
  <w:num w:numId="132">
    <w:abstractNumId w:val="109"/>
  </w:num>
  <w:num w:numId="133">
    <w:abstractNumId w:val="121"/>
  </w:num>
  <w:num w:numId="134">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attachedTemplate r:id="rId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uilderTime" w:val="2026-03-20 11:08:11"/>
    <w:docVar w:name="commondata" w:val="eyJoZGlkIjoiZDAwNzI4MTcwNmU4MTFkMGE1MWU1M2E5MGNmNTE3MmEifQ=="/>
    <w:docVar w:name="Disclosure_Version" w:val="true"/>
    <w:docVar w:name="RemovedBindingXPath" w:val="true"/>
    <w:docVar w:name="ReplaceHeader_002" w:val="true"/>
    <w:docVar w:name="ReplaceHeader_004" w:val="true"/>
    <w:docVar w:name="ReplaceHeader_005" w:val="true"/>
    <w:docVar w:name="ReplaceHeader_006" w:val="true"/>
    <w:docVar w:name="ReplaceHeader_007" w:val="true"/>
    <w:docVar w:name="ReplaceHeader_008" w:val="true"/>
    <w:docVar w:name="ReplaceHeader_009" w:val="true"/>
    <w:docVar w:name="ReplaceHeader_010" w:val="true"/>
    <w:docVar w:name="ReplaceText_002" w:val="true"/>
    <w:docVar w:name="ReportBuilder" w:val="Agile"/>
  </w:docVars>
  <w:rsids>
    <w:rsidRoot w:val="00172A27"/>
    <w:rsid w:val="012264B8"/>
    <w:rsid w:val="01E34DED"/>
    <w:rsid w:val="01FC7E4D"/>
    <w:rsid w:val="020A2568"/>
    <w:rsid w:val="024A332D"/>
    <w:rsid w:val="02C00F21"/>
    <w:rsid w:val="02C8196E"/>
    <w:rsid w:val="034F100D"/>
    <w:rsid w:val="039162A5"/>
    <w:rsid w:val="03C9092D"/>
    <w:rsid w:val="040F5AE1"/>
    <w:rsid w:val="0482615E"/>
    <w:rsid w:val="0501370E"/>
    <w:rsid w:val="0599432F"/>
    <w:rsid w:val="05A14F91"/>
    <w:rsid w:val="06B9739A"/>
    <w:rsid w:val="06BC02D5"/>
    <w:rsid w:val="0710306A"/>
    <w:rsid w:val="0768220B"/>
    <w:rsid w:val="07821A12"/>
    <w:rsid w:val="07C979F1"/>
    <w:rsid w:val="08791D48"/>
    <w:rsid w:val="08A2799E"/>
    <w:rsid w:val="09376F85"/>
    <w:rsid w:val="09595CA6"/>
    <w:rsid w:val="096E59C3"/>
    <w:rsid w:val="098E7213"/>
    <w:rsid w:val="0AAE6530"/>
    <w:rsid w:val="0B3E05FA"/>
    <w:rsid w:val="0BE36304"/>
    <w:rsid w:val="0C1652AD"/>
    <w:rsid w:val="0C411803"/>
    <w:rsid w:val="0C843B47"/>
    <w:rsid w:val="0C9262EF"/>
    <w:rsid w:val="0CAD3D07"/>
    <w:rsid w:val="0CCC76D6"/>
    <w:rsid w:val="0D19638E"/>
    <w:rsid w:val="0D5A48D6"/>
    <w:rsid w:val="0D5E5385"/>
    <w:rsid w:val="0E8C14E5"/>
    <w:rsid w:val="0F037F40"/>
    <w:rsid w:val="0F6C3059"/>
    <w:rsid w:val="0FFC1A38"/>
    <w:rsid w:val="10F44B0F"/>
    <w:rsid w:val="1109568F"/>
    <w:rsid w:val="11103DBB"/>
    <w:rsid w:val="11443516"/>
    <w:rsid w:val="11692E07"/>
    <w:rsid w:val="12A550B6"/>
    <w:rsid w:val="1360023A"/>
    <w:rsid w:val="14987EE4"/>
    <w:rsid w:val="14C65D0E"/>
    <w:rsid w:val="152C7A61"/>
    <w:rsid w:val="161E6580"/>
    <w:rsid w:val="1706633F"/>
    <w:rsid w:val="18573016"/>
    <w:rsid w:val="19C92FDD"/>
    <w:rsid w:val="19DE2F00"/>
    <w:rsid w:val="19E166E1"/>
    <w:rsid w:val="19EF056A"/>
    <w:rsid w:val="1A04250E"/>
    <w:rsid w:val="1ADF6A20"/>
    <w:rsid w:val="1AE87493"/>
    <w:rsid w:val="1BC11A92"/>
    <w:rsid w:val="1BF6798D"/>
    <w:rsid w:val="1CB41422"/>
    <w:rsid w:val="1CBF4223"/>
    <w:rsid w:val="1D251028"/>
    <w:rsid w:val="1D637A86"/>
    <w:rsid w:val="1D9413D1"/>
    <w:rsid w:val="1ED10EF7"/>
    <w:rsid w:val="1FA8556C"/>
    <w:rsid w:val="204B0619"/>
    <w:rsid w:val="21937EAD"/>
    <w:rsid w:val="21C515BA"/>
    <w:rsid w:val="21D61328"/>
    <w:rsid w:val="22045509"/>
    <w:rsid w:val="22BE6D2B"/>
    <w:rsid w:val="233139A1"/>
    <w:rsid w:val="23C44815"/>
    <w:rsid w:val="243A0633"/>
    <w:rsid w:val="243D0FA6"/>
    <w:rsid w:val="247D4FD2"/>
    <w:rsid w:val="255143B7"/>
    <w:rsid w:val="256F6E78"/>
    <w:rsid w:val="263537A8"/>
    <w:rsid w:val="263B5A87"/>
    <w:rsid w:val="263F5861"/>
    <w:rsid w:val="27082C6B"/>
    <w:rsid w:val="271726F5"/>
    <w:rsid w:val="278C1A76"/>
    <w:rsid w:val="284E627B"/>
    <w:rsid w:val="292540AD"/>
    <w:rsid w:val="29424212"/>
    <w:rsid w:val="298601E7"/>
    <w:rsid w:val="29BE7749"/>
    <w:rsid w:val="2A785045"/>
    <w:rsid w:val="2A9154ED"/>
    <w:rsid w:val="2B242AFA"/>
    <w:rsid w:val="2D4D44A7"/>
    <w:rsid w:val="2D690E85"/>
    <w:rsid w:val="2D8753FE"/>
    <w:rsid w:val="2DA553AD"/>
    <w:rsid w:val="2DF210B8"/>
    <w:rsid w:val="2DF67CC1"/>
    <w:rsid w:val="2E0777D8"/>
    <w:rsid w:val="2E156EBF"/>
    <w:rsid w:val="2E20089A"/>
    <w:rsid w:val="2EC05B23"/>
    <w:rsid w:val="2F392FE4"/>
    <w:rsid w:val="2FFD20ED"/>
    <w:rsid w:val="31837F13"/>
    <w:rsid w:val="328B3AD2"/>
    <w:rsid w:val="32CB171C"/>
    <w:rsid w:val="32E61066"/>
    <w:rsid w:val="330D3AE3"/>
    <w:rsid w:val="3493109A"/>
    <w:rsid w:val="352512E0"/>
    <w:rsid w:val="35C159C6"/>
    <w:rsid w:val="36960FAB"/>
    <w:rsid w:val="377C2FE5"/>
    <w:rsid w:val="37917C75"/>
    <w:rsid w:val="38006E2C"/>
    <w:rsid w:val="385950D4"/>
    <w:rsid w:val="38AF2F46"/>
    <w:rsid w:val="3A635E61"/>
    <w:rsid w:val="3A9B6739"/>
    <w:rsid w:val="3ADA6DA0"/>
    <w:rsid w:val="3B4C3335"/>
    <w:rsid w:val="3BD31641"/>
    <w:rsid w:val="3C002E69"/>
    <w:rsid w:val="3C0A2B83"/>
    <w:rsid w:val="3C1A71B0"/>
    <w:rsid w:val="3C415D6A"/>
    <w:rsid w:val="3C664263"/>
    <w:rsid w:val="3D821084"/>
    <w:rsid w:val="3DB12122"/>
    <w:rsid w:val="3E196E16"/>
    <w:rsid w:val="3E484649"/>
    <w:rsid w:val="3E82529D"/>
    <w:rsid w:val="3EF721D5"/>
    <w:rsid w:val="3FBF3614"/>
    <w:rsid w:val="3FEC4A80"/>
    <w:rsid w:val="403E4427"/>
    <w:rsid w:val="409A6309"/>
    <w:rsid w:val="40C76E24"/>
    <w:rsid w:val="412A5860"/>
    <w:rsid w:val="435979DC"/>
    <w:rsid w:val="4492209A"/>
    <w:rsid w:val="463F5721"/>
    <w:rsid w:val="47395E3D"/>
    <w:rsid w:val="47940560"/>
    <w:rsid w:val="47E57A30"/>
    <w:rsid w:val="483B0352"/>
    <w:rsid w:val="48AC2FFE"/>
    <w:rsid w:val="493E586F"/>
    <w:rsid w:val="494E0559"/>
    <w:rsid w:val="495D682A"/>
    <w:rsid w:val="49AE0344"/>
    <w:rsid w:val="4A6B2038"/>
    <w:rsid w:val="4A875AD1"/>
    <w:rsid w:val="4B274BDF"/>
    <w:rsid w:val="4C6D0405"/>
    <w:rsid w:val="4CA94796"/>
    <w:rsid w:val="4D3A507C"/>
    <w:rsid w:val="4D4C5F59"/>
    <w:rsid w:val="4E0875B8"/>
    <w:rsid w:val="4E3C3076"/>
    <w:rsid w:val="4E6D3230"/>
    <w:rsid w:val="4EEF44CD"/>
    <w:rsid w:val="4EF81D56"/>
    <w:rsid w:val="4FC63B11"/>
    <w:rsid w:val="502F2E92"/>
    <w:rsid w:val="50A17CA4"/>
    <w:rsid w:val="5192701A"/>
    <w:rsid w:val="520B6FE7"/>
    <w:rsid w:val="530D060B"/>
    <w:rsid w:val="531F5AA7"/>
    <w:rsid w:val="53E56E33"/>
    <w:rsid w:val="54161C73"/>
    <w:rsid w:val="545A24A8"/>
    <w:rsid w:val="54ED5409"/>
    <w:rsid w:val="54F55D2D"/>
    <w:rsid w:val="550A3339"/>
    <w:rsid w:val="55964A8C"/>
    <w:rsid w:val="55F16B31"/>
    <w:rsid w:val="5811437D"/>
    <w:rsid w:val="58FF53CC"/>
    <w:rsid w:val="5AEE04EF"/>
    <w:rsid w:val="5B29223D"/>
    <w:rsid w:val="5BF925A6"/>
    <w:rsid w:val="5D015F6A"/>
    <w:rsid w:val="5D0F6FB9"/>
    <w:rsid w:val="5D6C10F5"/>
    <w:rsid w:val="5D7F297C"/>
    <w:rsid w:val="5E1256DF"/>
    <w:rsid w:val="5F8F61EB"/>
    <w:rsid w:val="5F985A03"/>
    <w:rsid w:val="610C692D"/>
    <w:rsid w:val="611D44F1"/>
    <w:rsid w:val="614F4042"/>
    <w:rsid w:val="618C24F0"/>
    <w:rsid w:val="631303F2"/>
    <w:rsid w:val="63FC70D8"/>
    <w:rsid w:val="642968EB"/>
    <w:rsid w:val="64A51B2D"/>
    <w:rsid w:val="64A6362D"/>
    <w:rsid w:val="64C46417"/>
    <w:rsid w:val="64F2474D"/>
    <w:rsid w:val="65B01F28"/>
    <w:rsid w:val="65D379C4"/>
    <w:rsid w:val="661070A1"/>
    <w:rsid w:val="66F916AD"/>
    <w:rsid w:val="67D43B66"/>
    <w:rsid w:val="6B7F4517"/>
    <w:rsid w:val="6BD76E4B"/>
    <w:rsid w:val="6C7A5235"/>
    <w:rsid w:val="6D4E5084"/>
    <w:rsid w:val="6D885538"/>
    <w:rsid w:val="6F3275E5"/>
    <w:rsid w:val="6F370AEB"/>
    <w:rsid w:val="70C139D4"/>
    <w:rsid w:val="712D2370"/>
    <w:rsid w:val="71754026"/>
    <w:rsid w:val="725B0F77"/>
    <w:rsid w:val="72984CBC"/>
    <w:rsid w:val="72F64A73"/>
    <w:rsid w:val="7463285B"/>
    <w:rsid w:val="74850408"/>
    <w:rsid w:val="74A25132"/>
    <w:rsid w:val="75CD4430"/>
    <w:rsid w:val="76622CCD"/>
    <w:rsid w:val="7664249B"/>
    <w:rsid w:val="79013E72"/>
    <w:rsid w:val="79272ABA"/>
    <w:rsid w:val="7A7255A6"/>
    <w:rsid w:val="7BF60C1F"/>
    <w:rsid w:val="7C610CCC"/>
    <w:rsid w:val="7D7B6E68"/>
    <w:rsid w:val="7D824D38"/>
    <w:rsid w:val="7DB1627F"/>
    <w:rsid w:val="7E9C0C05"/>
    <w:rsid w:val="7ECB1729"/>
    <w:rsid w:val="7FC7588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1"/>
      <w:lang w:val="en-US" w:eastAsia="zh-CN" w:bidi="ar-SA"/>
    </w:rPr>
  </w:style>
  <w:style w:type="paragraph" w:styleId="2">
    <w:name w:val="heading 1"/>
    <w:basedOn w:val="1"/>
    <w:next w:val="1"/>
    <w:link w:val="45"/>
    <w:qFormat/>
    <w:uiPriority w:val="0"/>
    <w:pPr>
      <w:keepNext/>
      <w:keepLines/>
      <w:widowControl w:val="0"/>
      <w:spacing w:before="60" w:after="60" w:line="360" w:lineRule="auto"/>
      <w:jc w:val="center"/>
      <w:outlineLvl w:val="0"/>
    </w:pPr>
    <w:rPr>
      <w:rFonts w:ascii="Calibri" w:hAnsi="Calibri" w:eastAsia="黑体"/>
      <w:b/>
      <w:bCs/>
      <w:kern w:val="44"/>
      <w:sz w:val="28"/>
      <w:szCs w:val="44"/>
    </w:rPr>
  </w:style>
  <w:style w:type="paragraph" w:styleId="3">
    <w:name w:val="heading 2"/>
    <w:basedOn w:val="1"/>
    <w:next w:val="1"/>
    <w:link w:val="46"/>
    <w:semiHidden/>
    <w:unhideWhenUsed/>
    <w:qFormat/>
    <w:uiPriority w:val="0"/>
    <w:pPr>
      <w:keepNext/>
      <w:keepLines/>
      <w:widowControl w:val="0"/>
      <w:spacing w:before="60" w:line="360" w:lineRule="auto"/>
      <w:jc w:val="both"/>
      <w:outlineLvl w:val="1"/>
    </w:pPr>
    <w:rPr>
      <w:rFonts w:ascii="Arial" w:hAnsi="Arial"/>
      <w:b/>
      <w:bCs/>
      <w:kern w:val="2"/>
      <w:szCs w:val="21"/>
    </w:rPr>
  </w:style>
  <w:style w:type="paragraph" w:styleId="4">
    <w:name w:val="heading 3"/>
    <w:basedOn w:val="1"/>
    <w:next w:val="1"/>
    <w:link w:val="47"/>
    <w:semiHidden/>
    <w:unhideWhenUsed/>
    <w:qFormat/>
    <w:uiPriority w:val="0"/>
    <w:pPr>
      <w:keepNext/>
      <w:keepLines/>
      <w:widowControl w:val="0"/>
      <w:spacing w:before="60" w:line="360" w:lineRule="auto"/>
      <w:jc w:val="both"/>
      <w:outlineLvl w:val="2"/>
    </w:pPr>
    <w:rPr>
      <w:rFonts w:ascii="Calibri" w:hAnsi="Calibri"/>
      <w:b/>
      <w:bCs/>
      <w:kern w:val="2"/>
      <w:szCs w:val="32"/>
    </w:rPr>
  </w:style>
  <w:style w:type="paragraph" w:styleId="5">
    <w:name w:val="heading 4"/>
    <w:basedOn w:val="1"/>
    <w:next w:val="1"/>
    <w:link w:val="48"/>
    <w:semiHidden/>
    <w:unhideWhenUsed/>
    <w:qFormat/>
    <w:uiPriority w:val="0"/>
    <w:pPr>
      <w:keepNext/>
      <w:keepLines/>
      <w:widowControl w:val="0"/>
      <w:spacing w:before="60" w:line="360" w:lineRule="auto"/>
      <w:jc w:val="both"/>
      <w:outlineLvl w:val="3"/>
    </w:pPr>
    <w:rPr>
      <w:rFonts w:asciiTheme="minorEastAsia" w:hAnsiTheme="minorEastAsia" w:eastAsiaTheme="minorEastAsia"/>
      <w:b/>
      <w:bCs/>
      <w:kern w:val="2"/>
      <w:szCs w:val="28"/>
    </w:rPr>
  </w:style>
  <w:style w:type="paragraph" w:styleId="6">
    <w:name w:val="heading 5"/>
    <w:basedOn w:val="1"/>
    <w:next w:val="1"/>
    <w:link w:val="49"/>
    <w:semiHidden/>
    <w:unhideWhenUsed/>
    <w:qFormat/>
    <w:uiPriority w:val="0"/>
    <w:pPr>
      <w:keepNext/>
      <w:keepLines/>
      <w:widowControl w:val="0"/>
      <w:spacing w:before="60" w:line="360" w:lineRule="auto"/>
      <w:ind w:left="50" w:leftChars="50"/>
      <w:jc w:val="both"/>
      <w:outlineLvl w:val="4"/>
    </w:pPr>
    <w:rPr>
      <w:rFonts w:ascii="Calibri" w:hAnsi="Calibri"/>
      <w:b/>
      <w:bCs/>
      <w:kern w:val="2"/>
      <w:szCs w:val="28"/>
    </w:rPr>
  </w:style>
  <w:style w:type="paragraph" w:styleId="7">
    <w:name w:val="heading 6"/>
    <w:basedOn w:val="1"/>
    <w:next w:val="1"/>
    <w:link w:val="74"/>
    <w:semiHidden/>
    <w:unhideWhenUsed/>
    <w:qFormat/>
    <w:uiPriority w:val="0"/>
    <w:pPr>
      <w:keepNext/>
      <w:keepLines/>
      <w:spacing w:before="60" w:after="60"/>
      <w:outlineLvl w:val="5"/>
    </w:pPr>
    <w:rPr>
      <w:rFonts w:asciiTheme="majorHAnsi" w:hAnsiTheme="majorHAnsi" w:cstheme="majorBidi"/>
      <w:b/>
      <w:bCs/>
    </w:rPr>
  </w:style>
  <w:style w:type="paragraph" w:styleId="8">
    <w:name w:val="heading 7"/>
    <w:basedOn w:val="1"/>
    <w:next w:val="1"/>
    <w:link w:val="80"/>
    <w:semiHidden/>
    <w:unhideWhenUsed/>
    <w:qFormat/>
    <w:uiPriority w:val="0"/>
    <w:pPr>
      <w:keepNext/>
      <w:keepLines/>
      <w:spacing w:before="240" w:after="64" w:line="320" w:lineRule="auto"/>
      <w:outlineLvl w:val="6"/>
    </w:pPr>
    <w:rPr>
      <w:b/>
      <w:bCs/>
      <w:sz w:val="24"/>
    </w:rPr>
  </w:style>
  <w:style w:type="character" w:default="1" w:styleId="40">
    <w:name w:val="Default Paragraph Font"/>
    <w:semiHidden/>
    <w:qFormat/>
    <w:uiPriority w:val="0"/>
  </w:style>
  <w:style w:type="table" w:default="1" w:styleId="38">
    <w:name w:val="Normal Table"/>
    <w:semiHidden/>
    <w:qFormat/>
    <w:uiPriority w:val="0"/>
    <w:tblPr>
      <w:tblCellMar>
        <w:top w:w="0" w:type="dxa"/>
        <w:left w:w="108" w:type="dxa"/>
        <w:bottom w:w="0" w:type="dxa"/>
        <w:right w:w="108" w:type="dxa"/>
      </w:tblCellMar>
    </w:tblPr>
  </w:style>
  <w:style w:type="paragraph" w:styleId="9">
    <w:name w:val="toc 7"/>
    <w:basedOn w:val="1"/>
    <w:next w:val="1"/>
    <w:qFormat/>
    <w:uiPriority w:val="0"/>
    <w:pPr>
      <w:widowControl w:val="0"/>
      <w:ind w:left="2520" w:leftChars="1200"/>
      <w:jc w:val="both"/>
    </w:pPr>
    <w:rPr>
      <w:rFonts w:asciiTheme="minorHAnsi" w:hAnsiTheme="minorHAnsi" w:eastAsiaTheme="minorEastAsia" w:cstheme="minorBidi"/>
      <w:kern w:val="2"/>
      <w:szCs w:val="22"/>
    </w:rPr>
  </w:style>
  <w:style w:type="paragraph" w:styleId="10">
    <w:name w:val="Note Heading"/>
    <w:basedOn w:val="1"/>
    <w:next w:val="1"/>
    <w:link w:val="65"/>
    <w:qFormat/>
    <w:uiPriority w:val="0"/>
    <w:pPr>
      <w:widowControl w:val="0"/>
      <w:jc w:val="center"/>
    </w:pPr>
    <w:rPr>
      <w:kern w:val="2"/>
      <w:szCs w:val="21"/>
    </w:rPr>
  </w:style>
  <w:style w:type="paragraph" w:styleId="11">
    <w:name w:val="Normal Indent"/>
    <w:basedOn w:val="1"/>
    <w:qFormat/>
    <w:uiPriority w:val="0"/>
    <w:pPr>
      <w:widowControl w:val="0"/>
      <w:ind w:firstLine="420" w:firstLineChars="200"/>
      <w:jc w:val="both"/>
    </w:pPr>
    <w:rPr>
      <w:kern w:val="2"/>
      <w:szCs w:val="21"/>
    </w:rPr>
  </w:style>
  <w:style w:type="paragraph" w:styleId="12">
    <w:name w:val="Document Map"/>
    <w:basedOn w:val="1"/>
    <w:link w:val="70"/>
    <w:qFormat/>
    <w:uiPriority w:val="0"/>
    <w:pPr>
      <w:widowControl w:val="0"/>
      <w:jc w:val="both"/>
    </w:pPr>
    <w:rPr>
      <w:rFonts w:hAnsi="Calibri"/>
      <w:kern w:val="2"/>
      <w:sz w:val="18"/>
      <w:szCs w:val="18"/>
    </w:rPr>
  </w:style>
  <w:style w:type="paragraph" w:styleId="13">
    <w:name w:val="toa heading"/>
    <w:basedOn w:val="1"/>
    <w:next w:val="1"/>
    <w:qFormat/>
    <w:uiPriority w:val="0"/>
    <w:pPr>
      <w:widowControl w:val="0"/>
      <w:spacing w:before="120"/>
      <w:jc w:val="both"/>
    </w:pPr>
    <w:rPr>
      <w:rFonts w:ascii="Arial" w:hAnsi="Arial"/>
      <w:b/>
      <w:bCs/>
      <w:kern w:val="2"/>
      <w:szCs w:val="21"/>
    </w:rPr>
  </w:style>
  <w:style w:type="paragraph" w:styleId="14">
    <w:name w:val="annotation text"/>
    <w:basedOn w:val="1"/>
    <w:link w:val="51"/>
    <w:qFormat/>
    <w:uiPriority w:val="0"/>
    <w:pPr>
      <w:widowControl w:val="0"/>
    </w:pPr>
    <w:rPr>
      <w:kern w:val="2"/>
      <w:szCs w:val="21"/>
    </w:rPr>
  </w:style>
  <w:style w:type="paragraph" w:styleId="15">
    <w:name w:val="Salutation"/>
    <w:basedOn w:val="1"/>
    <w:next w:val="1"/>
    <w:link w:val="53"/>
    <w:qFormat/>
    <w:uiPriority w:val="0"/>
    <w:pPr>
      <w:widowControl w:val="0"/>
      <w:jc w:val="both"/>
    </w:pPr>
    <w:rPr>
      <w:kern w:val="2"/>
      <w:szCs w:val="21"/>
    </w:rPr>
  </w:style>
  <w:style w:type="paragraph" w:styleId="16">
    <w:name w:val="List Bullet 3"/>
    <w:basedOn w:val="1"/>
    <w:qFormat/>
    <w:uiPriority w:val="0"/>
    <w:pPr>
      <w:widowControl w:val="0"/>
      <w:tabs>
        <w:tab w:val="left" w:pos="1200"/>
      </w:tabs>
      <w:jc w:val="both"/>
    </w:pPr>
    <w:rPr>
      <w:kern w:val="2"/>
      <w:szCs w:val="21"/>
    </w:rPr>
  </w:style>
  <w:style w:type="paragraph" w:styleId="17">
    <w:name w:val="Body Text"/>
    <w:basedOn w:val="1"/>
    <w:next w:val="18"/>
    <w:link w:val="62"/>
    <w:qFormat/>
    <w:uiPriority w:val="0"/>
    <w:pPr>
      <w:widowControl w:val="0"/>
      <w:spacing w:after="120"/>
      <w:jc w:val="both"/>
    </w:pPr>
    <w:rPr>
      <w:kern w:val="2"/>
      <w:szCs w:val="21"/>
    </w:rPr>
  </w:style>
  <w:style w:type="paragraph" w:styleId="18">
    <w:name w:val="toc 8"/>
    <w:basedOn w:val="1"/>
    <w:next w:val="1"/>
    <w:qFormat/>
    <w:uiPriority w:val="0"/>
    <w:pPr>
      <w:widowControl w:val="0"/>
      <w:ind w:left="2940" w:leftChars="1400"/>
      <w:jc w:val="both"/>
    </w:pPr>
    <w:rPr>
      <w:rFonts w:asciiTheme="minorHAnsi" w:hAnsiTheme="minorHAnsi" w:eastAsiaTheme="minorEastAsia" w:cstheme="minorBidi"/>
      <w:kern w:val="2"/>
      <w:szCs w:val="22"/>
    </w:rPr>
  </w:style>
  <w:style w:type="paragraph" w:styleId="19">
    <w:name w:val="Body Text Indent"/>
    <w:basedOn w:val="1"/>
    <w:qFormat/>
    <w:uiPriority w:val="0"/>
    <w:pPr>
      <w:spacing w:after="120"/>
      <w:ind w:left="420" w:leftChars="200"/>
    </w:pPr>
  </w:style>
  <w:style w:type="paragraph" w:styleId="20">
    <w:name w:val="toc 5"/>
    <w:basedOn w:val="1"/>
    <w:next w:val="1"/>
    <w:qFormat/>
    <w:uiPriority w:val="0"/>
    <w:pPr>
      <w:widowControl w:val="0"/>
      <w:ind w:left="1680" w:leftChars="800"/>
      <w:jc w:val="both"/>
    </w:pPr>
    <w:rPr>
      <w:rFonts w:asciiTheme="minorHAnsi" w:hAnsiTheme="minorHAnsi" w:eastAsiaTheme="minorEastAsia" w:cstheme="minorBidi"/>
      <w:kern w:val="2"/>
      <w:szCs w:val="22"/>
    </w:rPr>
  </w:style>
  <w:style w:type="paragraph" w:styleId="21">
    <w:name w:val="toc 3"/>
    <w:basedOn w:val="1"/>
    <w:next w:val="1"/>
    <w:qFormat/>
    <w:uiPriority w:val="0"/>
    <w:pPr>
      <w:spacing w:after="100" w:line="276" w:lineRule="auto"/>
      <w:ind w:left="440"/>
    </w:pPr>
    <w:rPr>
      <w:rFonts w:ascii="Calibri" w:hAnsi="Calibri"/>
      <w:sz w:val="22"/>
      <w:szCs w:val="22"/>
    </w:rPr>
  </w:style>
  <w:style w:type="paragraph" w:styleId="22">
    <w:name w:val="Plain Text"/>
    <w:basedOn w:val="1"/>
    <w:link w:val="60"/>
    <w:qFormat/>
    <w:uiPriority w:val="0"/>
    <w:pPr>
      <w:widowControl w:val="0"/>
      <w:jc w:val="both"/>
    </w:pPr>
    <w:rPr>
      <w:rFonts w:hAnsi="Courier New"/>
      <w:kern w:val="2"/>
    </w:rPr>
  </w:style>
  <w:style w:type="paragraph" w:styleId="23">
    <w:name w:val="Date"/>
    <w:basedOn w:val="1"/>
    <w:next w:val="1"/>
    <w:link w:val="64"/>
    <w:qFormat/>
    <w:uiPriority w:val="0"/>
    <w:pPr>
      <w:widowControl w:val="0"/>
      <w:ind w:left="100" w:leftChars="2500"/>
      <w:jc w:val="both"/>
    </w:pPr>
    <w:rPr>
      <w:kern w:val="2"/>
      <w:szCs w:val="21"/>
    </w:rPr>
  </w:style>
  <w:style w:type="paragraph" w:styleId="24">
    <w:name w:val="endnote text"/>
    <w:basedOn w:val="1"/>
    <w:link w:val="75"/>
    <w:qFormat/>
    <w:uiPriority w:val="0"/>
    <w:pPr>
      <w:snapToGrid w:val="0"/>
    </w:pPr>
  </w:style>
  <w:style w:type="paragraph" w:styleId="25">
    <w:name w:val="Balloon Text"/>
    <w:basedOn w:val="1"/>
    <w:link w:val="52"/>
    <w:qFormat/>
    <w:uiPriority w:val="0"/>
    <w:pPr>
      <w:widowControl w:val="0"/>
      <w:jc w:val="both"/>
    </w:pPr>
    <w:rPr>
      <w:rFonts w:ascii="Calibri" w:hAnsi="Calibri"/>
      <w:kern w:val="2"/>
      <w:sz w:val="18"/>
      <w:szCs w:val="18"/>
    </w:rPr>
  </w:style>
  <w:style w:type="paragraph" w:styleId="26">
    <w:name w:val="footer"/>
    <w:basedOn w:val="1"/>
    <w:link w:val="59"/>
    <w:qFormat/>
    <w:uiPriority w:val="0"/>
    <w:pPr>
      <w:widowControl w:val="0"/>
      <w:tabs>
        <w:tab w:val="center" w:pos="4153"/>
        <w:tab w:val="right" w:pos="8306"/>
      </w:tabs>
      <w:snapToGrid w:val="0"/>
    </w:pPr>
    <w:rPr>
      <w:rFonts w:ascii="Calibri" w:hAnsi="Calibri"/>
      <w:kern w:val="2"/>
      <w:sz w:val="18"/>
      <w:szCs w:val="18"/>
    </w:rPr>
  </w:style>
  <w:style w:type="paragraph" w:styleId="27">
    <w:name w:val="header"/>
    <w:basedOn w:val="1"/>
    <w:link w:val="58"/>
    <w:qFormat/>
    <w:uiPriority w:val="0"/>
    <w:pPr>
      <w:widowControl w:val="0"/>
      <w:pBdr>
        <w:bottom w:val="single" w:color="auto" w:sz="6" w:space="1"/>
      </w:pBdr>
      <w:tabs>
        <w:tab w:val="center" w:pos="4153"/>
        <w:tab w:val="right" w:pos="8306"/>
      </w:tabs>
      <w:snapToGrid w:val="0"/>
      <w:jc w:val="center"/>
    </w:pPr>
    <w:rPr>
      <w:rFonts w:ascii="Calibri" w:hAnsi="Calibri"/>
      <w:kern w:val="2"/>
      <w:sz w:val="18"/>
      <w:szCs w:val="18"/>
    </w:rPr>
  </w:style>
  <w:style w:type="paragraph" w:styleId="28">
    <w:name w:val="toc 1"/>
    <w:basedOn w:val="1"/>
    <w:next w:val="1"/>
    <w:qFormat/>
    <w:uiPriority w:val="0"/>
    <w:pPr>
      <w:widowControl w:val="0"/>
      <w:tabs>
        <w:tab w:val="left" w:pos="1260"/>
        <w:tab w:val="right" w:leader="dot" w:pos="8823"/>
      </w:tabs>
      <w:spacing w:line="360" w:lineRule="auto"/>
      <w:jc w:val="both"/>
    </w:pPr>
    <w:rPr>
      <w:kern w:val="2"/>
      <w:szCs w:val="21"/>
    </w:rPr>
  </w:style>
  <w:style w:type="paragraph" w:styleId="29">
    <w:name w:val="toc 4"/>
    <w:basedOn w:val="1"/>
    <w:next w:val="1"/>
    <w:qFormat/>
    <w:uiPriority w:val="0"/>
    <w:pPr>
      <w:widowControl w:val="0"/>
      <w:ind w:left="1260" w:leftChars="600"/>
      <w:jc w:val="both"/>
    </w:pPr>
    <w:rPr>
      <w:rFonts w:asciiTheme="minorHAnsi" w:hAnsiTheme="minorHAnsi" w:eastAsiaTheme="minorEastAsia" w:cstheme="minorBidi"/>
      <w:kern w:val="2"/>
      <w:szCs w:val="22"/>
    </w:rPr>
  </w:style>
  <w:style w:type="paragraph" w:styleId="30">
    <w:name w:val="footnote text"/>
    <w:basedOn w:val="1"/>
    <w:link w:val="109"/>
    <w:qFormat/>
    <w:uiPriority w:val="0"/>
    <w:pPr>
      <w:widowControl w:val="0"/>
      <w:snapToGrid w:val="0"/>
    </w:pPr>
    <w:rPr>
      <w:rFonts w:ascii="Calibri" w:hAnsi="Calibri"/>
      <w:kern w:val="2"/>
      <w:sz w:val="18"/>
      <w:szCs w:val="18"/>
    </w:rPr>
  </w:style>
  <w:style w:type="paragraph" w:styleId="31">
    <w:name w:val="toc 6"/>
    <w:basedOn w:val="1"/>
    <w:next w:val="1"/>
    <w:qFormat/>
    <w:uiPriority w:val="0"/>
    <w:pPr>
      <w:widowControl w:val="0"/>
      <w:ind w:left="2100" w:leftChars="1000"/>
      <w:jc w:val="both"/>
    </w:pPr>
    <w:rPr>
      <w:rFonts w:asciiTheme="minorHAnsi" w:hAnsiTheme="minorHAnsi" w:eastAsiaTheme="minorEastAsia" w:cstheme="minorBidi"/>
      <w:kern w:val="2"/>
      <w:szCs w:val="22"/>
    </w:rPr>
  </w:style>
  <w:style w:type="paragraph" w:styleId="32">
    <w:name w:val="toc 2"/>
    <w:basedOn w:val="1"/>
    <w:next w:val="1"/>
    <w:qFormat/>
    <w:uiPriority w:val="0"/>
    <w:pPr>
      <w:widowControl w:val="0"/>
      <w:ind w:left="420" w:leftChars="200"/>
      <w:jc w:val="both"/>
    </w:pPr>
    <w:rPr>
      <w:kern w:val="2"/>
      <w:szCs w:val="21"/>
    </w:rPr>
  </w:style>
  <w:style w:type="paragraph" w:styleId="33">
    <w:name w:val="toc 9"/>
    <w:basedOn w:val="1"/>
    <w:next w:val="1"/>
    <w:qFormat/>
    <w:uiPriority w:val="0"/>
    <w:pPr>
      <w:widowControl w:val="0"/>
      <w:ind w:left="3360" w:leftChars="1600"/>
      <w:jc w:val="both"/>
    </w:pPr>
    <w:rPr>
      <w:rFonts w:asciiTheme="minorHAnsi" w:hAnsiTheme="minorHAnsi" w:eastAsiaTheme="minorEastAsia" w:cstheme="minorBidi"/>
      <w:kern w:val="2"/>
      <w:szCs w:val="22"/>
    </w:rPr>
  </w:style>
  <w:style w:type="paragraph" w:styleId="34">
    <w:name w:val="Normal (Web)"/>
    <w:basedOn w:val="1"/>
    <w:qFormat/>
    <w:uiPriority w:val="0"/>
    <w:pPr>
      <w:spacing w:before="100" w:beforeAutospacing="1" w:after="100" w:afterAutospacing="1"/>
    </w:pPr>
    <w:rPr>
      <w:sz w:val="24"/>
    </w:rPr>
  </w:style>
  <w:style w:type="paragraph" w:styleId="35">
    <w:name w:val="index 1"/>
    <w:basedOn w:val="1"/>
    <w:next w:val="1"/>
    <w:qFormat/>
    <w:uiPriority w:val="0"/>
    <w:pPr>
      <w:ind w:firstLine="420" w:firstLineChars="200"/>
    </w:pPr>
    <w:rPr>
      <w:color w:val="000000"/>
      <w:szCs w:val="21"/>
    </w:rPr>
  </w:style>
  <w:style w:type="paragraph" w:styleId="36">
    <w:name w:val="Title"/>
    <w:basedOn w:val="1"/>
    <w:next w:val="1"/>
    <w:link w:val="72"/>
    <w:qFormat/>
    <w:uiPriority w:val="0"/>
    <w:pPr>
      <w:widowControl w:val="0"/>
      <w:spacing w:before="240" w:after="60"/>
      <w:jc w:val="center"/>
      <w:outlineLvl w:val="0"/>
    </w:pPr>
    <w:rPr>
      <w:rFonts w:asciiTheme="majorHAnsi" w:hAnsiTheme="majorHAnsi" w:cstheme="majorBidi"/>
      <w:b/>
      <w:bCs/>
      <w:kern w:val="2"/>
      <w:sz w:val="32"/>
      <w:szCs w:val="32"/>
    </w:rPr>
  </w:style>
  <w:style w:type="paragraph" w:styleId="37">
    <w:name w:val="annotation subject"/>
    <w:basedOn w:val="14"/>
    <w:next w:val="14"/>
    <w:link w:val="57"/>
    <w:qFormat/>
    <w:uiPriority w:val="0"/>
    <w:rPr>
      <w:rFonts w:ascii="Calibri" w:hAnsi="Calibri"/>
      <w:b/>
      <w:bCs/>
      <w:szCs w:val="22"/>
    </w:rPr>
  </w:style>
  <w:style w:type="table" w:styleId="39">
    <w:name w:val="Table Grid"/>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endnote reference"/>
    <w:basedOn w:val="40"/>
    <w:qFormat/>
    <w:uiPriority w:val="0"/>
    <w:rPr>
      <w:vertAlign w:val="superscript"/>
    </w:rPr>
  </w:style>
  <w:style w:type="character" w:styleId="42">
    <w:name w:val="Hyperlink"/>
    <w:basedOn w:val="40"/>
    <w:qFormat/>
    <w:uiPriority w:val="0"/>
    <w:rPr>
      <w:rFonts w:cs="Times New Roman"/>
      <w:color w:val="0000FF"/>
      <w:u w:val="single"/>
    </w:rPr>
  </w:style>
  <w:style w:type="character" w:styleId="43">
    <w:name w:val="annotation reference"/>
    <w:basedOn w:val="40"/>
    <w:qFormat/>
    <w:uiPriority w:val="0"/>
    <w:rPr>
      <w:rFonts w:eastAsia="宋体" w:cs="Times New Roman"/>
      <w:kern w:val="2"/>
      <w:sz w:val="21"/>
      <w:szCs w:val="21"/>
      <w:lang w:val="en-US" w:eastAsia="zh-CN" w:bidi="ar-SA"/>
    </w:rPr>
  </w:style>
  <w:style w:type="character" w:styleId="44">
    <w:name w:val="footnote reference"/>
    <w:qFormat/>
    <w:uiPriority w:val="0"/>
    <w:rPr>
      <w:vertAlign w:val="superscript"/>
    </w:rPr>
  </w:style>
  <w:style w:type="character" w:customStyle="1" w:styleId="45">
    <w:name w:val="标题 1 字符"/>
    <w:basedOn w:val="40"/>
    <w:link w:val="2"/>
    <w:qFormat/>
    <w:uiPriority w:val="99"/>
    <w:rPr>
      <w:rFonts w:eastAsia="黑体"/>
      <w:b/>
      <w:bCs/>
      <w:kern w:val="44"/>
      <w:sz w:val="28"/>
      <w:szCs w:val="44"/>
    </w:rPr>
  </w:style>
  <w:style w:type="character" w:customStyle="1" w:styleId="46">
    <w:name w:val="标题 2 字符"/>
    <w:basedOn w:val="40"/>
    <w:link w:val="3"/>
    <w:qFormat/>
    <w:uiPriority w:val="0"/>
    <w:rPr>
      <w:rFonts w:ascii="Arial" w:hAnsi="Arial"/>
      <w:b/>
      <w:bCs/>
      <w:kern w:val="2"/>
      <w:sz w:val="21"/>
      <w:szCs w:val="21"/>
    </w:rPr>
  </w:style>
  <w:style w:type="character" w:customStyle="1" w:styleId="47">
    <w:name w:val="标题 3 字符"/>
    <w:basedOn w:val="40"/>
    <w:link w:val="4"/>
    <w:qFormat/>
    <w:uiPriority w:val="9"/>
    <w:rPr>
      <w:b/>
      <w:bCs/>
      <w:kern w:val="2"/>
      <w:sz w:val="21"/>
      <w:szCs w:val="32"/>
    </w:rPr>
  </w:style>
  <w:style w:type="character" w:customStyle="1" w:styleId="48">
    <w:name w:val="标题 4 字符"/>
    <w:basedOn w:val="40"/>
    <w:link w:val="5"/>
    <w:qFormat/>
    <w:uiPriority w:val="9"/>
    <w:rPr>
      <w:rFonts w:asciiTheme="minorEastAsia" w:hAnsiTheme="minorEastAsia" w:eastAsiaTheme="minorEastAsia"/>
      <w:b/>
      <w:bCs/>
      <w:kern w:val="2"/>
      <w:sz w:val="21"/>
      <w:szCs w:val="28"/>
    </w:rPr>
  </w:style>
  <w:style w:type="character" w:customStyle="1" w:styleId="49">
    <w:name w:val="标题 5 字符"/>
    <w:basedOn w:val="40"/>
    <w:link w:val="6"/>
    <w:qFormat/>
    <w:uiPriority w:val="9"/>
    <w:rPr>
      <w:b/>
      <w:bCs/>
      <w:kern w:val="2"/>
      <w:sz w:val="21"/>
      <w:szCs w:val="28"/>
    </w:rPr>
  </w:style>
  <w:style w:type="paragraph" w:customStyle="1" w:styleId="50">
    <w:name w:val="TOC Heading"/>
    <w:basedOn w:val="2"/>
    <w:next w:val="1"/>
    <w:qFormat/>
    <w:uiPriority w:val="39"/>
    <w:pPr>
      <w:widowControl/>
      <w:spacing w:before="480" w:after="0" w:line="276" w:lineRule="auto"/>
      <w:outlineLvl w:val="9"/>
    </w:pPr>
    <w:rPr>
      <w:rFonts w:ascii="Cambria" w:hAnsi="Cambria" w:eastAsia="宋体"/>
      <w:color w:val="365F91"/>
      <w:kern w:val="0"/>
      <w:szCs w:val="28"/>
    </w:rPr>
  </w:style>
  <w:style w:type="character" w:customStyle="1" w:styleId="51">
    <w:name w:val="批注文字 字符"/>
    <w:basedOn w:val="40"/>
    <w:link w:val="14"/>
    <w:qFormat/>
    <w:uiPriority w:val="0"/>
    <w:rPr>
      <w:rFonts w:ascii="Times New Roman" w:hAnsi="Times New Roman" w:eastAsia="宋体" w:cs="Times New Roman"/>
      <w:szCs w:val="21"/>
    </w:rPr>
  </w:style>
  <w:style w:type="character" w:customStyle="1" w:styleId="52">
    <w:name w:val="批注框文本 字符"/>
    <w:basedOn w:val="40"/>
    <w:link w:val="25"/>
    <w:qFormat/>
    <w:uiPriority w:val="99"/>
    <w:rPr>
      <w:rFonts w:ascii="Calibri" w:hAnsi="Calibri" w:eastAsia="宋体" w:cs="Times New Roman"/>
      <w:sz w:val="18"/>
      <w:szCs w:val="18"/>
    </w:rPr>
  </w:style>
  <w:style w:type="character" w:customStyle="1" w:styleId="53">
    <w:name w:val="称呼 字符"/>
    <w:basedOn w:val="40"/>
    <w:link w:val="15"/>
    <w:qFormat/>
    <w:uiPriority w:val="99"/>
    <w:rPr>
      <w:rFonts w:ascii="Times New Roman" w:hAnsi="Times New Roman" w:eastAsia="宋体" w:cs="Times New Roman"/>
      <w:szCs w:val="21"/>
    </w:rPr>
  </w:style>
  <w:style w:type="character" w:customStyle="1" w:styleId="54">
    <w:name w:val="notnullcss1"/>
    <w:basedOn w:val="40"/>
    <w:qFormat/>
    <w:uiPriority w:val="99"/>
    <w:rPr>
      <w:rFonts w:eastAsia="宋体" w:cs="Times New Roman"/>
      <w:color w:val="FF0000"/>
      <w:kern w:val="2"/>
      <w:sz w:val="24"/>
      <w:szCs w:val="24"/>
      <w:lang w:val="en-US" w:eastAsia="zh-CN" w:bidi="ar-SA"/>
    </w:rPr>
  </w:style>
  <w:style w:type="paragraph" w:customStyle="1" w:styleId="55">
    <w:name w:val="xl61"/>
    <w:basedOn w:val="1"/>
    <w:qFormat/>
    <w:uiPriority w:val="99"/>
    <w:pPr>
      <w:spacing w:before="100" w:after="100"/>
      <w:jc w:val="right"/>
    </w:pPr>
    <w:rPr>
      <w:rFonts w:ascii="Arial Unicode MS" w:eastAsia="Arial Unicode MS"/>
      <w:sz w:val="18"/>
      <w:szCs w:val="18"/>
    </w:rPr>
  </w:style>
  <w:style w:type="paragraph" w:styleId="56">
    <w:name w:val="List Paragraph"/>
    <w:basedOn w:val="1"/>
    <w:qFormat/>
    <w:uiPriority w:val="34"/>
    <w:pPr>
      <w:widowControl w:val="0"/>
      <w:ind w:firstLine="420" w:firstLineChars="200"/>
      <w:jc w:val="both"/>
    </w:pPr>
    <w:rPr>
      <w:rFonts w:ascii="Calibri" w:hAnsi="Calibri"/>
      <w:kern w:val="2"/>
      <w:szCs w:val="22"/>
    </w:rPr>
  </w:style>
  <w:style w:type="character" w:customStyle="1" w:styleId="57">
    <w:name w:val="批注主题 字符"/>
    <w:basedOn w:val="51"/>
    <w:link w:val="37"/>
    <w:qFormat/>
    <w:uiPriority w:val="99"/>
    <w:rPr>
      <w:rFonts w:ascii="Calibri" w:hAnsi="Calibri" w:eastAsia="宋体" w:cs="Times New Roman"/>
      <w:b/>
      <w:bCs/>
      <w:szCs w:val="21"/>
    </w:rPr>
  </w:style>
  <w:style w:type="character" w:customStyle="1" w:styleId="58">
    <w:name w:val="页眉 字符"/>
    <w:basedOn w:val="40"/>
    <w:link w:val="27"/>
    <w:qFormat/>
    <w:uiPriority w:val="99"/>
    <w:rPr>
      <w:rFonts w:ascii="Calibri" w:hAnsi="Calibri" w:eastAsia="宋体" w:cs="Times New Roman"/>
      <w:sz w:val="18"/>
      <w:szCs w:val="18"/>
    </w:rPr>
  </w:style>
  <w:style w:type="character" w:customStyle="1" w:styleId="59">
    <w:name w:val="页脚 字符"/>
    <w:basedOn w:val="40"/>
    <w:link w:val="26"/>
    <w:qFormat/>
    <w:uiPriority w:val="99"/>
    <w:rPr>
      <w:rFonts w:ascii="Calibri" w:hAnsi="Calibri" w:eastAsia="宋体" w:cs="Times New Roman"/>
      <w:sz w:val="18"/>
      <w:szCs w:val="18"/>
    </w:rPr>
  </w:style>
  <w:style w:type="character" w:customStyle="1" w:styleId="60">
    <w:name w:val="纯文本 字符"/>
    <w:basedOn w:val="40"/>
    <w:link w:val="22"/>
    <w:qFormat/>
    <w:uiPriority w:val="0"/>
    <w:rPr>
      <w:rFonts w:ascii="宋体" w:hAnsi="Courier New" w:eastAsia="宋体" w:cs="Times New Roman"/>
      <w:szCs w:val="20"/>
    </w:rPr>
  </w:style>
  <w:style w:type="character" w:customStyle="1" w:styleId="61">
    <w:name w:val="headline-content2"/>
    <w:basedOn w:val="40"/>
    <w:qFormat/>
    <w:uiPriority w:val="0"/>
    <w:rPr>
      <w:rFonts w:eastAsia="宋体" w:cs="Times New Roman"/>
      <w:kern w:val="2"/>
      <w:sz w:val="24"/>
      <w:szCs w:val="24"/>
      <w:lang w:val="en-US" w:eastAsia="zh-CN" w:bidi="ar-SA"/>
    </w:rPr>
  </w:style>
  <w:style w:type="character" w:customStyle="1" w:styleId="62">
    <w:name w:val="正文文本 字符"/>
    <w:basedOn w:val="40"/>
    <w:link w:val="17"/>
    <w:qFormat/>
    <w:uiPriority w:val="99"/>
    <w:rPr>
      <w:rFonts w:ascii="Times New Roman" w:hAnsi="Times New Roman" w:eastAsia="宋体" w:cs="Times New Roman"/>
      <w:szCs w:val="21"/>
    </w:rPr>
  </w:style>
  <w:style w:type="paragraph" w:customStyle="1" w:styleId="63">
    <w:name w:val="write2"/>
    <w:basedOn w:val="1"/>
    <w:qFormat/>
    <w:uiPriority w:val="99"/>
    <w:pPr>
      <w:tabs>
        <w:tab w:val="left" w:pos="709"/>
      </w:tabs>
      <w:overflowPunct w:val="0"/>
      <w:autoSpaceDE w:val="0"/>
      <w:autoSpaceDN w:val="0"/>
      <w:adjustRightInd w:val="0"/>
      <w:jc w:val="both"/>
      <w:textAlignment w:val="baseline"/>
    </w:pPr>
    <w:rPr>
      <w:rFonts w:ascii="Helvetica-Narrow" w:hAnsi="Helvetica-Narrow"/>
      <w:lang w:val="en-AU"/>
    </w:rPr>
  </w:style>
  <w:style w:type="character" w:customStyle="1" w:styleId="64">
    <w:name w:val="日期 字符"/>
    <w:basedOn w:val="40"/>
    <w:link w:val="23"/>
    <w:qFormat/>
    <w:uiPriority w:val="99"/>
    <w:rPr>
      <w:rFonts w:ascii="Times New Roman" w:hAnsi="Times New Roman" w:eastAsia="宋体" w:cs="Times New Roman"/>
      <w:szCs w:val="21"/>
    </w:rPr>
  </w:style>
  <w:style w:type="character" w:customStyle="1" w:styleId="65">
    <w:name w:val="注释标题 字符"/>
    <w:basedOn w:val="40"/>
    <w:link w:val="10"/>
    <w:qFormat/>
    <w:uiPriority w:val="99"/>
    <w:rPr>
      <w:rFonts w:ascii="Times New Roman" w:hAnsi="Times New Roman" w:eastAsia="宋体" w:cs="Times New Roman"/>
      <w:szCs w:val="21"/>
    </w:rPr>
  </w:style>
  <w:style w:type="paragraph" w:customStyle="1" w:styleId="66">
    <w:name w:val="标题5"/>
    <w:basedOn w:val="1"/>
    <w:qFormat/>
    <w:uiPriority w:val="0"/>
    <w:pPr>
      <w:keepNext/>
      <w:keepLines/>
      <w:widowControl w:val="0"/>
      <w:spacing w:before="60" w:after="60"/>
      <w:ind w:hanging="420" w:hangingChars="200"/>
      <w:jc w:val="both"/>
      <w:outlineLvl w:val="4"/>
    </w:pPr>
    <w:rPr>
      <w:b/>
      <w:bCs/>
      <w:kern w:val="2"/>
      <w:szCs w:val="21"/>
    </w:rPr>
  </w:style>
  <w:style w:type="paragraph" w:customStyle="1" w:styleId="67">
    <w:name w:val="Revision"/>
    <w:hidden/>
    <w:semiHidden/>
    <w:qFormat/>
    <w:uiPriority w:val="99"/>
    <w:rPr>
      <w:rFonts w:ascii="Times New Roman" w:hAnsi="Times New Roman" w:eastAsia="宋体" w:cs="Times New Roman"/>
      <w:kern w:val="2"/>
      <w:sz w:val="21"/>
      <w:szCs w:val="22"/>
      <w:lang w:val="en-US" w:eastAsia="zh-CN" w:bidi="ar-SA"/>
    </w:rPr>
  </w:style>
  <w:style w:type="character" w:customStyle="1" w:styleId="68">
    <w:name w:val="正文的样式 Char"/>
    <w:basedOn w:val="40"/>
    <w:link w:val="69"/>
    <w:qFormat/>
    <w:uiPriority w:val="0"/>
    <w:rPr>
      <w:kern w:val="2"/>
      <w:sz w:val="21"/>
      <w:szCs w:val="24"/>
    </w:rPr>
  </w:style>
  <w:style w:type="paragraph" w:customStyle="1" w:styleId="69">
    <w:name w:val="正文的样式"/>
    <w:basedOn w:val="1"/>
    <w:link w:val="68"/>
    <w:qFormat/>
    <w:uiPriority w:val="0"/>
    <w:pPr>
      <w:widowControl w:val="0"/>
      <w:spacing w:before="100" w:after="100"/>
      <w:jc w:val="both"/>
    </w:pPr>
    <w:rPr>
      <w:rFonts w:ascii="Calibri" w:hAnsi="Calibri"/>
      <w:kern w:val="2"/>
    </w:rPr>
  </w:style>
  <w:style w:type="character" w:customStyle="1" w:styleId="70">
    <w:name w:val="文档结构图 字符"/>
    <w:basedOn w:val="40"/>
    <w:link w:val="12"/>
    <w:semiHidden/>
    <w:qFormat/>
    <w:uiPriority w:val="99"/>
    <w:rPr>
      <w:rFonts w:ascii="宋体"/>
      <w:kern w:val="2"/>
      <w:sz w:val="18"/>
      <w:szCs w:val="18"/>
    </w:rPr>
  </w:style>
  <w:style w:type="character" w:styleId="71">
    <w:name w:val="Placeholder Text"/>
    <w:basedOn w:val="40"/>
    <w:qFormat/>
    <w:uiPriority w:val="99"/>
    <w:rPr>
      <w:color w:val="auto"/>
    </w:rPr>
  </w:style>
  <w:style w:type="character" w:customStyle="1" w:styleId="72">
    <w:name w:val="标题 字符"/>
    <w:basedOn w:val="40"/>
    <w:link w:val="36"/>
    <w:qFormat/>
    <w:uiPriority w:val="10"/>
    <w:rPr>
      <w:rFonts w:asciiTheme="majorHAnsi" w:hAnsiTheme="majorHAnsi" w:cstheme="majorBidi"/>
      <w:b/>
      <w:bCs/>
      <w:kern w:val="2"/>
      <w:sz w:val="32"/>
      <w:szCs w:val="32"/>
    </w:rPr>
  </w:style>
  <w:style w:type="paragraph" w:styleId="73">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74">
    <w:name w:val="标题 6 字符"/>
    <w:basedOn w:val="40"/>
    <w:link w:val="7"/>
    <w:qFormat/>
    <w:uiPriority w:val="9"/>
    <w:rPr>
      <w:rFonts w:asciiTheme="majorHAnsi" w:hAnsiTheme="majorHAnsi" w:cstheme="majorBidi"/>
      <w:b/>
      <w:bCs/>
      <w:sz w:val="21"/>
      <w:szCs w:val="24"/>
    </w:rPr>
  </w:style>
  <w:style w:type="character" w:customStyle="1" w:styleId="75">
    <w:name w:val="尾注文本 字符"/>
    <w:basedOn w:val="40"/>
    <w:link w:val="24"/>
    <w:semiHidden/>
    <w:qFormat/>
    <w:uiPriority w:val="99"/>
    <w:rPr>
      <w:rFonts w:ascii="宋体" w:hAnsi="宋体" w:cs="宋体"/>
      <w:sz w:val="21"/>
      <w:szCs w:val="24"/>
    </w:rPr>
  </w:style>
  <w:style w:type="character" w:customStyle="1" w:styleId="76">
    <w:name w:val="批注主题 Char1"/>
    <w:basedOn w:val="51"/>
    <w:semiHidden/>
    <w:qFormat/>
    <w:uiPriority w:val="99"/>
    <w:rPr>
      <w:rFonts w:ascii="Times New Roman" w:hAnsi="Times New Roman" w:eastAsia="宋体" w:cs="Times New Roman"/>
      <w:b/>
      <w:bCs/>
      <w:szCs w:val="21"/>
    </w:rPr>
  </w:style>
  <w:style w:type="character" w:customStyle="1" w:styleId="77">
    <w:name w:val="span_"/>
    <w:basedOn w:val="40"/>
    <w:qFormat/>
    <w:uiPriority w:val="0"/>
  </w:style>
  <w:style w:type="paragraph" w:customStyle="1" w:styleId="78">
    <w:name w:val="标题  3"/>
    <w:basedOn w:val="1"/>
    <w:next w:val="1"/>
    <w:link w:val="79"/>
    <w:qFormat/>
    <w:uiPriority w:val="0"/>
    <w:pPr>
      <w:keepNext/>
      <w:keepLines/>
      <w:widowControl w:val="0"/>
      <w:spacing w:before="100" w:beforeAutospacing="1" w:after="100" w:afterAutospacing="1" w:line="415" w:lineRule="auto"/>
      <w:jc w:val="both"/>
    </w:pPr>
    <w:rPr>
      <w:b/>
      <w:kern w:val="2"/>
    </w:rPr>
  </w:style>
  <w:style w:type="character" w:customStyle="1" w:styleId="79">
    <w:name w:val="标题  3 Char"/>
    <w:basedOn w:val="40"/>
    <w:link w:val="78"/>
    <w:qFormat/>
    <w:uiPriority w:val="0"/>
    <w:rPr>
      <w:rFonts w:ascii="Times New Roman" w:hAnsi="Times New Roman"/>
      <w:b/>
      <w:kern w:val="2"/>
      <w:sz w:val="21"/>
      <w:szCs w:val="24"/>
    </w:rPr>
  </w:style>
  <w:style w:type="character" w:customStyle="1" w:styleId="80">
    <w:name w:val="标题 7 字符"/>
    <w:basedOn w:val="40"/>
    <w:link w:val="8"/>
    <w:qFormat/>
    <w:uiPriority w:val="9"/>
    <w:rPr>
      <w:rFonts w:ascii="宋体" w:hAnsi="宋体" w:cs="宋体"/>
      <w:b/>
      <w:bCs/>
      <w:sz w:val="24"/>
      <w:szCs w:val="24"/>
    </w:rPr>
  </w:style>
  <w:style w:type="character" w:customStyle="1" w:styleId="81">
    <w:name w:val="批注主题 字符1"/>
    <w:basedOn w:val="51"/>
    <w:semiHidden/>
    <w:qFormat/>
    <w:uiPriority w:val="99"/>
    <w:rPr>
      <w:rFonts w:ascii="Times New Roman" w:hAnsi="Times New Roman" w:eastAsia="宋体" w:cs="Times New Roman"/>
      <w:b/>
      <w:bCs/>
      <w:szCs w:val="21"/>
    </w:rPr>
  </w:style>
  <w:style w:type="character" w:customStyle="1" w:styleId="82">
    <w:name w:val="标题 4 Char"/>
    <w:qFormat/>
    <w:uiPriority w:val="9"/>
    <w:rPr>
      <w:rFonts w:ascii="Cambria" w:hAnsi="Cambria"/>
      <w:b/>
      <w:bCs/>
      <w:kern w:val="2"/>
      <w:sz w:val="21"/>
      <w:szCs w:val="28"/>
    </w:rPr>
  </w:style>
  <w:style w:type="paragraph" w:customStyle="1" w:styleId="83">
    <w:name w:val="4"/>
    <w:basedOn w:val="1"/>
    <w:next w:val="56"/>
    <w:qFormat/>
    <w:uiPriority w:val="34"/>
    <w:pPr>
      <w:widowControl w:val="0"/>
      <w:ind w:firstLine="420" w:firstLineChars="200"/>
      <w:jc w:val="both"/>
    </w:pPr>
    <w:rPr>
      <w:rFonts w:ascii="Calibri" w:hAnsi="Calibri"/>
      <w:kern w:val="2"/>
      <w:szCs w:val="22"/>
    </w:rPr>
  </w:style>
  <w:style w:type="table" w:customStyle="1" w:styleId="84">
    <w:name w:val="无格式表格 21"/>
    <w:basedOn w:val="38"/>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85">
    <w:name w:val="3"/>
    <w:basedOn w:val="1"/>
    <w:next w:val="56"/>
    <w:qFormat/>
    <w:uiPriority w:val="34"/>
    <w:pPr>
      <w:widowControl w:val="0"/>
      <w:ind w:firstLine="420" w:firstLineChars="200"/>
      <w:jc w:val="both"/>
    </w:pPr>
    <w:rPr>
      <w:rFonts w:ascii="Calibri" w:hAnsi="Calibri"/>
      <w:kern w:val="2"/>
      <w:szCs w:val="22"/>
    </w:rPr>
  </w:style>
  <w:style w:type="character" w:customStyle="1" w:styleId="86">
    <w:name w:val="标题 3 Char"/>
    <w:qFormat/>
    <w:uiPriority w:val="9"/>
    <w:rPr>
      <w:b/>
      <w:bCs/>
      <w:kern w:val="2"/>
      <w:sz w:val="21"/>
      <w:szCs w:val="32"/>
    </w:rPr>
  </w:style>
  <w:style w:type="paragraph" w:customStyle="1" w:styleId="87">
    <w:name w:val="2"/>
    <w:basedOn w:val="1"/>
    <w:next w:val="56"/>
    <w:qFormat/>
    <w:uiPriority w:val="34"/>
    <w:pPr>
      <w:widowControl w:val="0"/>
      <w:ind w:firstLine="420" w:firstLineChars="200"/>
      <w:jc w:val="both"/>
    </w:pPr>
    <w:rPr>
      <w:rFonts w:ascii="Calibri" w:hAnsi="Calibri"/>
      <w:kern w:val="2"/>
      <w:szCs w:val="22"/>
    </w:rPr>
  </w:style>
  <w:style w:type="paragraph" w:customStyle="1" w:styleId="88">
    <w:name w:val="1"/>
    <w:basedOn w:val="1"/>
    <w:next w:val="56"/>
    <w:qFormat/>
    <w:uiPriority w:val="34"/>
    <w:pPr>
      <w:widowControl w:val="0"/>
      <w:ind w:firstLine="420" w:firstLineChars="200"/>
      <w:jc w:val="both"/>
    </w:pPr>
    <w:rPr>
      <w:rFonts w:ascii="Calibri" w:hAnsi="Calibri"/>
      <w:kern w:val="2"/>
      <w:szCs w:val="22"/>
    </w:rPr>
  </w:style>
  <w:style w:type="paragraph" w:customStyle="1" w:styleId="89">
    <w:name w:val="Table Paragraph"/>
    <w:basedOn w:val="1"/>
    <w:qFormat/>
    <w:uiPriority w:val="1"/>
    <w:pPr>
      <w:widowControl w:val="0"/>
      <w:autoSpaceDE w:val="0"/>
      <w:autoSpaceDN w:val="0"/>
      <w:spacing w:after="160" w:line="259" w:lineRule="auto"/>
    </w:pPr>
    <w:rPr>
      <w:rFonts w:ascii="Noto Sans CJK JP Regular" w:hAnsi="Noto Sans CJK JP Regular" w:eastAsia="Noto Sans CJK JP Regular" w:cs="Noto Sans CJK JP Regular"/>
      <w:sz w:val="22"/>
      <w:szCs w:val="22"/>
      <w:lang w:eastAsia="en-US"/>
    </w:rPr>
  </w:style>
  <w:style w:type="character" w:customStyle="1" w:styleId="90">
    <w:name w:val="批注文字 Char"/>
    <w:qFormat/>
    <w:uiPriority w:val="0"/>
    <w:rPr>
      <w:rFonts w:ascii="Times New Roman" w:hAnsi="Times New Roman"/>
      <w:kern w:val="2"/>
      <w:sz w:val="21"/>
      <w:szCs w:val="21"/>
    </w:rPr>
  </w:style>
  <w:style w:type="character" w:customStyle="1" w:styleId="91">
    <w:name w:val="标题 3 Char1"/>
    <w:qFormat/>
    <w:uiPriority w:val="9"/>
    <w:rPr>
      <w:b/>
      <w:bCs/>
      <w:kern w:val="2"/>
      <w:sz w:val="21"/>
      <w:szCs w:val="32"/>
    </w:rPr>
  </w:style>
  <w:style w:type="character" w:customStyle="1" w:styleId="92">
    <w:name w:val="标题 2 Char"/>
    <w:qFormat/>
    <w:uiPriority w:val="0"/>
    <w:rPr>
      <w:rFonts w:ascii="Arial" w:hAnsi="Arial"/>
      <w:b/>
      <w:bCs/>
      <w:kern w:val="2"/>
      <w:sz w:val="21"/>
      <w:szCs w:val="21"/>
    </w:rPr>
  </w:style>
  <w:style w:type="character" w:customStyle="1" w:styleId="93">
    <w:name w:val="标题 5 Char"/>
    <w:qFormat/>
    <w:uiPriority w:val="9"/>
    <w:rPr>
      <w:b/>
      <w:bCs/>
      <w:kern w:val="2"/>
      <w:sz w:val="21"/>
      <w:szCs w:val="28"/>
    </w:rPr>
  </w:style>
  <w:style w:type="paragraph" w:customStyle="1" w:styleId="94">
    <w:name w:val="7"/>
    <w:basedOn w:val="1"/>
    <w:next w:val="56"/>
    <w:qFormat/>
    <w:uiPriority w:val="34"/>
    <w:pPr>
      <w:widowControl w:val="0"/>
      <w:ind w:firstLine="420" w:firstLineChars="200"/>
      <w:jc w:val="both"/>
    </w:pPr>
    <w:rPr>
      <w:rFonts w:ascii="Calibri" w:hAnsi="Calibri"/>
      <w:kern w:val="2"/>
      <w:szCs w:val="22"/>
    </w:rPr>
  </w:style>
  <w:style w:type="character" w:customStyle="1" w:styleId="95">
    <w:name w:val="称呼 Char"/>
    <w:qFormat/>
    <w:uiPriority w:val="99"/>
    <w:rPr>
      <w:rFonts w:ascii="Times New Roman" w:hAnsi="Times New Roman"/>
      <w:kern w:val="2"/>
      <w:sz w:val="21"/>
      <w:szCs w:val="21"/>
    </w:rPr>
  </w:style>
  <w:style w:type="character" w:customStyle="1" w:styleId="96">
    <w:name w:val="fontstyle01"/>
    <w:qFormat/>
    <w:uiPriority w:val="0"/>
    <w:rPr>
      <w:rFonts w:hint="default" w:ascii="FZLTSK--GBK1-0" w:hAnsi="FZLTSK--GBK1-0"/>
      <w:color w:val="000000"/>
      <w:sz w:val="20"/>
      <w:szCs w:val="20"/>
    </w:rPr>
  </w:style>
  <w:style w:type="paragraph" w:customStyle="1" w:styleId="97">
    <w:name w:val="6"/>
    <w:basedOn w:val="1"/>
    <w:next w:val="56"/>
    <w:qFormat/>
    <w:uiPriority w:val="34"/>
    <w:pPr>
      <w:widowControl w:val="0"/>
      <w:ind w:firstLine="420" w:firstLineChars="200"/>
      <w:jc w:val="both"/>
    </w:pPr>
    <w:rPr>
      <w:rFonts w:ascii="Calibri" w:hAnsi="Calibri"/>
      <w:kern w:val="2"/>
      <w:szCs w:val="22"/>
    </w:rPr>
  </w:style>
  <w:style w:type="character" w:customStyle="1" w:styleId="98">
    <w:name w:val="批注文字 Char1"/>
    <w:qFormat/>
    <w:uiPriority w:val="99"/>
    <w:rPr>
      <w:rFonts w:ascii="Times New Roman" w:hAnsi="Times New Roman"/>
      <w:kern w:val="2"/>
      <w:sz w:val="21"/>
      <w:szCs w:val="21"/>
    </w:rPr>
  </w:style>
  <w:style w:type="character" w:customStyle="1" w:styleId="99">
    <w:name w:val="标题 5 Char1"/>
    <w:qFormat/>
    <w:uiPriority w:val="9"/>
    <w:rPr>
      <w:b/>
      <w:bCs/>
      <w:kern w:val="2"/>
      <w:sz w:val="21"/>
      <w:szCs w:val="28"/>
    </w:rPr>
  </w:style>
  <w:style w:type="character" w:customStyle="1" w:styleId="100">
    <w:name w:val="批注文字 字符1"/>
    <w:semiHidden/>
    <w:qFormat/>
    <w:locked/>
    <w:uiPriority w:val="99"/>
    <w:rPr>
      <w:rFonts w:ascii="Times New Roman" w:hAnsi="Times New Roman"/>
      <w:kern w:val="2"/>
      <w:sz w:val="21"/>
      <w:szCs w:val="21"/>
    </w:rPr>
  </w:style>
  <w:style w:type="character" w:customStyle="1" w:styleId="101">
    <w:name w:val="标题 2 Char1"/>
    <w:qFormat/>
    <w:uiPriority w:val="0"/>
    <w:rPr>
      <w:rFonts w:ascii="Arial" w:hAnsi="Arial"/>
      <w:b/>
      <w:bCs/>
      <w:kern w:val="2"/>
      <w:sz w:val="21"/>
      <w:szCs w:val="21"/>
    </w:rPr>
  </w:style>
  <w:style w:type="character" w:customStyle="1" w:styleId="102">
    <w:name w:val="批注文字 Char2"/>
    <w:qFormat/>
    <w:uiPriority w:val="99"/>
    <w:rPr>
      <w:rFonts w:ascii="Times New Roman" w:hAnsi="Times New Roman"/>
      <w:kern w:val="2"/>
      <w:sz w:val="21"/>
      <w:szCs w:val="21"/>
    </w:rPr>
  </w:style>
  <w:style w:type="character" w:customStyle="1" w:styleId="103">
    <w:name w:val="标题 5 Char2"/>
    <w:qFormat/>
    <w:uiPriority w:val="9"/>
    <w:rPr>
      <w:b/>
      <w:bCs/>
      <w:kern w:val="2"/>
      <w:sz w:val="21"/>
      <w:szCs w:val="28"/>
    </w:rPr>
  </w:style>
  <w:style w:type="paragraph" w:customStyle="1" w:styleId="104">
    <w:name w:val="5"/>
    <w:basedOn w:val="1"/>
    <w:next w:val="56"/>
    <w:qFormat/>
    <w:uiPriority w:val="34"/>
    <w:pPr>
      <w:widowControl w:val="0"/>
      <w:ind w:firstLine="420" w:firstLineChars="200"/>
      <w:jc w:val="both"/>
    </w:pPr>
    <w:rPr>
      <w:rFonts w:ascii="Calibri" w:hAnsi="Calibri"/>
      <w:kern w:val="2"/>
      <w:szCs w:val="22"/>
    </w:rPr>
  </w:style>
  <w:style w:type="character" w:customStyle="1" w:styleId="105">
    <w:name w:val="标题 3 Char2"/>
    <w:qFormat/>
    <w:uiPriority w:val="9"/>
    <w:rPr>
      <w:b/>
      <w:bCs/>
      <w:kern w:val="2"/>
      <w:sz w:val="21"/>
      <w:szCs w:val="32"/>
    </w:rPr>
  </w:style>
  <w:style w:type="character" w:customStyle="1" w:styleId="106">
    <w:name w:val="标题 3 Char3"/>
    <w:qFormat/>
    <w:uiPriority w:val="9"/>
    <w:rPr>
      <w:b/>
      <w:bCs/>
      <w:kern w:val="2"/>
      <w:sz w:val="21"/>
      <w:szCs w:val="32"/>
    </w:rPr>
  </w:style>
  <w:style w:type="character" w:customStyle="1" w:styleId="107">
    <w:name w:val="批注文字 Char3"/>
    <w:qFormat/>
    <w:uiPriority w:val="0"/>
    <w:rPr>
      <w:rFonts w:ascii="Times New Roman" w:hAnsi="Times New Roman"/>
      <w:kern w:val="2"/>
      <w:sz w:val="21"/>
      <w:szCs w:val="21"/>
    </w:rPr>
  </w:style>
  <w:style w:type="character" w:customStyle="1" w:styleId="108">
    <w:name w:val="标题 4 Char1"/>
    <w:qFormat/>
    <w:uiPriority w:val="9"/>
    <w:rPr>
      <w:rFonts w:ascii="Cambria" w:hAnsi="Cambria"/>
      <w:b/>
      <w:bCs/>
      <w:kern w:val="2"/>
      <w:sz w:val="21"/>
      <w:szCs w:val="28"/>
    </w:rPr>
  </w:style>
  <w:style w:type="character" w:customStyle="1" w:styleId="109">
    <w:name w:val="脚注文本 字符"/>
    <w:basedOn w:val="40"/>
    <w:link w:val="30"/>
    <w:semiHidden/>
    <w:qFormat/>
    <w:uiPriority w:val="99"/>
    <w:rPr>
      <w:kern w:val="2"/>
      <w:sz w:val="18"/>
      <w:szCs w:val="18"/>
    </w:rPr>
  </w:style>
  <w:style w:type="paragraph" w:customStyle="1" w:styleId="110">
    <w:name w:val="KPMG Name p1"/>
    <w:qFormat/>
    <w:uiPriority w:val="0"/>
    <w:pPr>
      <w:tabs>
        <w:tab w:val="left" w:pos="540"/>
      </w:tabs>
    </w:pPr>
    <w:rPr>
      <w:rFonts w:ascii="KPMGv6" w:hAnsi="KPMGv6" w:eastAsia="宋体" w:cs="Times New Roman"/>
      <w:sz w:val="44"/>
      <w:lang w:val="en-GB" w:eastAsia="zh-CN" w:bidi="ar-SA"/>
    </w:rPr>
  </w:style>
  <w:style w:type="paragraph" w:customStyle="1" w:styleId="111">
    <w:name w:val="Branding"/>
    <w:qFormat/>
    <w:uiPriority w:val="0"/>
    <w:pPr>
      <w:spacing w:before="250" w:after="260" w:line="240" w:lineRule="exact"/>
      <w:ind w:left="1570"/>
    </w:pPr>
    <w:rPr>
      <w:rFonts w:ascii="Univers 55" w:hAnsi="Univers 55" w:eastAsia="宋体" w:cs="Times New Roman"/>
      <w:sz w:val="20"/>
      <w:lang w:val="en-GB"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glossaryDocument" Target="glossary/document.xml"/><Relationship Id="rId15" Type="http://schemas.openxmlformats.org/officeDocument/2006/relationships/fontTable" Target="fontTable.xml"/><Relationship Id="rId14" Type="http://schemas.openxmlformats.org/officeDocument/2006/relationships/customXml" Target="../customXml/item5.xml"/><Relationship Id="rId13" Type="http://schemas.openxmlformats.org/officeDocument/2006/relationships/customXml" Target="../customXml/item4.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UI\AppData\Roaming\Kingsoft\office6\templates\wps\zh_CN\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11111111111111111111111111111"/>
        <w:style w:val=""/>
        <w:category>
          <w:name w:val="常规"/>
          <w:gallery w:val="placeholder"/>
        </w:category>
        <w:types>
          <w:type w:val="bbPlcHdr"/>
        </w:types>
        <w:behaviors>
          <w:behavior w:val="content"/>
        </w:behaviors>
        <w:description w:val=""/>
        <w:guid w:val="{B960C2E6-8E28-4930-AAD5-AA36AFD6E523}"/>
      </w:docPartPr>
      <w:docPartBody>
        <w:p>
          <w:pPr>
            <w:rPr>
              <w:rFonts w:hint="eastAsia"/>
            </w:rPr>
          </w:pPr>
          <w:r>
            <w:rPr>
              <w:rStyle w:val="3"/>
              <w:rFonts w:hint="eastAsia"/>
            </w:rPr>
            <w:t>　</w:t>
          </w:r>
        </w:p>
      </w:docPartBody>
    </w:docPart>
    <w:docPart>
      <w:docPartPr>
        <w:name w:val="GBC22222222222222222222222222222"/>
        <w:style w:val=""/>
        <w:category>
          <w:name w:val="常规"/>
          <w:gallery w:val="placeholder"/>
        </w:category>
        <w:types>
          <w:type w:val="bbPlcHdr"/>
        </w:types>
        <w:behaviors>
          <w:behavior w:val="content"/>
        </w:behaviors>
        <w:description w:val=""/>
        <w:guid w:val="{1F823479-1B2C-4501-A4CD-13FF47B8C52B}"/>
      </w:docPartPr>
      <w:docPartBody>
        <w:p>
          <w:pPr>
            <w:rPr>
              <w:rFonts w:hint="eastAsia"/>
            </w:rPr>
          </w:pPr>
          <w:r>
            <w:rPr>
              <w:rStyle w:val="3"/>
              <w:rFonts w:hint="eastAsia"/>
              <w:color w:val="333399"/>
              <w:u w:val="single"/>
            </w:rPr>
            <w:t>　　　</w:t>
          </w:r>
        </w:p>
      </w:docPartBody>
    </w:docPart>
    <w:docPart>
      <w:docPartPr>
        <w:name w:val="{9fc1567f-3937-4f6d-bdbb-b74416bb8306}"/>
        <w:style w:val=""/>
        <w:category>
          <w:name w:val="常规"/>
          <w:gallery w:val="placeholder"/>
        </w:category>
        <w:types>
          <w:type w:val="bbPlcHdr"/>
        </w:types>
        <w:behaviors>
          <w:behavior w:val="content"/>
        </w:behaviors>
        <w:description w:val=""/>
        <w:guid w:val="{9fc1567f-3937-4f6d-bdbb-b74416bb8306}"/>
      </w:docPartPr>
      <w:docPartBody>
        <w:p>
          <w:pPr>
            <w:rPr>
              <w:rFonts w:hint="eastAsia"/>
            </w:rPr>
          </w:pPr>
          <w:r>
            <w:rPr>
              <w:rStyle w:val="3"/>
              <w:rFonts w:hint="eastAsia"/>
              <w:color w:val="333399"/>
              <w:u w:val="single"/>
            </w:rPr>
            <w:t>　　　</w:t>
          </w:r>
        </w:p>
      </w:docPartBody>
    </w:docPart>
    <w:docPart>
      <w:docPartPr>
        <w:name w:val="{8ce09b81-5df1-497b-9965-5c81ae235c63}"/>
        <w:style w:val=""/>
        <w:category>
          <w:name w:val="常规"/>
          <w:gallery w:val="placeholder"/>
        </w:category>
        <w:types>
          <w:type w:val="bbPlcHdr"/>
        </w:types>
        <w:behaviors>
          <w:behavior w:val="content"/>
        </w:behaviors>
        <w:description w:val=""/>
        <w:guid w:val="{8ce09b81-5df1-497b-9965-5c81ae235c63}"/>
      </w:docPartPr>
      <w:docPartBody>
        <w:p>
          <w:pPr>
            <w:rPr>
              <w:rFonts w:hint="eastAsia"/>
            </w:rPr>
          </w:pPr>
          <w:r>
            <w:rPr>
              <w:rStyle w:val="3"/>
              <w:rFonts w:hint="eastAsia"/>
              <w:color w:val="333399"/>
              <w:u w:val="single"/>
            </w:rPr>
            <w:t>　　　</w:t>
          </w:r>
        </w:p>
      </w:docPartBody>
    </w:docPart>
    <w:docPart>
      <w:docPartPr>
        <w:name w:val="{d730141c-63f5-45b4-a047-a32d1ff1d4bd}"/>
        <w:style w:val=""/>
        <w:category>
          <w:name w:val="常规"/>
          <w:gallery w:val="placeholder"/>
        </w:category>
        <w:types>
          <w:type w:val="bbPlcHdr"/>
        </w:types>
        <w:behaviors>
          <w:behavior w:val="content"/>
        </w:behaviors>
        <w:description w:val=""/>
        <w:guid w:val="{d730141c-63f5-45b4-a047-a32d1ff1d4bd}"/>
      </w:docPartPr>
      <w:docPartBody>
        <w:p>
          <w:pPr>
            <w:rPr>
              <w:rFonts w:hint="eastAsia"/>
            </w:rPr>
          </w:pPr>
          <w:r>
            <w:rPr>
              <w:rStyle w:val="3"/>
              <w:rFonts w:hint="eastAsia"/>
              <w:color w:val="333399"/>
              <w:u w:val="single"/>
            </w:rPr>
            <w:t>　　　</w:t>
          </w:r>
        </w:p>
      </w:docPartBody>
    </w:docPart>
    <w:docPart>
      <w:docPartPr>
        <w:name w:val="{a3681ecd-4ba8-492e-892a-84bb689490a6}"/>
        <w:style w:val=""/>
        <w:category>
          <w:name w:val="常规"/>
          <w:gallery w:val="placeholder"/>
        </w:category>
        <w:types>
          <w:type w:val="bbPlcHdr"/>
        </w:types>
        <w:behaviors>
          <w:behavior w:val="content"/>
        </w:behaviors>
        <w:description w:val=""/>
        <w:guid w:val="{a3681ecd-4ba8-492e-892a-84bb689490a6}"/>
      </w:docPartPr>
      <w:docPartBody>
        <w:p>
          <w:pPr>
            <w:rPr>
              <w:rFonts w:hint="eastAsia"/>
            </w:rPr>
          </w:pPr>
          <w:r>
            <w:rPr>
              <w:rStyle w:val="3"/>
              <w:rFonts w:hint="eastAsia"/>
              <w:color w:val="333399"/>
              <w:u w:val="single"/>
            </w:rPr>
            <w:t>　　　</w:t>
          </w:r>
        </w:p>
      </w:docPartBody>
    </w:docPart>
    <w:docPart>
      <w:docPartPr>
        <w:name w:val="{ff8fce9b-2055-4697-9599-f0bd02fb5114}"/>
        <w:style w:val=""/>
        <w:category>
          <w:name w:val="常规"/>
          <w:gallery w:val="placeholder"/>
        </w:category>
        <w:types>
          <w:type w:val="bbPlcHdr"/>
        </w:types>
        <w:behaviors>
          <w:behavior w:val="content"/>
        </w:behaviors>
        <w:description w:val=""/>
        <w:guid w:val="{ff8fce9b-2055-4697-9599-f0bd02fb5114}"/>
      </w:docPartPr>
      <w:docPartBody>
        <w:p>
          <w:pPr>
            <w:rPr>
              <w:rFonts w:hint="eastAsia"/>
            </w:rPr>
          </w:pPr>
          <w:r>
            <w:rPr>
              <w:rStyle w:val="3"/>
              <w:rFonts w:hint="eastAsia"/>
              <w:color w:val="333399"/>
              <w:u w:val="single"/>
            </w:rPr>
            <w:t>　　　</w:t>
          </w:r>
        </w:p>
      </w:docPartBody>
    </w:docPart>
    <w:docPart>
      <w:docPartPr>
        <w:name w:val="{09968093-58a9-48be-832e-e5842b7c14b4}"/>
        <w:style w:val=""/>
        <w:category>
          <w:name w:val="常规"/>
          <w:gallery w:val="placeholder"/>
        </w:category>
        <w:types>
          <w:type w:val="bbPlcHdr"/>
        </w:types>
        <w:behaviors>
          <w:behavior w:val="content"/>
        </w:behaviors>
        <w:description w:val=""/>
        <w:guid w:val="{09968093-58a9-48be-832e-e5842b7c14b4}"/>
      </w:docPartPr>
      <w:docPartBody>
        <w:p>
          <w:pPr>
            <w:rPr>
              <w:rFonts w:hint="eastAsia"/>
            </w:rPr>
          </w:pPr>
          <w:r>
            <w:rPr>
              <w:rStyle w:val="3"/>
              <w:rFonts w:hint="eastAsia"/>
              <w:color w:val="333399"/>
              <w:u w:val="single"/>
            </w:rPr>
            <w:t>　　　</w:t>
          </w:r>
        </w:p>
      </w:docPartBody>
    </w:docPart>
    <w:docPart>
      <w:docPartPr>
        <w:name w:val="{938d025e-689c-4f98-96ea-31562c9fc58b}"/>
        <w:style w:val=""/>
        <w:category>
          <w:name w:val="常规"/>
          <w:gallery w:val="placeholder"/>
        </w:category>
        <w:types>
          <w:type w:val="bbPlcHdr"/>
        </w:types>
        <w:behaviors>
          <w:behavior w:val="content"/>
        </w:behaviors>
        <w:description w:val=""/>
        <w:guid w:val="{938d025e-689c-4f98-96ea-31562c9fc58b}"/>
      </w:docPartPr>
      <w:docPartBody>
        <w:p>
          <w:pPr>
            <w:rPr>
              <w:rFonts w:hint="eastAsia"/>
            </w:rPr>
          </w:pPr>
          <w:r>
            <w:rPr>
              <w:rStyle w:val="3"/>
              <w:rFonts w:hint="eastAsia"/>
              <w:color w:val="333399"/>
              <w:u w:val="single"/>
            </w:rPr>
            <w:t>　　　</w:t>
          </w:r>
        </w:p>
      </w:docPartBody>
    </w:docPart>
    <w:docPart>
      <w:docPartPr>
        <w:name w:val="{bcb51c6b-14d8-48c7-be28-9d0f645d959e}"/>
        <w:style w:val=""/>
        <w:category>
          <w:name w:val="常规"/>
          <w:gallery w:val="placeholder"/>
        </w:category>
        <w:types>
          <w:type w:val="bbPlcHdr"/>
        </w:types>
        <w:behaviors>
          <w:behavior w:val="content"/>
        </w:behaviors>
        <w:description w:val=""/>
        <w:guid w:val="{bcb51c6b-14d8-48c7-be28-9d0f645d959e}"/>
      </w:docPartPr>
      <w:docPartBody>
        <w:p>
          <w:pPr>
            <w:rPr>
              <w:rFonts w:hint="eastAsia"/>
            </w:rPr>
          </w:pPr>
          <w:r>
            <w:rPr>
              <w:rStyle w:val="3"/>
              <w:rFonts w:hint="eastAsia"/>
              <w:color w:val="333399"/>
              <w:u w:val="single"/>
            </w:rPr>
            <w:t>　　　</w:t>
          </w:r>
        </w:p>
      </w:docPartBody>
    </w:docPart>
    <w:docPart>
      <w:docPartPr>
        <w:name w:val="{217548bc-6e9f-47fd-b8b4-231e90d9f3ab}"/>
        <w:style w:val=""/>
        <w:category>
          <w:name w:val="常规"/>
          <w:gallery w:val="placeholder"/>
        </w:category>
        <w:types>
          <w:type w:val="bbPlcHdr"/>
        </w:types>
        <w:behaviors>
          <w:behavior w:val="content"/>
        </w:behaviors>
        <w:description w:val=""/>
        <w:guid w:val="{217548bc-6e9f-47fd-b8b4-231e90d9f3ab}"/>
      </w:docPartPr>
      <w:docPartBody>
        <w:p>
          <w:pPr>
            <w:rPr>
              <w:rFonts w:hint="eastAsia"/>
            </w:rPr>
          </w:pPr>
          <w:r>
            <w:rPr>
              <w:rStyle w:val="3"/>
              <w:rFonts w:hint="eastAsia"/>
            </w:rPr>
            <w:t>　</w:t>
          </w:r>
        </w:p>
      </w:docPartBody>
    </w:docPart>
    <w:docPart>
      <w:docPartPr>
        <w:name w:val="{4f3f4643-dfcf-4d3f-a4de-1827e39c45a1}"/>
        <w:style w:val=""/>
        <w:category>
          <w:name w:val="常规"/>
          <w:gallery w:val="placeholder"/>
        </w:category>
        <w:types>
          <w:type w:val="bbPlcHdr"/>
        </w:types>
        <w:behaviors>
          <w:behavior w:val="content"/>
        </w:behaviors>
        <w:description w:val=""/>
        <w:guid w:val="{4f3f4643-dfcf-4d3f-a4de-1827e39c45a1}"/>
      </w:docPartPr>
      <w:docPartBody>
        <w:p>
          <w:pPr>
            <w:rPr>
              <w:rFonts w:hint="eastAsia"/>
            </w:rPr>
          </w:pPr>
          <w:r>
            <w:rPr>
              <w:rStyle w:val="3"/>
              <w:rFonts w:hint="eastAsia"/>
              <w:color w:val="333399"/>
              <w:u w:val="single"/>
            </w:rPr>
            <w:t>　　　</w:t>
          </w:r>
        </w:p>
      </w:docPartBody>
    </w:docPart>
    <w:docPart>
      <w:docPartPr>
        <w:name w:val="{73c0a9c8-0d98-4571-ae8d-be29f44a5b03}"/>
        <w:style w:val=""/>
        <w:category>
          <w:name w:val="常规"/>
          <w:gallery w:val="placeholder"/>
        </w:category>
        <w:types>
          <w:type w:val="bbPlcHdr"/>
        </w:types>
        <w:behaviors>
          <w:behavior w:val="content"/>
        </w:behaviors>
        <w:description w:val=""/>
        <w:guid w:val="{73c0a9c8-0d98-4571-ae8d-be29f44a5b03}"/>
      </w:docPartPr>
      <w:docPartBody>
        <w:p>
          <w:pPr>
            <w:rPr>
              <w:rFonts w:hint="eastAsia"/>
            </w:rPr>
          </w:pPr>
          <w:r>
            <w:rPr>
              <w:rStyle w:val="3"/>
              <w:rFonts w:hint="eastAsia"/>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0000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sdException w:qFormat="1" w:uiPriority="99" w:name="Normal Table"/>
    <w:lsdException w:qFormat="1" w:unhideWhenUsed="0" w:uiPriority="99" w:semiHidden="0" w:name="Placeholder Text"/>
  </w:latentStyles>
  <w:style w:type="character" w:default="1" w:styleId="1">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3">
    <w:name w:val="Placeholder Text"/>
    <w:basedOn w:val="1"/>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sm4><![CDATA[KQ5XcsWy+lSfUWGnXSWYbcQhzI/RTiBI1UuFhHxg3sx2WU6DOZd1ruUi8PcIQcj8KKU0X/4nKrdZ
TQgpB/3oF9PIwLFvpo6iQtnAV4ka5WGY0yBzvUEmh+X6vP7TLsoaDxKB3VL6LNbi6kx6zAApu+sE
lOnBrqip+WR3c5YBdWMfxMTpA+msAkhnEtHuvQKfDkJiQ+dH2Zc9Q0zzWI/JKyBRHE+lhlUdLnNK
1GjJh5N5jpArSLURO64bmNIv4Fzmn4KDvRAEQeBlz31ZTsTRnCCh4Unelsu+iFVtUA9GpSOlnMKa
AjG3i7u4rNyPduNNpbMK8rnDF8SxiD3sayfr27wmILLrhGEcH2fhfN9bryoTLmceTq/Ec4dW0LcR
C0hK+Uj3x1e5TBD0HBS6RPSupA6i+oof40gShTS70nlvhSiFaiv/Bvqf4U5JNOUP3slWFe+lvcuu
13OHb37DAeM/YWsui4jxI+ToKheBU5tWZ/SKZvD3EV7hlm0yAQiFhCmiCqVkQIgr+nNJ3LJwH1oM
N2T7uuursGrQlYqbH2Uxu2GthujHUEyNN10yVlRf7WtR5VYW0NgCa4fF3avh2Hb9ldfB23gir7kG
xNHCQhoFdMvoA1fT5SqqvE3E2ey2whGgicqdu6DcCzRaEBPWulFMLTzC2+iJVjmPTkd9P1GLJxn/
L3Nl9rsYSrsCiUrp9J/1SdrJfOS/DAZu3W1VBDIb6woxkZbGexQC0ZxQu74dgjPoug+F3RwMWot2
r4YX0sAlgqos9U3+pL22f0TLVzIizXGb9PYNLmLZWe86hqlYJPUlWN2lkwvBa853fy81wrKN01iL
370QmkdDu9ySSvN/Mnz8/2Vj2bn6KcFhFLUzFdzbMrDuoxznFCl3H5YbESzdFkJ8EJ4NvI9k5yzj
G9iZqS9PPnSLjZOCGhgq0TuIYKKknxwC3KEROvGDwwLxB+WXyw08tnSuB8XWR8m51fN0JyYyQDD/
10tIMCiGNmyA6orI/6IFQ2i8fFSiYdWqephEQRb1urmwtUKPOE6TUWa216Y94UF6zdMEiETXjPGE
0mb7yR9ORLd+Zgb0s+DbpMywt9pjTv1QSdp17ByzM45UjLbNxUj8pSbP6A4YbNfnRUSsulBue3l0
0aXmZ3qPEA/SA6A944kAcqN23gWKf6sIllnbOGatstlYzNmRTy1Y7NTtmCxnTmWgPmDHi3zXepvT
xQZ092EIq4FW5T33W/SjFvAeguFTt+OqTCUom7spCPFZP3xhGOEUAkoxlnGYp1UaANMYnT6YAmpr
cGbG3/tafoO996Ol4Z1B1NSuyRLOucDw6mHUGXwzZ99I5xizKIq8nlG/hYE0ZN6YJ299vaFzkab1
CSavMIwro93v86h0rlIEogc8v0op2NFxszVcJ43HS7hRjZsdC1cSb+vkDJu01AVnv5WmcjQDwLNr
gPpvYuYmXPQNohFXxXt2qhXzpLfI2gCi9XFu3P+A+APt00D18QbdLHQ0X58KGux7SO6hOykere0O
ZUzKdQUL6Cy+h9U/iDWL0BlXdQDlDbYkYkTrUl8R4dyEyrXafgHMKchSPKQ3DODCjD6hhaIsA7s8
hoymqO7NBiukbev6oz4pZJZDgiY+tB9u4EXQ0w1hVQvYggeNRAa15dE/nDE7fylmXSrIqw+7IVlE
aEAJoZ97q5N1eORsXTS9hYkEyhICwnvTWqhvKAe0o+q1Ly4k0wPdBtqUdqBlKpi9cZjOmlTmdLo0
9burFWV12lt17wsdOE2BNJYNY67wgZxggE7fdGWWwnj6sin1KwB0SA2ODlScsKgh3/Ko5g66VS3m
P+sl3WoN87/M26JN1Cz58/2euZe67ENkifVc+BRyBpRFP8TrtXtr/T3CSmCRL7uNAZKV7uK4RFRs
3x+O78dIOhJ/7t+RtmU/0jsTQdsIb7FwZN5Z4ZBgBMppIVWELLGWuAFJ1gRz8GM5nblcx+lESlkp
Iu97PSSjwO71d3O1N8bZEOOrav0jrKsxFE+S1gHz+f0JK+UnJhs5jZO5ePag3zKVhau5Fz0L/aPy
WKpEWsb7haSJv9/sgfbK2ge2AmCYG5pShqaMDic/1yL2+uE5uQaEgx1pmdV6fT8DvFc1R9qTwmfz
1rysuOv369+SAgWHp/yLRzSDL4IfWjLBqUM+WfNMSjmtFBjYhnOh7Ky6pbKGhTNwaxcVY8OOQ82X
Rrj13KpFRWVC/Ztg9Z2yg7ksGTSOqBKheMfEmmQklU8swi76tGzundvk7254GeAqL4xvzCwO+etf
4Tls2PKN/aaVVWolRTfztq6SCEAVr+jsI8GLcrVjjDbMXUjBv47hbgX5EFoWX6uUls7tulPzsqKD
9WJIdYerftvufJmE8T4YkOtYgMj0N4oY8g+vE9YqTGjoI9Av6h9It0rfO+rnYJBbueBmxeK3a2pi
X9dYC4m5wpuEXQMboZd9qM7k6bStNDtP/GCPOGNaOSDKMHEtVet1WCJRkm8TZXpgiUqMwPa+kGKS
WXR1QzsaoExDTBrqROckQOHbc8bvaCKDPLMj7ejEBeRWn4uSrRu2/xbkEJbXE4rl4r3Jft4DcoLy
vFhyGIzJKJrvxpK1e1KvboQziz0h0SYwMG3mIIM/8VWixMx7ZlKwZUvXnPJdtBnYXGi/gz9mtDTN
mp4uIH7YPuQAU6QjeBc1ZyX+FW4AdT5F+ElfOUBefdrKBRdjrSJqsIdkrUsvp9pz4oFIorjiZuu7
l4LSRVEtyDEP1ZmSvA+ZMdBo5VCT3Z6W21E5RR0TrcPUkTCIXhn7l1pnbmnpZ1+aqTePrOiU8d/9
Qk2HptfFu707u72vM9Iv1DYJAoekntDLzZdBfSDL9gyOjmDq1oCZCDW8DbUz9EuIjwp5gyaVdiUX
cfQhd/9JBv08DnzCayjDpKFU4srMOUtRHRA8loHBdJOc1WOfol8Mvwy4KhPm2ckhCKGA4QQ0/0Sn
fMD9Az1QHlwjFHRcecUHpK/ZhsAI/yVJk0gIcmxZ3abFVhc17KQAfAPmUdj3CDVfiA/LOWpiyF/X
p4qnOqnOsTZUWVyWRHb34zcu/98eL+UetjrCB4KlhWoaFXNEbpveWGdfP5Mz9W1CpVthB1Ap62fI
W8edQJsM+8Zz0DeVZWNYzMS+mayhOhqPF2jEUaowlR242wnaX5qeOlQPvv6lv/sBKtbRie2LSOMP
Ai+BiGPu5xrHKK3cxgY3uwonvNVXtYGkwdu80ILve45Bk7XoMKRFk3gjixusDc/pWRBKjWkiD9jV
jy/xo+GxxG/xj1Ft477YsSmNVW/RMAELprv9lsMKtIiZ/Io7zEALyHcZLY6pHG9W4IS2IQi4WZFL
0ErWpBtPkxdwfkf983ainQyMADlj6RXSaazVzgTQu1iXySVL3pCKyU9LkPsblY4FiPAUhI9FWc+2
a00zfMkLFn1dB4X7FNxteBaXNJ0uD+aAywDemSUKZoVtLpHg+D7gdK6OM+bnxz2Dy4v3ymeO05uL
IxvbVeg+Lgb1uTe1i6OIIvvEUnNrI5MzYXKkkC4THT0eumikeYDZvgGAtaZWFsmOcJLWO8GslCcE
pK8ekQE8WM3vz8oLtA0NmDjsEJ6F8JbKJbUI7GNCQeeXzTfq2XEIS/EIYC5bVGBLTURltS2Yv2XQ
dZkEvmt2p8vZYxarF8MZFbsIa0+QH5j1eGIuxMoACWvNEZcXGpRzlVIF0c5Ej6zSjEkOmesdJSKI
FidZlbrN1XqwBzYRANj77IsSbAAoZcuNe62LBa8EkQt2Ta+S6M3m7oCq3I3bRxuR3IXSEwlYToQ9
dw1nGnYvHhfbRuSNRSKNrWuXWUYAP/HGUh6en71mYCHt5hwIdgY81y5Lr/65OEoAPyM0YqPPzEjq
aQgSJkkKJNjQbRPThElxAgzqlik0KDr6ViA4iTm2wMDHoBZgny1/xqNzey/nRW8zqlqbnblTulIn
Mf03csAJkFp/zCypoXie5ru9l5r5QgQTTauA8DnbYlOrv9culYYMU1bH7Ceg54vlO7M3wyNvXmv6
f0Lmg/CYSDRVSTvxZjCwAsfzofYUPICO5F/s2MpUaRscKqMCp2pQN/QgkwaZvKucdqQajoYMtaTe
VYAKlGngnh3RdQiFsQGXnVib+An4qKmCIJcKDja2wn3mBhG8OIWQANCaA8EYMem07mUtbNUPw6/H
wRTRyUpa2GxSf7Tf4JigzoumswZxqJ6AbMrLtGDY1sIN7VjmzjQcowERNUF7nOm3LHzvIXR5d9It
hPnPXkr+2IKbyH21WqscVFZjn4OSg3VxBmfh9Uoe9pSWN0CzKedjqg6CHYBUV5sp+IEIxVPliRlb
pm2lJPknsQxkBQM/UuLYlPTNZ8EH307eJTO7UCetUJOmZ9iCLNApLC0D8eA9qetvkKQRIPUrypZo
fN4RfXxQcTtcRE/U26o5R26AdiueNT2XI9Bl6dhVNsmdwu6pPZ4Dt0bLz5asZoC8IkVOsMYuLMcI
Et/0o91W3IUUk3s6rZLLxeXPAcGDFJuNn2poCdEhbms0TGJn9aWbaAlubKrVKteE6R70WmaxMQvZ
EvP1CuWwXuhy4ogmiKsVEUJpdUZ+h3iKNdozNEd3cH0epwqpHH/SWzXgwMaZNi7wyrbToSIwV+XQ
TQ5yYlyYCP+xiCuGkxxlR1pGvHMuqsbr7xcdkCqxaqFNgESWlP2JgqMTLkq9cRH5UK82qdnoRm/g
HN4OnYUwCtfYaqQTskubVuJYEPz26vZUB9M3mrTd+0QZzA3JrsxhSiP3tJ4zT8Cx8AgSTY60ztab
nXdKTZWg4qVkdl8tJlGkMc9XbKHlRyOJvi7ZCWlb4iRwCdIRr+BiNYaZ+hwtPozWqD3TsOtMfpW2
b36Hc4lX+3jeL4GQN4B15W528GoGkXNtOFN1A3FK4SWts22vCA7unxJxwhGOoQPrN1l9JiNRT/dy
5uWL9/kXZRiL3EYOmi0QeUTsniSUG+uTElXosH3d9tMCVNSOYe4JFPc8Wsf3l5vwV/PcS8i87303
LPacCujR1Z75zohaFEePJnMn1/O+fDhykP5oBp6t/0UX/DpsOjLqTpEfxERe57glssDG62rD0VB7
hYLILDSE7xwMDJEKlSmBiwTDyPvwQIXj0P4zM3JupiQGHoQbV3tnKutxmA7hV9iPj0qvKo5Nwpj6
p9BwbZH3ILmvbycqn3wOwCix+KsNUN1JS8pDZudU0jGzgHMNns6YFYF1jQYS/w542Ct9EnjcsuDy
0pm2M0L3RYQOnHJO6AxLNKtLI4GM4Xcvdpc2MBGqaG2qfghfyIV1ghZJx4Cmeqvbq/ZtlRrkVl19
C1lL6DyTypffxj0gdS0gjCbAOcBYmUUuNWLnxwyll/wBR9Z69gJm0D5eCjLSvoVFnjrDESzUuT9V
rlYtcxoe4mdSJ5dF8Ztiv+VzVHhU704jod/Fsa8BM+h2gxdvAOs5RVB6wPRr8lqyZDUVwxfXQazt
yvQzoblp17SDAz4tZ3aNAJFFhJD2Kgzw3uSHDSpNomy4iQY3wsd4TFdhmwEwapey8stABCmusBf3
PPtGz6v42W8pF14G0Q0oJqNCz6Mzbf4jzABpTsHK7nhy+J5LO1aueTI6XEJov6+PpAV892mwO/xY
2RYA44fqOMR0oLIM1gTKm9cIbdGsTE+ImIPT9YHb9ekq9N5X76RANVaR1VrAd7BR7i8glvns9PzK
kRA06xEu0iUnVQCWxON+3ItNBW4kcrsRESRz2WMzs9nw7UEnkz4bx61+oAez1ENIik97GYS1pbNK
VY0yn3N2LBGwUy+bHfrw14wIQaM7Dx2zMbfGdXzH/sONhRsi/k6moNejlRlSWy1TJJdLNd9zGYLn
OOyMp0fbpypZf3biKvVr4uDQ9b2FXsBRdHseaZV08aY+2+J60VYWJQPc7nRnP77NgRfbl5jcESac
1wb9EoNoPXhitTA33gai8d/T6Jf2UI7W0jWH+2CzrWgVMvmRVDQ5OZCNE0rcH2C1hYF/3MZPrH75
ZAAuxdqL/MLwTlkPfaa9Fd8AoMfg/Wa6bEmY+GNMoDMiUYuEr0t45CIhxUEnaMccWy+PRfJjTbVR
VFGLRq2fw3dYMZpNrMjNCBXjfEP2ahCWQmA1mQZscKPuWXzj8W9urs1Th5Jxsiu3lqUxKuhTX7VK
9h1NnBV3JIdoj03le2YKVOJFIBwc7eHMGqfbEhSSD2g+ocC+GXBaTAdO435xvN7B2jukgGqGMxMl
9ALgAHJkAkMBnCu0tPMehYtAsq9VmkFeRibF8TTC0+Exht9J9l5jiccwfEMfjkfLcD45nvN18ML8
F+Z6GFYZY20Sn7E9uoEBcjxaghJWMx+It383u+edOj4j4OSnJj2rLCVoyWXi+WS17pWXfTwR5lWw
9Y6qx+As0rsbRopnJnYE7EpFffAEcraDoK+LkamJo+0epR7Yn8+ynNgDo8psHzrd6AUXmRsHuNn9
WGanOw7355dnf7NVS3+nN6ysL5ApJ0FTxZ1ioJCAEjlC8TcTD/Ff1UbsiRsthq+mD3H6PjOCrwMQ
z5lR61jUwRFuwctyBwLfanCpvGWe70gpCtKxr0d68+Gj71WUb65HIZFslCogobFATXY6Ddo8+CKH
9mgJyPIMw8INnXJ6ubymADsBJ3+46vAF/QXkSNy0TTfvD+ko+ASWqiaX/y7+2hy2/PcsOlfrYSNj
rjLfKmErYYnDlvPTzlUsdVHTiWcuuqQpNL/cZw+qR28UyeYEyBHJU7U2/TVXHB9RksFvPr+tWBzy
gxF8rNweYzwuUg48LqedA0+phWR/0c2NkkLRS66tiu6QRqB1+r4ANOe38GM9j9KaHKq5dJ9V0AJI
crslXv+mx6/yjoefLuXFvekI5lehCPUYvZYOinbLpDa+OIZKqzrmYk4lwIyS4rqhj+V/ocsvSH1v
23Pa+URMLukGzTaB2YcWiHKNzVcv5OiqQaZastheteTwXIwBw+quAwT3TlopDJdm9fQ4tuSgZOey
mtvwLMRiBttItCMbMdQrFipENtHFJ+I6NWXf0bmwQz6XDxRB74z+UtrGe3t9UlqVLX28sUtvRi1E
sxgx1/FlL8/P483BV9vapL0Kvur/2WXMMSARcqXzYMkkMrHRt82PkqFIeuWbwjMd6Ba+4ZQUZqaS
F7kszBlHdE4MRPOw0OrkKhyaXL6wx/PCmPVfzUYYuSXhbnDxPjoRhgTpVE/Z8Rpvs2kaMc2ygrFh
MNqjTvAsYjkXV63EN/VRlPjApjPI7kkreQXWwWoHFd5B0jK9SVo+WXcXJxcY4NdbIHlfbALoQ8Qx
RpzwvWtVj526jCu3mk1mSI6Da2K9UAzH/m/AXhMvwmGKJomQbu6C4wVycLdRDzFGl5+Eyl/ZLiMc
QWX+o9eR6CikUNql6TKGHDxTEG9tuGG/JPMuPNz5U/Wbdh5OY94D+Jv6N/u/vwbF5Dutus2BwUGo
xclCUrkFxmTCdQv0dPrKA5Vmk+ZpZ5eFShcZUBxVTJHVsaparW35DwMCuqkoTEMTfkjWXB1AlnEl
MrNNM+B2/RUPzOIz1UggGimaU9mWgLs6/rWVidY4DpwYbMlF1faGpSlLTjt96zVD3cjtyxqnFJQD
tUsrFpvtJ32fAVUExEOtQtxYgpYGe4yOH5/Y4nocO+XtqmYdcdO/AZ1YRSxITvfAXXJsmOr1fMm+
N5aOUWYV2kmdVefTsu0ChjSpzlaqzaUFbqez0FoPQbY8rB6T25joxXyEG1qylROPaWlm7U9wGUS1
SKHcvQF9lVb8fjilN54fd0aQpd35nddZ91aIzvTmRI6aTZtlvqu8mnJwdVSzB/zZ9OyRYI8Spfmn
stdBvUwccPwI74NjH2J5cwL7KGAdImZtAekXBWlcGwepURnq2JSZ1heq/xKsBsX2ZBbNqiYG1dgZ
cTCBNeqNtMVubFcvBhYZS2cXwpUk6tOBeY1qlhY1vZVVuiMgaCTbr3NhrUN8Pr3aroqot/ZNZE5A
12r5r/TvVMvq5sXul5tYo6ZKsMpkDCxWmYeZEx9S0KJJK3JjEA9byIQTKNRvKirsvC1doh8tD13W
pHCnpRcW1C0Ys1DFuljMW6fg1c5QT840hCjOHLwC5TUlIqHoFjXupBID2mHtLF5QbVu1gM5G3lM8
THEjm2hjFWOPM+PI4l7GJiei5RmIN/SeHEQGOkqKoMzFh36DCGxD1D/h4st2tPgYCPnTHY+b1IUs
aubHWknUDivXejBEq4m12nBJ+8qUCpahGlX830ZcKabjGLYjPi9eldtH0g5/4+wndtb5h2FDuQTk
9649V4g4QQ0trBC4/dccpyyTnz4CCPPtdLr2s2YxCe5QfGni+IOssOV9A/nDdJltyfj+QBx4j3Fy
S6sl8QMNTK00rBvBVBdxmKjcryzlfnXrx2T8kP085KTG+r8X6tA7ij5G1Qjzz7G+pOlaHiWzPAzx
zs9n+lI7N1Yv5WG2nll9JfepOXOHgUNJVFK55GeJYrR5Da0scBPcVJkHi1/fJw24/2uCqR7oQfbh
Yi+2pt5QPAyfqpEJY9Hari1SOcpKau3Srm/cYiXH6GiDONR/lMe/hlBhaGEyZD+K+QM5Nduwxd/o
+fhqdxwh3q5kNnN+gUAIM82WtexSef/YXQWO00b9JNto7jg1BA04IjMW2zss2aKCvyUIjS3YJLBB
NLrPqeK0nQ0afjOJbC0nY1Qaxzh9tJCsjOAjd8+TEg6JZm1IT+TJ0Iub4L/KjjVdpeGKvv6GZK2Z
xlOE1Rp3Llnw5jMe/PU8VW6ocOFW4+YQkY3+XHiU2GVhL4O7Kd5m0Fg2K45sJIFtA97NEtWeUd4n
DFZNbRUkGOC1iSZQPo7ty0PUcYzKdbXkXjH0LejYYhPi5RbAlRLMu4yA5Oscg6/9m3CuVs/tCV10
mWa0lVF7d/2JCh8brC1ImD43jLFIH3UvJw+mY4CN2E3MjGc2xVdkyAQfuxSiBnUQfkifaat2K2WT
+rjXqU3b0KMy3NBCpOFmQsSo8VgQJ3+DQFKOFFivYbOVHL9Wm0bdX9xuIS2Tinn2Zo6kv4lY8OPG
PLaD7ZiwNKt4LvUnaJrv/hZqojnuYz4U3M5bX6rq4Q7GQG8IyX3bUdQI6Gkttc6iDsvgtGdZ3Ans
WcpAd631qjWMvE/o+fqP2zBQzngNtSm+pTJKN7GI/odyqA4tYGb3QhypHF8IsUweVjRLBhdIBJwQ
2TXshRK7c1OpXMC+giV4sFFblWKhAk3S7ovsWlcuaOeDPC5N3lcG29pgCce1FwzdYLSEvUEx3vqZ
YlJxCKWrhb+EeU9WV57pm93NK3uMuNsm07d4c8zCi0QzND15ZWyWmSdXpapoAUb4E+CvXXZwCu55
KRTCqqM8HWSspZbZfhbkadFJ/s4DaUALGgsPfK2nfNQhBxxTYSMFHEMTCaW8CtrfeK+WZwEuMywp
U0SI2XkgNthgVnnlnZyiq9eqaoS5+WuNzELN7JW4nlJN0gNhOiHLR38ZrkFpoaqAnPzLReUVQCS4
7oK0DPDqgrrLJON7GDjf9NQxc9XKL6TWrO+Q4ePNvqCXnhkhaDdpTNuVpDszQvPOVF8TKze9B89Z
g3rhbg5q9wPjqpm/OEaVTL4GVLuU+rq4rQs5lRPE+dX5GeuhJ36mRiZs3V8voC6g4/vZBUZhv/a5
ngVFexmySsQCuVXLOlc2W+n2mX7wts/gYYjkNiluEEpMpvP40txS1+PjPmDzxCoQCqMRl0aQbljF
KNjChsIUj2R6sRN+5C7wmCg2YHuTcmQhgniJIjOUvSqH2nYgK3goqgsaykyvjcA6rxlThA2U02aE
4as58NA9YjiQ9bcQqnHenMe1w9uchXBoM8Y9TrOeUBlT6kploqATMjD1NZ/DAJnbkfh8h14bNcIl
gp3kc94L/AgkjI1PijBGHE1X0bIqyBW3yL/kyD/JYXJ/YmQ/bVE4Nhq3krk/1/68U0KQz9tLdVut
qt9lxpMi1yZm5/sDG5bNZLEIxQSv++vzm1aIybKSnQd3fydzZyc2tHUr0XWIStQdLC0bCzwgbaqc
DN8aCkGzoKHTCdzbcGC2k6UB4qEujYXvs+8bN/DeOFxVC0+Y4PQ+TDa60o6QqYKdQAVn3ybe6Ypb
y+cTabhaRO3o2P277CW4ofOzTJXYLQ6gAi1vWgYNi2mAA1dta0jrAFLTif9MdvgIk2HFF00OwC7J
7DpyJxoByYgs5K7DbpVd/X4JBIeknGy+z1niw7iSPj4yXt3h+AznUmNZ+pEJlGLUHH01S9HdeLqq
6BWSCOCjOSznQ/kHy0j09Bo0E2kUsYbK2ytM1kayGkm3RD9gZwCoKWOrP62pI7YSQZ2WgQ6Fwg4m
0tEBEiIkfo5ez/5nawLl+fWvMgifIPvONxSK2zPEN2rDnM6lxAAVvRoortdW3mIPFRwF4XpLJEZ7
9DH4MOvcKY/Z6TJzAL26vFXdI6YbegkRxTwSII8328spDkpPu0zWedpFwKSiH6AeYiMoTYu/+1PV
a2srrKB7/ayK8GntdTfj+DId+sbOd5IeA8Eoa1uy/t6kWn651XJfuLK0BRYFINz7Q3Mfsvyc2Tu6
Um+Tbo7x06LJ8NeWUrZdBnjdmppBXYMhr5LRLRKzFc6rY9brFgz6zggFuZUJg/0Fv7JBa/TckSPv
EZwMMfPyXzV8JqVe4esQ5JgHTLb2aJWRrx3CJ6EKAjNcogxKIJlFv8L2IHw+iSenPxKpUccFaWEm
sZb/RMg0OgtRHvyNMYWC7IqY0P5OEgJkqcnzghDh/DBZsd0LMjVwB2XHJ57uOaINFYt0qBHYAN1M
PWVZzWCBSLgdJEkbQXw9RIuC3p+uIiOZPyFEp1TpgSe/n5zPmq0g9FtPQ5ww5OLTZGETxviUR3aN
7nE81gQXgDci2mDzXqvoYgCbFq2YHuj/53R99mgIIguPSW3wOmzbApOVQ8r7FgyXjOD1GOTozEGs
UClNYj/ymJY0dywfr1RjCLUkxwZ9/9g5JpZ8CSpuQw1UybOJ9aSmWCdI16wn+v+nfMpcE5wqJtHp
Dnt3Iapq/Lc4bHSqRlTAOU8sylgOGiH/hpEvxou/KY9a7MScA8tL7I6bDsJEIT0xWtm9t46Bc4NP
gx6U0NGFfoxyWgqB3mXVN+E3Fs0FDSd3R6ttgMYeNSNuv7j+ejGV2OLQ2SbK06mloYDIo3fjLCM6
aJSfRU7e0V8yEEr4mn1waAgrb9jyOm/9F8lLZASAvfYeTXB0AHITJTrLLdLas2YcLuBZGNkcYfOz
ZVaNTnDX/olx6ZjYWBmoW492NkSUGZIlfHmMLMUAy9Yb/J8HIbkTWUPm0qsZDDHzAU/ptL4VPmXe
kzPh55wn3ttmXDQjTp+bv1n8pgz7e2j1SFh/pRFKyYQL7yV21ZusvREBmU55MqSQHhl4w05hrWCq
SHtjSOqhveaS4HMedrJlcHSrWqtI25wNXlBUneGysfkfw6AAHkBGlPTsIFAEGSa7Y5LKrxQKiMz6
CiPo8QBUkgCZU+ajhiyK4MV9X+2p3uS+WEvfx1R8nADB+OkQuI/0Eqlijy4gcx41qhOAq8spmdSQ
g5kVRj3zxpjHEOxiNzZjjOxqMi+MkW/YoqWKHjCX33xqhVgVuTwt8HamI9s3alwddsfGVJFd84Kd
AZ/6kBY9MEuUUy4yFk9mHo2dmHddyrIunievp8BDN5sv4fAiPz0RDtrONk+BR9AjnDaDQEwYMXgH
5LsKx/79maON6wQwyvbG9/l+mFxxn77q6a+i7T9CzSETVZFmzBPEs/Z5kczIC6bwrx0f7k1kPNtY
/5pxFltfJI7tJ1s+3tatR3jK6r22rcl+Aab1tZ8KEkBhKoUA5rO6edQLRDA7xQ8IsxUnFsczVnSO
KhxxidRma12m1TA6IltTcDc5Gf62aUBuTPrVthLDftClBnetZB6LnrJUXL7rf+M/c8h2qzxN3H4o
DdiY5ZJI3F6T7Les1bUTNrcWmfkBYRhzpPZm3I/IzLQUJNBVJbzXSyJKN/j8uluxPftEdTYZD4Dn
YPOzYtLhc4WvbIFegzR78Jea/e+S6Zkg1T84XE9LQL8ROKYkgXzndJ4pQ9EHZk8H+QZ+o3aWVK4I
4UBes2x+KmnketpQqd7j5K1TtqneyoEFHsQxXHWRCWvr4Zj0IPRF6+flWen80O6Um+5lNAY8ok2k
0JC0sy2ZGKxIa98E30p2GzLpUNjxF+Oa8qzTDnDdE7XbUYNnlCI+FopKA8d5YI0tI0lFqFUDwUJG
L0sfPo5EfKxChHxD4kzBxAqz2UOEo2zYhOy2K/0U8ndLt0j/JkU6LsZ7VCV7ZkOueZiafSFQ3mZV
XUW0JrmxKlO88fqZurjM7M77/CizB34rt+NAXo3Cc/fDLCHz3ldQ6AYVplIk0nXm53ymg3eIT9bJ
alX9h0RTNRMkw0Pbb1w2a8dqLbLLFOAw/ZAAqXLcmm0xebHi1ZlxpJ3KolBJk1DsjtL3FVlc2Ior
DxYc8VQftyf0Er8kZAmg8FygWi0xAyH8khvGbrG/OIxnOtVOqfhA4ZPjyKPVLJnhuafsg+jgrPp2
kkc49ZvRC/rAqeZwVhKOPHLQ68OYZfwq8esbYrWcJFmg50Q4866XFlH7Pyx+DpfoTig0AysbwC3Z
Mga5n8uXvlh1N3ZQXafaIHNtSUv7l1PY79PQSGDaZxvjF0Uq0KeHpkMeasZmLKH95vjADrFIpoY3
qxmWxNSgRfXznhdk21pVCTYXtBUJCjhRvZfz6kFgrgVLZMZGrbH/AB64zKDyU+b0hsmMfHuLziaS
gS3PKyLlWIMBV0Esb29n/e+CguFj1Af38IuhDm/TnXsUtT10+gI9d7dEtnk4P64yfz5jAC2GH4qg
8HWldDPtoevTgwcTyRK0wkl6QUTb92/ovjjuWpB2opULdtWQ9VntRswy+BnyWX04EsT3/VgPzw+R
mToFFZSjlbHlpxkINgEcgBI1xnhF2/yUU3xPNH9Pw1XVlqHkgGvTBIkuI5npA8zfWEFl636atQnm
7FOcTJanZrTAF2N1YAgFVYgmlJCSncW8Ig5tpppmFu3gXD4Gqx12k3dRUhOxEpBPqLWFoWXS8VVM
lcebKoA6SLm6aFfvUIMEo3YtlujBS9Nc72uWNuAkTFGA645x/qslZUOo+RQ+kB85jrd7saTrsrEw
vGKfY1j8FnmpgceMfrkl7bBNW7x/gfcHwm8LuFntqyLLWAcrNBEq/HSxErBogfiBlZ8Jff09gW9o
vrECnPewyzW5L43J4h3dCwojdjHYaBPUipKK9x89WurUhAkzsecM1rE9RwvhUNvF+JUbhj4LQapR
9qE0dEB/EkDA2iIZAqdp9L+56BFXpRhH6WBZW3IbYi94RxaAQslirFWKE3PjMcd2pT7jLyCEpcn9
QZN8vXjZYMUdswghei2AOKL4NttfudzmBGo7hDyu8YLhJEAWzC1TzlcUBGd6golcM6Y9MBdGJ72H
yEvjgErnmIZvCVy9cmIi9IAlV22J3Mc4rQHkdbb9ajgv2GYSAZSJ26vkdhbv0WVDeBxv8ajjsxq/
JbvvbRyj7qz1iZ6eofZq1DycWI2FHn+IiVyl2ohXaKd6CmYRPhp3bRfPMH/0B7OmoqVus3srqRYb
odaeln3zfCdRDV96YwnHXLquVfL13ErZk2dX3mWAZD8JAq8+jKjv94vJCuaDGzs5QyDTcXWATJ1w
TRaMf+peCGcIuFQ2byuIB0KNxIfL6OtmTMN5qJpM30c01PZrAn/V2LzNgP7YUd24ZFYDARbsP8hL
4J5snhMWzxTFkt4WoNGiDQp9GW5XLS9p2RaHj3wBf+8emXpDYIQFivesMdPnTSsURHv6blV7aQ0V
BtfDhCQTb+Sen9tBaVr5n54//vRsKO8fcNTad4auJw+gqbk/8+j0+czKnF1Xn/0YAWvNQgJ5vyI7
IFOywxuZOAkzjx21IT9xzzexOOm6nmyfnKlNWTED/6vDyRw0Az/aQg1vyOD+1iNove+voSr8Dv+6
e4UVxsTwAoPomvvDjKFCjgb9TJP4WiNKXEwYcKm/Vd/D9aLnSma7JWbn1e+wtFQ3nug4TXc2efTA
GIupQAqTwl4UNjtNqjtTQBbCJyf3l+niRmQxX4G+lcZ9w6J0/Wsw2OcsLxdIweqj766BduF3ZdXZ
if4xbJULqs4rIPMdRTcqoalydvzJGPu/21Hb6kStMob6Oe1PKzxSR0fY1kkKb1TC5GUy98nPdMJN
+SKeB6wZizLKA2Ttml1SzZOet/2dMNLA3DP8P34A6NsiuDCCCWgbil7oyTfDdjUCEpxG/Qd8pbQO
XGlqKpL8usr4jBANMPbLGaM0WptVI3U5H1zPmb8x6iUum6vRLud/dze1A74RMGdUWQkD3LLgEKpx
krvyfB2DwsTwjHRFHTseLYcVIe2/iOjCH31UNyUy+hz9IbCVi9i60CtufyKxJoNtCPv9sdZKNd6r
rmWiwiEj9WlgBGKpCuFavOiBEuq400XSR1bUgPfwkRqbHLzsBy3s7TnsX9iHqd6lqfUp9zQ124jk
DoaE/E2xMRJ0Nf4lXCYvnUM5LM8JUuo4tyi11P2mZoSf8qYqB3qjkpIDnHkuXt6G7JOS91lvjiSh
ybrhxbTcAtWSzUQU7fjgsN9UrElhP0vSzWmzryNUH4JhZwCeWXFJFAvQg1pLNcSRKmXiZ7lJyEHg
4q8Fkkrc9YsFVXEEUMTjoqKweoRH/cTKXJfdl4kKppYeJvwZeNF0jymrL3x87s4+4PiwjZtXfqky
Qi+LTnsucu1HPLksDidp0pai3qWlHY7sO37Fn1LVpxF0vynr7Ki2BcNYiFm5Fz9NKfUT4letCB74
qmTKU4Rmm4SJfqf1mB7+59A1Lb+770+li9CBWyue2TRBLTsMdprSKxxgIuyKBQ0EFWKePUAHOomY
rEA2AiyXZmeO93h0TAL7cDjwFi1nczOhfUdMZ14xrKGjIlV62CtRR3CSO7LVkRLL/MyfibXeevBw
yJvUm8czJYNfS2WQx4FVJ4HCqhWGA3VSgpnJWdngMHNKeO7F6DLk7Kn3PgDIBj5ifWLhthHA9kyY
Ip8J6IVM/2j9m2a28cgCx3eGojpTO4Yf44j6JvWyZceqhENGUvDrsKSf4cyIBe0/JsYW6jMQbHyU
O7K0t6VYNzVovN9VUOagZku4zYRehj2f0VZcOYnkOzspTM2/G1YjTgeBwwhO/wgXA78vvwQODx07
SUYVo9GiMGSPodL/KPBU63Y1woiYBBPj789pYb6xuJZoj1n/LvD6QjWa3IsB/7992WuMY9tARA/S
GH97HHgqdsK1+m0YKjT10qiF3JbfLYr/JufmSyT86n0kQKDnl1wE1doELxJ2V4b0LB9aUpVTeJx/
33AmNMYBf/BvWewQkAfJqxHrp64ssjgLd9uio2eblf5ljlCNT6BgzYtxwmtZ/+q025ez4kNDU9OJ
nIVNLIaLcYiuloSkhvVo+4eTp5sNa9A3hbyuxG/HNPiXbl4cIxa/wieObMCTSI1eX9ucziM0u+vm
IDuPOjlN0LDxCsdctfPMvMmy/YqDaGuWHRL3qdrMWPR3EVLAjnNKJB4QT+I3lRufObVP0hWgattO
KnqZCeyjr/5GVqmlQ1G0zbK3hRKTxn44jbIDsmqjHTeSxTSpR00ee2OnuDFFzYE75NU+ZzaFMDfz
+oqSoYY0plJvDE7UkmRpgsU+/Y+IrHMsPQhm+V6bhxX64YffnU32CAecGs08nomwtlT+uwIKSBuq
gFwrYfbRpM+FP1p4ZJPdjuRPk87KYLDWgAh52IskvoBSw1Enn1INN+SPSky0SAAVnzq3rVDYXOw6
dEpSKUxfQEVgzJ52MGhzafNmwA83s0QC4uK5DVjq8nvj+FQiQhSk/be6YXhWZ5WsQ0vsCKBRbhzR
ysTUlEly5liGIp+L8611vz7rhRrhoxEIzzkqCfmCn8etxgipACYWZ297OzUO92R6EGhRUrkeMybZ
lk+XPHvH0xI9QzjXo6nl5p+F1kq5o46Q62geWBStk0qB4DjqruY726n4Bahvu8vDhtByGTdzE28L
VXCJ+fUX03ULnE53z/aF5qYwiTiZKkingMCPhqSNeu8ZJlsKMKotJh1yZHG0Y8q67znHKo6hjutZ
yWUY5DcCK3iXrBfwwGI5b7hUsUaMVT/VKN8Lqw+ZA6Wpub8gEUHn9i+tvUpz2imJUkId4v1lSDwp
H7G2x/pWIozEa4ABJvWqB97R9EEXsLI0N4dRb7gt21lkKKlT/gmR5ehAe7HeM2rMSh6bMgYmg40e
zV/VTRf+INDS0GEM2yKan/86kH4MqHJOxMBPAmLaOSqO0WSC8QWqiSzCRLEc27g2USgo9wJgmKmH
mRKIiFbEpfaK+SKezrXYHsPeCgj3HHI+zJTyX5fxB2R5WQOll2iJP30f51q+KJhJ9uN+nUDh+7f+
+36l1kkBz7Hn733wGxFTsFokWawS8CIvtFSKQvOR8qea+6P21nGKNIbGR51BfR+GEj1/72ZiGzMv
BFYkxfjiu7t4kEd3cOf9+xDsK/CETzwWsxNgIpiXdywB7LrJ0sfKxnfscW2asx7z1p3tmod8bBd8
Xt0clb70bmAUXlMMnly1zYHIimvK7DV+/0/EUbAGBEGd/Ng5p3LJqmhZrPPT93WzgPQXgzdQsYwQ
Lhz9t8w58or4IzvlGTWfa6jQyptod+wtFjShB9yfRnpxx9qQa0fcILoI2q8cb2IAoiQlTFfyBsKp
YL9wbFPoqQe9lEo49kHLeP5ZlI+116YB4e0BiWqlKnN09U5zGUtEHRU9k7GYzUkio9o3p1gD4HwH
VmK+VvPivSUHwro7PhbFbMIyq3v2iq2XcbpTu8lbT5YxexYc/tom9HOq4F/yhs7jtUQd+PKHc4dG
TzW3Ntyze8tCMsnn2DfZhk90+PGPU0zceFzK9e4dwor2QZTj3M4RL9LftotjuJbzArXHuyMYNQ5w
yXBWZ+U1l+SD3rBhESJp4GIp09Uo2nBXiD01w2CDUAhkVIh0wJj/oGsurcs6gjNei6EDnEikBNa0
/T2WZwcRKFasZaR0Y1WWhfJM/MKOtgo9YBGPbeMNlIm+/BQjNfI4ItB1ZbJ6hEjSdsbtPJbYmi1D
6wKnF2pGzRzEYW2Z5UFto66FgtkcLi/MptQmKre1tGFYhxb9IczhexdxOX38UJ8aTq8Kn48sUzvv
P9DU+06o0L4YXeY1laGb9cHnL+2BS+OTDHptnTc5rJWmP+x9g94Baf6rW4O7YhtUsbI1uHeabUf1
7ACa2SFGy3sZ0yF48WC0HpubOs7x/ShzOZf0GC4/l4G8FrPiuKhUrjxTt0Lgg+uhBsBzMUy2NV8X
GMQS6lLF37j6IuM8YWdeA4cnLO9NmacA9hmHWn9FX8KcvqNREtXE2ADE1Z7pBsCk5lxFc8TrDc7q
GCdikHm+DXu/7/ZB9YSaJnny411J9kIkD4rGEhX//v4qAziz3dIc6Ac5pt0u88aw6+X3xS3PiQfW
OpmcZFIIHDFRxE+uMbeL+Vk7KqRNKEn/qwbmsXztudg2fhjDpjHpwVOKFUk8zwL+tNQ4wf7Jb4HH
57E5/SvzrMLHy2RsWAOR5kZCytWGNu0cuONgYnPW9Be7tD3Vhh1acu4VE5uLjrRHTk4ykPwmF4kj
fC6YatUWQVm4DMeA/NL0D8f3WDQyMZE8zJ6A7wR/JqYaBJBbAqTGJTgCjmWUA0a3fit8J1DoZ01P
c1cu5w42/qATifX8Ac1QmHvErMyrpLXlak+pTJV6phW6UiM6+6DyFTadY0MAu2ccjIwg9M1NHPOJ
ETHK5RIGOIQ9xjb7wGocHMg5le+zU79MjAj/iG75l9JU0/cYwY9NaSSafqokGcoaYkCxb10Skz6p
2HavOBQ5Mc+7MQimnoodvkg8WTEZuMAtaggD8sh96q52f7VNfXXwLumoGlDvpSJIt25LA1gdOMsO
zx88wEjOyLgUh9qPxRLVe5rTYh+npqABteo0CVWo0f6lLIPJSuE3PEQ5Yq9XSnuVrsFE+02mKFUt
WPhP71dWab4mByk4M935rMzPOaXRWy52d3u6z5E6FZhuyHucuZvDeZT+0HYyl+95M6s56bI+AhNz
SmmxHKm2zP87wdl2V4DIljiPui4lbSa1S6zDUZSPB5tREkI0RHhGMTTtMqiNYDp9dkuMvXZt/dpd
R0uckY3HOCv4TBS+vV5ljZJn3vZ7uQWCy87UEPhoLUTQIRtwGZBkzhG/k5GwAjntJResipKS+pE5
HXHduYwUTumHz/YBfANzuT6VTvG0qZOihCCoRrFwJgx+PD5QokEE4JgVy/Z3JnyQRR+1880uKE2E
rBAe4qk95Bu+OMd3fgvn8+S4E7A1DHhYqBjTkMBGBd2fAdvlgWrg9LiJc8gDqnP9emnsfq2JWa+2
Z5Wbach+Moj8+s4dHjKvJzon+h3c3gKfFMUJ+BvWkLHicM6MGJSt75dVrvyVzQCd+dVlZM/ujokI
xcPeIXpWPippWIs4qDBqQIXkt4Z5LXXH4kE6nBWNiA4HnLB7GdpswgVu7D3Ak83bdVG6jnfnUkf8
fgmBwBB5rSDeMKM2lF5Dyl6wSAc13XVZRAKw5Yf+SfOm8X19mc5Xato7cEhgtHprtqhOEqNDg8ci
8wI+qqOTJ3H6/grMjpBkmBms41SBxH900d3XkeddtDtBEKZm1bVrBdYOEtfVyIlWcXbgLhCMD5nm
MdCysP1dIMBRzAIHZS1iFiWXhL5Io8E79sVC7mfuTWKhBqeC5F6+2yniJCy81BdsJOICAiriL7f3
qteXA9W2WyEE372rAw3J7l8ukG/wGhd7bBw1lnadvHmiLoBFoLNAs19DJYqkOjTy+UZXPSvMT2Nq
jHZZGXxsoWu6r4XYhFMuKRlvbiI9HCZcHDBYxlo8WvDmsSmqRMML82yWiDqONsBGRnqi0R0yStmS
x1drPwRlKTfX62eoYGdELsyWf12zd6SfvCGCoreQhk8lJclehEXTHXM0IHok2eNTx2mk0XNhHr+r
aN5asG6BAR2aumK2ZdSy1yLIFloYUr0/LN2uWXKjvGbkHw/TzAXMPvDztPS1Vw5itChUwOWwk0jm
nYgEytzLxJyN9azXVTedxy2Gm7qw6Efk2c9vwsQv6dD5aR0wzoomaYs1iu6ifJF8nBPjyq8ocE3p
TiV+ZDtRha6Jyksr6hXJWBg8FsCRuPSlG4zZzoP2elhBxThKEvNoB3iLEBi3yl1vF7oXNRfBvXrW
wWbwXTGbgalXFTmmqqosGhkfWMXGd+NnnfSrCsetvM4U1gA4JCA+6xa+btjUGQYm5zam60l6Pc1U
Y1zrrFYHqdyLQDWPpjzoA4ZUld0K8YfzQoLZ715vNPXEJq2e1pwwFiUxiWh8E/ejcMFzNdTH0jDr
gi1iCOFIEHlHHkypHbVt5C5nMRoV1+cTNLYk06WHZoeHqj7+Mi76GhLJc1BVVLDj8yWS7IoOhmJ8
v2nIgWLJR/WObaJZKMBS/jw2YPo/5TczmygBnlYYl9CkM6pWRxXAZb0RBSIE6KJ5lFledMELafg6
HwsCmxZ/RMnOgOW4y2ztxV4gksLHsnbrTe6+cdUhW1otUfI4lApdd5FneKz2GslPeJOADNT8Jb41
7dR+yYB0rgKrjlkTAtvwAw8lv8RQAv/iUHq77DcLklJCen7ARYGhZ0mjQ8W7aVhUbjGW7BTomMeM
PC7J7FmVPTqL7ODcVZXhER+d4abXCs9uPdukyWJZgNE+H6mgEGawaIn+gAMGZBoncZ/8lB32FG07
k/Jfr22bW5eHn6incbNNGCCltXrGpHwM7MOy9MoCKlzTtyg83JZWQiNRBHymNaSuMTYqdhL+FeqK
B84lJA+mLJSRo3ReQq6RoMYlYebcOrOiYGxZ3YMx0R8/4oTgusV0wWu428il4Z7K4x2GgNpW/gJQ
h8HrkA+ThriNS2nX4dD/MmUc6EHp6F1jrbwROBlqykE3yfZLac1If7uMbLOCuDh5/42zKkqZdDVB
HNS6jKu8Ktqq3JMuWacUyFrHcrIq7pNZFflwPbFf4ClS07k68Nl7TDgQKsGFL6EWHuZvYe+GROrV
cw6K54zT8YklfQnTbrSmyUtHrW0RDdP76nK3lV8Bc3ctl83nU2Yr4R9NRREhj1uM0tJW56V8QSO6
ilM75siPJEbyzj12muSFK10Mu+CkVhTJbZdMaqKp7IusSGYmblFD8czzTWrR95alWjp8pEz3g91k
BmANi7W/jU0E5z88IGFMsHSSEIcpC3l9ofHLo1or1K3+ZWdLEVQfi17EUCum8gkhHaYv525WP8qA
OhUv9qvpqLsyWkfq7ERLZ6A3muBwWnmTKtTL/KDOARo8AIEGTbTlCc9Nopp5cD52uDDxyuwRfd/3
1pkJb0EDq+drzsCWvs3dR+qQV/KFKU0bspFYJP3pf1vFLW0BqdINxGmYKdsuQZwy6qEZRomsiPL9
M9kqZ94qxsiTQ5JhFcckIIZqQFMq/XmpeY5yeZSeovgcofKTkStuNzAT5hZms2o7p52bpjs2TpS9
FSfCEhCyh1XtPHBGc9eQIQo8DyMwn0HfJxm/1LBPNbqLsMHSTCiuS3cj2/JJaZbtSLnRxE76DmbC
7UgnawR6pQTwl+n7LP2Nqq1pbQxvoB/5V/86olq+VVY7/aAywmaFEJ2RJJQuIrFruRb4Xbm66U1p
mhzMqMJZf7KCow7gy2GbgtZxthXx6iNzgbxyspmCijfi0gZWB4UT/3ZHk7ml7HZMDrSRTCI3UQE5
f1/4f5w0BAgj4Iahcu6uHQd8H438/wVAIH7uBR1MNC4eaXwpxrhpG+IffycHmuhZ8rBzRKQqEwSt
HfZslugr+LncudBqeJxNEoOXPdbVSeJU0PW7p4RQ5iP+swEmA+3i4CNnGmnrqRnzGEHx2g1IeNSr
JOULAfiEsCjJDb03UbTGvN4lWa1Y61JhaR7NvBtZn8IkEh8jngl2QYb7PncqXZs55b7yDLbuN6l7
NHb3PWotXeT4KZea72rw0AiLg2pBL8NNNqVoiNi4bQPYoMTVfj8Ftgv0zvGHVDnv9JGNINEvU0D9
LGxh9pd5tEI92BRgTxRH24t/sXMgga4E0duQI5/oBCcSrpgmkJw+n+Hc01ulSwhe3YlnNsF44BU2
9H+zSrsy6CuLshd77cabiJ1oWrL8ZiRrfygTAA2j3H+ykfnpy5xY7jK96m1GvOLb7tSchhugoHz+
DCCIBowjV2fT2bt3TllGviP/G/sPrZThkE3/8L2A87Tifruns7dUUHa7Zy5+r5buBeJw45JZvAXD
ihTFMLuRHUOXAb/9ijGIXtVf+Qp3l+La3udCP/HBUdk4KoRl4Tp9USm+dbF1ZAP5825Ey1zDwh/t
tTtRFVffUVh+klHOfuyDWXk9wq43I6xtgcYq65p8rZA3bzGz4mssYu0+JDO9MJvSAHC6zqvnQ1aM
StW//ZnsfaRfwGw0wHffo/pa7er3r3tIP11TSp3IzDmw6zIyUoaz14zzEo/scEbqUWtykErCtjON
uV936/SPhmG9HSb4OAVVtII4sBBeM2mPvSO4X2TV0cGyfXV0XhEuWKTzzqWmeaM0UhdCqvQmYyQM
1a7R+Xstmys+YPjNenZCgPyF3m/IL0V6js76GQeFUXhYqFu4/0v/YgYlEWp32OskrNQf93GszRmZ
udeFyZgoSmqJUnNNITyc7R5UIaKPOTAmmeqRhxfVJ5L/oMQ5w/dlWHFMHl1GL4BRaNCqj/T3/O0f
peAIbTFlJFiA28y4VKWnf52EVLKhmoKJMx2zZ00o/lQnwgVDZizCCyGx4mnxQ8u8ckFDZDW9DqtE
EepqAt37NJoIfxUnC3t/sFB9yFmO3C5knQqBXjVbzOTWp+xDPP+URqOU+MaoTvR9Egj6UsqTBRx5
eMK+KTG+QWGbLCzbfRwicr7f5Qjwtq+WccgG47rqBAIQ3DMJxQpUpvFh75Vkd2cO9dQ62CHriWK/
gVX5QleYf36+eOlbsBYC0vhc7t/iplaFdHoGCCCeqm7EPGweQDGBde52DhFlTHU6Pnd7K9wqc5LQ
0WfvS2Hy3eoeZsabg9ExfVVjyizVOI2DEU2mr1PDl9zzRGB0izud23a1DVGbRbngLVPzHgCimVls
Hg2zLy3042OK1uGO4aIjY82YpVLfCXS6rrdThek4ZZjtiX9lfMHEnGvU+l/QKK+m3LiL3v0l8kzo
MPmk2r7kQnbYmtRJ7WjyDBMyFduzk3ocW2WpSF+sG8C8Fnw4KIwBl0YOGz57gntRGY4X0MFVjkZ7
Yyuj5eOTUREg4GYEUqbMfJNGiG62cp7lqB20sevfYwbvUS3DnpGxx9YpF8z+Vw2wPFdqHrL/N2b0
Yzm7GpdBgAVLjhB00DA32M6uYp+2YLjUtNLuutdt3KU2MZCXxnQoCWk+OediWR3L0fFUT44/BND2
GZeH1pJg/IZ4SJvd1X+MztO87X4wypJlxvLjHQD9+skkvHgfPIQDRKpWaXLrqm7ai/p8yNOCZso1
M2ixijfmv8EGJiqgrebd0TmXdZny7zntfuEQhM04y5nWVw3n7fW0aBj02MfYz5ucPt37VMGHybg5
hauePuAhzDyprH4K9i72VxJskGi+9Ud7vo3pr5CTMDef7S/Zu/CACL2mNoC4cWOg7NL17pfGmPzD
0Z+0lzqRXRE8rOPTa5BkYwwT3ruFEDOLlJOLh4Fn8nilYr0evydozRAZjVPNE+eMpq7DADVbKrge
9QnVhBpw5g3bmxkTwD4kyrWEWE0xaZN1Hk5PerUGfaOeMaZcetw0/uFef9sBOqBUnqIqhW76i+5s
lX73QxlPL3Vt/OOW9c0b+Uflatd66VDDz7qv1VxYGYKclBL5JMNAGPOi3L0kqsE5kmjb18piVuL7
ArSLzB67y9zpTxBk67iawA/wyyJH7Qzi9RZ/fZQhJzT8aVpofSsx6bdjqSGyLHeU+5OMPsY7lRqV
1rK8neR/EweTEGE4WyOZjYqAoQXlM5zpWyXbyCPonNUu59b71b2dO42PJHF6oXXBdYC8G0d0IGY2
Ak+VlJJf7DUg4tzovg/Bf4isqz3EB01WuHlF9cGj6eazl/XccpxyG82Cfh2mkVbDKZ+4Z/qjdRlP
pU05Guj3ZzN60jjNVuMGmI1mL9S3++t6Uv3QZCMYsgzltNZriWhL8ZVfo2O0PeBDrtkDb4mi4g8b
UY/V4iITWEOyoR2qrVrhTzciNNiwqe3bJ063YmDz3GO2SyU5rj7hiHR0BxdCqS4sIKa12yWJ/zm2
0pulAV5tMhHVSArbPaZoJEiZVaTb+APvlFhQSoEQNyE+4pCw8Pp4+kUgvVJbnlrE1bynvaYJmr2u
tU2hL/fux9JVE1/2ElwJKZzF/vwjxXFHMRi6CEtBeJdlIb4QEQIsSTRPSGGr+T74HloRsqxAnkrh
n5Uc76f2wzxtuTu+5lc91w2YdTKOs6LRBGq3S35iUOGNi4lzk5HQfOL1SoHdDiYssXcwJw3ba24h
rvdNwavzoyruKWn4Kbt6ue19q8SQwPk63VwUtDHyLcx6tLaAWU1fUnaBEa1jewEvUnyXi3vV7gYR
tpCxmC6Za/cngqrlcmZUkvxHB4kD4fKHV1X7aPhi7LPnUAv3nUpFMLFtwE3UViDQbw5KGFAN+Tix
i30GyFrkKhkMHwR/Cp/KmTLv+faAOQeEpmZ/e1xtZ4zuUb3Xh+y1PTQ6hwHgGht6g6XNWUZ6QAeZ
0/g7gwFyDLb2U7F/IpmDO/BC0NM4k/Rb9f5s4aKxux1UKYp2ViZbIcw6GFRczac5TVwb7Gej4yzs
sJjViwmbeQp1dkNItuBcUEOkWGK1p+gKY2zylkSZKcXIRsxt+BYWzMbjcSmJuvgZ/PyrcCcso2RT
eaJ3JLIRpNfMtt0GuqmxL8Hy8FCYcL1KT81EFvB/kYZw7ebQR5TWbbT1X1ME7asUOp4qvraxLL55
pGdy1SzpKcOK4EAvNmi92eWl557YBUrFhNVSEhEy4qa9/FSOzpRVMNymgREvU7MoUXzf79eXaryn
U/Hy4/VxQRRDUlLtCIM2PtOP4thhBfWyU625+7hzMCo6vj4hU8xrNBc8JV+3McUJ5Pvyi6h9onAq
LJWMdXWgbh8hVMYIcvoKBgNkNnnz5XTl+9kzTKLhO3IxebnyjJk4aSgXwsOMTtpqIGEry66PqV6Z
VwxWeB5jBWif6D8q1Ouah+oZ0hNvCTJG+WMnh7QD19xG0Kxe2tWBpHI/t4GK32wmoK0UTkwqf3V5
nnZDKHSR2gFNtpnnorCiuw2WPEVMxA11hNb/rt1X+Jh+plVSukctz0/+8VP/4XHUZqe9sPYImyEP
KfDKssTtTvooG2CU40aUzjrqGHKuU0K5hhvr+/xb2J+UPE57IOetnujMPvcX1TdC6/YnCu7FwLft
b1VgIwcEH4maEOru4NvqhXYBMeNmfPaqfGcBq04cQsQt6nmdN8xDPICJD2IXNUMpkh7rBpGzuuqz
Vsvs0bT9KpVjo/25bq9owNSLJL7ANh0Me68NfZL9w4W3j8I+ENZNzCFcrZo/lhptjGz/fCUqiM3J
B5MYMmAQ1jLkCiqv1T1RoxBPZAAi7d/Spu5ze1bB1dsmugTy7i6R75NGP7kJdYgtdVhdDoYlIlnT
vEmN/AqYuHLgyr3VHlJkZb39aWHMQ/7bPSFGaRPx77jJpkcjVlMD92iydrhYSGiZsTBwyl6ZtAuV
YWgOMkUSUVcr0r6aEis+hhGicm652iUIGA+Esa1m+TkLMHqHiMVZv6QJ+QSHI60PVOD8mJtSA0AW
yec+QGsOQOEwD7IzfIGmVgh+C/ZeGEp5qBEt81qnCeUIUX62iRw82gVzNh8tGkcMLuVTfCx9+i5Z
bSIjVpGL7X7wTACQwEQ2TvKFBr6aguDetgD5IWu83qBZFApzR1CK/SjQMQuWfDUcknDjkjpKfV69
p2KKTDl9k+MdHmUdUXiAUEOqOKuR46q4aCuQ1BacbT2v9WryFeeZkOZlGhpRo9IuHzPanpX2z2zT
Mdo73mR0Wv32DhJEF8Fj1w9ycueNqUDFio7gDltION7PSbpALAVW7YkBwG8pB6h8BsxEEZoMCTTb
7r4pA4xUIoZQ2EV1GKG0drb226Iqe9xqTTL1jBc7a4xKduLJJPg60GuXUZKG1qBZU0ME7/eX73Dm
B9hSIUPHBaDBgq0WZXwB8QVOPGh+gdzUT0GJN4zhBFeL3QqJIzjac6K5n1EAYA+JzjkMg0VFMwS4
drKw7TtvMYMjrEi7p2M93gV2psYyR6S5fwRvw23rw9osrjf8EhpF5JlVno6ffMLhQOhNxdQW2fzZ
AFgR73LgffByjkLMQFSIrmfCvZj2gQ09qYEcZa8eg0v/XGlDUS9h/pK1BC0rF1ZL4NBOWkNNQE4V
/LwIE2lppx5ITGxrH0HNcPRdr09NT6oynYqq4G0GkeDWg0qZgl5Y9G5QtRtgE2/ORbcLAIHOJHaI
3BeupcWjy7X5cmlrUswvycCjqcM8jU8uCX0NXhVohADkgdLdr9QGpjJEaWcZsukDl7nqOl9ZaC2S
TNlkoje5bDDVVpcv6v8AX4KQdnDGMyGN86WyAUQR/1+ngYIzq+1g6HCleyfw63g/Lv8nKlFmYwBk
fAPwsUfv3d4cmbDkRTajkMTlADu7hq1vpKOPddxok/lv7uLzDh15D/JbyWh1nwuCIz8BmeOrcxxi
QcN058MTgjW5nzHhwdjEVg4L2foeRvVP1ovvmrkFkYeXid5vFEA1J1WZGb2I6WrO5Vmv4cMjfUVp
jIuH26XP4geT6xtehKN/7AQZW1qbGuJbrNB0Z1B1yB4fsWGqau0QwFcncxH3CnZgA0Qlzvym9RCs
aB/3ZyChLLb4kQ9VDpNIC0m1u3Jp8N3U7nzVRqmaOHTFPjNZGZVyFEUbRpy4BzseQfiAdKpSGPcy
ULZDGGqmXN0KDpLCoiTideWnZU/+7laTU2uKN44c0LVF3gfYDJ28VHxRRGNBVdRoqftCVXUsR8Ni
2h9Pfo+nrFiFd1V565cj/g61iRc9kDJHUC7xakqWi/tCsrpakmUnG35WHEyBZkHION3Lky6FJ7Bt
WKLIyN6RJZm4W/Exbd1FSX4b4/G2mxsyXIht0X5GjxRlLkm81HdGeVAbq/LaBxfGoqm+bvyxBsH/
6SEhtHdaYhL5Kd/lYI107nYZp8Q0nL+MBhQYKLwp+hDpPfq3aTUOFKCHcYtEozcER9faIseRM+vG
+VGwTXW+SIhBRfJ1CXMebsXJ4bzjCBsEEnS126SIb9AxJwsYprV54GDRBgDP7ZRQQEFo/mLPKxiq
aXdBrGNn5xFiWcU6L18a5YFeyaOfevtdQC3SxZ0ywwAOzTY5u+PcuSw1Gsbb5Zv/ORO0gyk5WSUm
dIL/WuSxYf7dFo764AdUCoMtARPRgjzonfntu0xnBnhtRcx2SKFTyiA2S2TOJ7r6wYizhynT0SgZ
KmJGhSfnYWb+IRLFn8in8NR9feYk9YIzb3YG+yX21jkuF8ufNl0EQ9QbgHE7MGpu5se71W6IpcsC
7fJKeUn2EdfXLXMm+78EhOrwsZsJLb7ELoTBi9N1X1O5HuXhDX/sonwxnlHW3Zo04kY3Uq50OJEd
XTmP5Cy6zuNrgkbJjWBHQfuk83V8WPTl7bn9LJ1QHNsX1BgMjwb97GXc0yIfB1bM7MVvPIcifdFH
khB2BNCt4RDG4N54AyrBWMG6d3Y3EA9noIPgQmaAURxdOtlEZoCGSXaBzcTuQSBUM++EpQQc06XW
m/LCLUUw4s51SAIW4V0/n5GvjyeuoU6/3Wgy5UFTrN5yQXCBSqlG1j16hpAyhq4bgkv8BbfQh+dv
Yg/CRBaVbIDtPvmIIDAkqe7gmg+kaS72VqkRUGjXJLpG89bGJ9vLB3OwL3u8iQSM/Si7O8uTmbwf
yyrbt+KytlCklQOdUKhi/6ldqN8OgYj8tWAD4cho0DciAqVtcNQGE8rXuEbMrRk/pDsMJg3d7N2j
9EGN7oBiufOP2/6ghezZo6LCFg8OpMTAwxFv0QWbmigLxLqtNpkMAbXYbFqjxZ06MCnUb4RkcDuj
xehEnX1akKYVYd4BMa3BmUoRG0lnvuET9nQHTr34GNt3IeGF30KdD+uKnPPkYpaXNTHp+p3c36Sm
bIFteOWJD1cfsYteuYQsDSGF6rck5vZ/utJ9nDtLi7oJAw1LJnM3Sc8e7XLaNVXWCgvYmkrEOhpo
fMREIl7aEgwhgQke2kbAa/q56ifMwSyIFzuISUEgy7Xx1k4mYal76fjyZd/RvAA3oTtKTuWN0tLs
R4h76D2/A6fXwKMfLnBXa5soU3CfKSPfXg1wq8C3LjxhElX31gLUVT4SgtrtGPFqEssvvfQA3oeP
TgE+yZHbM+sp+cqerTOqZ0ewXz++J6UEa0O4p47CCm/ieerDcz8E5yDWMi54it791cF4N82patD/
/AdjM3ppGiDbZw6bk8HRxdTRq+sJc4mgYbKXnDRI9zQc92w2r2/frO2VboEu/xOAP2Sjikn8bPkk
kLF0npKXoglnGfAO55iFX1zikTd0V1+SMTTZbqMy1IJqx2UKI5CvKPH38FzRXOzuzRywzHtSPRd0
yLj+Mp39aMvbIgNe1ep1JaKd9+ze2/biF3cR6mh/74MF821lN5vOBhJ6S0coAZBkn4YjMr7m3bX2
6B7QbRjhuSMt4LFfOX0wk+lE43yTC0fHuO0L4ZkZG7TWcaGWVcylLMx2qNIFnEP62GyVgBUjcnQx
PubJA+eOAucKZM8wI0362rMFRM/UbvnVwK7TeCxWE2sBeKjROVFtFsInzt1zGAroXqLPDalRYCwt
Sfgr6E6k6d5eo7VosWakNpru3BUQx0FDSGXev6htfePhd/nX9n7UKuzaRPHPZ5dCShXEuzzTnZ6Y
dh/bvy6pJI3/jTp8l6TQhHqqkR2fmDMNR7/3Zz5qCvTmKQqP5CrxuNcuOOCMbwhXg0u1zR1kqtLw
df2AuGu8skpiWjVlf6bLGJkdALxJPb2vvLcmlw+o5fE6YlPIDCH1grK0kLaSZAB8o5uT253Lh1Rq
upBPz4H/m0F8l7jw4VJOt+n7Mp0sDGWwaL99FstOt4m7VYpCcUnTwAnIEog1So2rJD/4oJAECncD
rmQM2n9+s9z121QzJdvmxDk4VW+RElJFiDb2Xr1tS1l8QDLEuy1v116tXtB/ZBcddpfUcGvKGbNH
6lswGIsxBp3rwPotbBz+jH/fiWHtIdaNy1ZFtk2GK30f5GiasnG3LwlCR923fLqUMNkBa1INQL0K
6gO59Lq99VPFcKqkL1Kr3dhL1uAI3+ZKfn8MKDXV7exS+3oVQS0YrcPUSBbL2kS56KI288+cIrMA
V5muNx0s5v3AxMudFeY5SlvogHQencryz+dsESnjHbR2A46/5igdszJglQxrXimzVjlkP7Lov1Kz
+fZp/Hsk/COd2gFjC/KRQQtsMWe2uhJAwx8voqYQ0X2CgMWPZQTbDFaH/7mKeh/29EFsofi8/9Gh
UP7wu2kJ5eG9wV+NhCX5IlXEFwzA1OOOB4WD9hiKOnsNUHpVL1dE47EabgTHgsFpvKteFxPMd2jH
FYmHD6I298sF7402JsfxWC0fk0pK5UMdZKLZ5wLy+HYGllck/T9/tfyqU6jdVk/mhgRAcFXe3mq7
xYD8AusajKtb6jrgAzhcCwbb2FGebIWpaSwg7epLui/FJfGlf02qHlzRkQcAPMiQnGpoveR/3waY
AfvNNN/GVRbUXyjmxybgGwi8+h5eJWix5F/n6Xi+/5tW2RoS8iBAyV2GG8w2SS4GJdTJ3u0iUOWu
KAtbEy/dBhdiyhBqDY6N9w6uEvjcI0502z6UKTZsd8I0lTU3xC5g6i2sjkJOP9secpIvMvBjrJs5
R67ZuyknBFPmH3btB2IItUNxXseP/E0P3Qjyo0XEQRwKn1bi8zCKQ64sZ432dyaHvjc7cnza1GEH
nGNkz0AqNhHuUyMzDC3M6T/cmUFe8uStOmoHkf0dCunFAXrpRsrwa08BjLeZq3RC1hUtgPN3bfeS
yi3cTZsudc0Hde5rJgUHbtgFsDltLT2lFv/90ugVJgEAuRIm0UGF21ssjZvNs9w0lke/Pe3Z0f+X
7msTfC2czX2YcqCSdknK11QRNH3jXwuQcoXjaCXIK9Xod055chKeKUz+rCGELuR0FN/WWB3Y33Wo
5svBTvi7vme/MWT5N0DY1VaT03UXrKtzkUxofE7HmPLGsmU0gk3F4xnpfG/orNQ6vBPGmEtpDe5B
1tnezF/BwegdfAOhnpXY91HROGYwmOYA1dM8T3uz7dRDwXgSQ4eCc3JUUj4YiUwbojrCJI7+Hm+5
AgxnHXa3ockLsuKpGfUzX6Czn6OE0qG0+5qA4mv8akqlKoeNXo5G7Q7n7AbvRxsCEHTU+m6MeZke
JC3zEiIkwZ+9n+ID4GTz02wuY2zHpqVvzh4tWP0RE8rkiNwiq4x6VtzV2aPitobdTq2ktnKUg7sB
Bv35Ig4I7CGxfYO28AQkWcvV8M0HRe2jXrianYDhFfQwODOaUL4VQxrYSN3+8HxKNOhdjTDh8Dt1
AP/8J/EkVuU4htwRSHzOz+TlpB6hzydswP+FLwg3d6Sc8zr07MTTdU00ge2tJaIcnz6G8ZOriODT
bZ9jmxG3AHcoW1rqDHyjMw1B5X55btXJzhVfV0RoKoSxOS7IsThUd8jW2FM4lWAZhDuwZ8PBZUfw
aDvJXqQT+x3+Oub4mHZK9xMsl1VLDZyoVOQhNGKxcu1v5mGkIKoxV+HRjp0EJqObokcG5t0OlmSg
VOKlcS0K5/gXa2fInZ8ytHlbMvgVQkcBT3hzIMuXAwP4Wv1l7C2lO/zXedoLNW7W+M4Kwckuvn6k
htYSbi2Usl3XQKTxify14lxvpLXsVo0cEy2dphbhSATkj3m94FR2W815c5bg5yNSjJr9fJ7N+kpB
vUQhglbZ6b9tgoZK11E4NuVTY2xGbc834BjO7/lB6cbCgCsY7NyngUMXMe6CmurfE7+U9iZ/bSiO
nrkvQUZ7FlSYY19aOFd9p+D3WGvCe+abbMY60t9sNXpV236rnztuH6GV7u7az9A3hsLbTI6lDh6p
10pEBKY2DQuekJKUkkH1d//9ToHaniZBv41RL3P+JxSCiDOKnby398W3/LWc0gHlawfOP86uYVcV
vXzBIdRcPysRzaNtoj5vGeh14VVptee6d6ggaGX/n1EHgd0pycFKVw5gVW414wdKJpUesWyZQkHC
nfhY/ekGmHlsQbCAgS3Xa5CHBHtDXpIeI/QSjAHMjxU2cn5eDnoBfnA8PrsilvurPAtYoGnf4BRr
bFX34L+hdVLJTdnx013M9Y6Z1gKjcafXLWbngdO5lL2436bQ61fnJE1CYPADP/GOtuadnAJvvRGd
hJLLh3RQ6dkeEcl1Siu9Qs6EaxXTajbzbx8KaBfzLMOq7lJKXh1QfWApXWpxEcq8uliLqZUrw9wz
vxTGZA6XXlzjs0nbQT5HjlVmv+HEGrwyEwP6wM0BMtBZfKg82JEm5cW4TVbbt8KOKKD19jXM/iS8
i/xClfmgJyTz2jph63Oa5+9kMr9odv8/oU2cp3ZnD+95yGVXoM/iu7eqtgz8+Y6EtAy3QjLgWwH/
WmNtpS1nRGJ1b7lY0F43mRosusyUydI0xtBvr2bpq2I93cCT0Pg0yeRBGfs7+7W3xMwIt8Nqd+mF
SErh+i0v3ZH6o0N6rrul/Td8n8iMLF8HQma48U332nVGmPpjjUg3sK3yQHj02HJ5gn1eTB33Ez4v
OLx6WhwsPTuvvcDruYoP9eAgI1db0zNPgKO3ych9lL8S+0BKxENNmcf4uw/OTfrxDUPxzzdo3pn+
k9JkKalPGU5KF6lfKY+rrsqakIx/NOQih4ml/pTM5/BwvAKqcJFD3PMPd3TlxuXyh/8V5B+36deW
O/bGlh4pV+dpcVf+TqQ9nbJVaPimcokk2Qtp6FMfxjJqFI4OnZcFSzu5ifEE+XJnNrS+IwqgkSH6
X77sGw+xolaY5krTHAZHagJtD+0I9dxgofnHH5ootTIF/+28LBubS/1F/yHzEDvXMJ5/RrQSLgXD
VehiLeVsS+2AP4Fths5tKeKjW+x46Z3CzOHWDk7lMOKd7fZw+fdhCMHyJhB9xQj5Ee2sTkZ1MXQi
Ls3dcb0nq/FajDiIrRPf8AG+606iIvkhTcDXXIODIS9bH0n6dDfw5c9OOb/TQfGUDtK5vzbig/uq
iZikaiYvn/WaD1BIcFarzlk0XOjGwUKJYQyLakiiOx1mmFp3PMkU7k7VeDlqwXZNoI/07NmEq4sy
SCEyJlMyRZqxJ1/QUrURDuT8yBHjMy2UyQ1ZOGtWmjOy5wrZho84Fl5rzvlS/NvojJ8HIf7ZTUW8
xCfuw+HndPk7rXo8kMzS0fBl97hfZzx058PfU+b2dmFzfbkjNR7+INE/7BeOwNg6NVSOyC1WdrGm
xQPFQcd2l0kV+w+eO008M4Y/jlE8bsE/Pr8e7t/ekFlU9zxXkPBRFIb4tVXJSRURL8/zSamofvm7
7nz/nZrG3kY1uDxkUzkvlekFVLn5PSqYcSwI0BGwwZX0BsxWufMYg6hsIHJtjonTY/IUErG0aLet
Br48nGJ6CXzE+QszaPn8PCLnE1Ny5IBTpwHJk5stYVALsgi8Z0HAKH+JpgEOxIWaUMLvYEfTsOT9
vUBZj8c3AHWz5QTS+NvYe51BrdohPt5B8fhW5hTuZreheg6LdsAQlBDUfrqx+lrafg75S6q7FEvR
o9DjvAU7dFgqwTZZw5xnbT4dbN4CX37Qj3zCESg3HhIWAZRelb0r4uW3vGMWvMOeClPlAphkdjmf
ZouMSwqwQ1UCXcMPcn4XE5D1xzSDxa6mQbEZxrGGam6M+dhd1uHrcIJ2egpvaXM7eEtQdZqN4Fpy
NcprkRMQrBznfKPy7o6OkGx7Eyipcjt9H0ON5T7znUChIA8nk65kJmQfhbcouNLRwsvZ99Zc63dd
tbfNhA2BG6tYJQ3Xou5HFXHlFsQmq1hTMEaN3MsoxAxkW/4CsZbD1A4NynQIyZckXkty+/crc3xb
lxp4BV9gLBYkADk3R71Y7Dke9HvsHUaUAJhaG0ErG+YkMkn0mIfshos1yx7pVAKLIf8D9/TmSYsK
DcWTMDltOPu7YBNr6YULiCVv8uLJD0xtZfpesBYHG0zNWar0buCl9R84woXUxD59+CCzm2vdb4UO
876LCyI1ZsQxdK2LKs37FYNWnMzHRO2QMT36lvYd+e8ulIH6zdxddNbWsml9snOwC/ePP50ovlo3
Bt5iyQLWKYnR1Mf8lwaGbrUyIHsHTKZkyX73f7EGT6gqQAlr1l14PhUW8SKGPCj0GCBYOQ5nCtB+
0O76bsGkLGjvxDyFatnVVkJLh6PCg+kBu9uu01sTTAF1kcZolKHmFro9MS42MmtCXZLX2BarAb1I
dQyjdPOtCBjWT9ukuUsmXcUHWiHnuWKHZzDpvaEOlLb8Y/7/mPnEyRlMobj5oEDhjMLRsaXewWOh
1HFWOpWXI094jGoLYJo4+xdZSuth6/zuwqmk91nVgQo5Tq0gCuTxUyq01H0uqe017xwPydIfvr3t
GofYUDlzwfqrKkLdpnjDIdxmL3nBllgEjqWT0gj+pQ42a+S6akCjjg9grnRrRmVdgtp3UeqSmLAS
mekbJLLYe5R5Yf28sTH6WbVmjSfMQYKZKF7fUdvAzZNS+6IVQ5+rnPYxKq3HOa/j/XIZAd/l47GO
HWrFAZv9uVBwJ8YOOQS17cM6w1EPgjB+/FiyEqyWRA50lS1Lxmmlf2x/al9O7GWqOnbNoFcv/uP1
Za6J++jIXXJBKjhSESqo2hb08Jr91cP95Xa+Ql+hogIelW5JL+fJi2dUncT9ibLOG7/aj1ZgKpbt
u1EHHmTkgGoyzQKUcYHQv16jiqXAlOtqoGvmpUbOZhZ2aYrOR0U1c4L76vwfDYG0siJ+D5SdksTn
tT14Q7BT4ema8Ho5+gLkYjp2hjdNUredEycMM7vxZeJzxhvwep735uIIs25jVWL/+K44ghkaWLCL
xVPsnRtYZU+4ROQ2EZ3EYd+Hbh9RHxy4S3RyXOM+geNVmWkFijjVuDYLDDdl1py3LRqD+aVYGZ3F
o4KHk0gR7hbgJS5y3ckeVbQEd8Fo0KnCOft4ftJTybmN9qbf1US0xZO1cOUXdcxhJXskbMZBgmvd
GwlvUaZnKohljuFATfToaur0Ifik9b0j+PGAmcxTZqILsSUr0YMT/K4FwinEjrocLsr0b7ZqZ4bR
rkvMDy7VoZJ915u1iKd+OyzYHkfF6AFkhzNwPeudFwuCkg74DGtdkgyQuDuIFITgiHW/LZr3xvPu
CMd2Wizxn6sXa2jdExxpcCuttFCVyp+2Ip4C+5fqWyUaMbsR6z6yA1cO08mDGRx3+KAJ0sb3n6du
0d8PoDxWCkuUK9aDrFO4bfGSFwMWhkDC5SRKLEzyJ1F2OlhWP4jL/VQIXM4pkcIo9SgvCQp2OUbu
VG7v88URSu2KN96Y8O0kDofXBuv+wODF4lX+mUbHn+EBukT17BE6xdEINhik7DjuQGVGyMNcjzVX
DrizDOoFAy35MmXgk4pfmfUHEtoBmJ7ez4bcOTv0B9Zq1cCL5yf2t3Z9hKPiJ4nHJsQN53/ehpdh
baR+byLWHV6XSTUG8gZAJHroMGuopiz/rHtC4z2cut9pguZ9A9tmmuH3/oQp2ZFMLoqc6BuAAcN5
KQEaxn3/qEjh9/HQcRqom1ldOTfX89zUJg8fhqg874jGk9odXC2sjTWEhS8OQuo9e7BeSTnXYPpk
00IbBBEqu2K9uxXvwNvRDByrOxRwIasHJkYjYiSxXD0RGRHw/T1KpCJUKxFHXHkOaEKg/JbHtBfo
0NUwLn4IwMTLcE1NowezrKv5UtYVBsF0g5gQv8qmDsQ59bslm4Pask8o8X4oe+xVpwdiF21lW0vw
FR6hWVWIhE/dPSjhwqc28EXExl9T09LX9LYDuSVglxCNzYxN7xuYVD0KF/KGaCWshzFKOF7gn2KO
o1S2NUDirNu7pyaZSiZJ2waPEJKQR1WYq5Evk8c23CnvE6MKFj2oEp+TD8TtrDc9nxzJuFbs2wL0
5L19HXIEJzIG9XSh33apJz1zDrXRKwX8610y12Y3gpZWDklK8Zema2XscVl0EMhFTaoqS2KgpQTH
EK5mrYZDxFtPHGjQKYoOS5IWSAf1zXRZWtKe4MKa5dm0nFVXIzzTqiEAcuzGxK+FhzdDqK3ugHVT
rs/oUNYTB8/TViDqPoKVXHEwejS9ijxOjmHctKtlwJNGpRXxp3vqUELWfRpJ8liQRKzKj6jfqDu3
xdPMyLrOO6ZmnCrQuXMnp8Ib5yk0qxd5i6vxxqJm6Nu7z/K9YnXhX6R5F3+Ed5+kR87npd891Hol
oNYWHaaGWKUQlVLm3ZnqZzm3jP+4UIuuPin/6lkOMBpN7BAoqDX7Xw0v3KdHCx/gttp79ANvVVna
OV3BlW7SwTdpjWkgARtVtMyxJcPNIyP8sxyLiVpWb3NOgDofaIJseX6q578+x2EXwAao0UEa6ptR
qyyZd8jchttdFTMVi9Bf6V98pjGzFgAmQA+b9mvBAwZzKRroNu9Cd1EJLAQXsdK4+B0uZ+XXKOFX
NjZWNlXyWUHzrTtNm5S4Um7UTFA46mjQr/46rYpmoS4F/OuS9DdlA2AECbfGzWdQLyBkHCN99e4n
GSvMN59b4+JyKfdbtDKljI7h4cDjVzru9uU/72bJXyKt/jQwJ5pqctjJa07AXcvNHDO3wWr75LZL
xJ4zhp/7qCimXNlXbAtc1I9MsEgk7CjuA6Tvm+CLQA7VU26z+/YMX+jiq/1cdnfppxJV2vQEI77g
u/SVW3zhwAs6FUCNuYshlBWzoOMLIlmV+2AU/T6gqJFQcY28xWRKzuYnTBHbTuYqL8ZpqFPXyfCY
mFC2Ss4UWIv08tPUPoryJGRonOVjxyP6FDl9bHGg0//+Yz4edoLE6d5eG8GyN3esGfUMDdQ9AKAu
ley0bmmNF5JGG2qES+wi8TwnzbD0RxRJwsFkSpLtflAqVl3YdSFzPdb9FWCCUnwhFOG0pmkokFeZ
z9fJMifvXyObck24ZK+EGN3AHUXm4W1go2TjWG/twziTmkHORnPzbKjLZmZ6n7Ml33dOWO4jGcBH
7VQg4cye5tFCtgqBktCNW9LccvbbycCAuUHPogpF0mJ7fJwfFAHgU8UGSjOONI+mpp7j+irBuvne
/SrLy+kuTqeh6VAMEbvq/Ofo71NnOKj1bQNyZQLZl4MlIGsK0T6678TsN1GBcs4btptWwq/R+lSP
6PwY/vxWq1fhJL+oBBo0uyvdXO+5AxNh5irObxz8RxLPATzMjvSGrPZBMZ0XQRyMH57secIfT8WR
p/TVbKPjTcNQg4ybuq5R9WeWh0WtS1UGcSq7dwkaFagT2KSlOJDldbRVEG+AeaL3JCskbKuam62v
9XLUpL+hJJJDuELqc3rN9PN2+VqJa8vz3ryZdxsDNNi5e1Fv3CRkRmrf8XxNToYbie/97k5kbpLL
LALqs7P9RzR0iwenVS+WiOCEnoxreR7/8mOm0pE9cykuY12zNYCpMOExqfndRGuBhyfyBXCIFnC2
DOaNpfVUhsD49zLqWLWg1ZLm//OR/CQxkWDjuRvYS/GCM2p/NtrALWABcd3t+sFrVMSSYlavKmxu
tXbmfU5ojKA+VXJndEpL1HCvVZhSJset1FzLD6jplfOvIL/S+NSpN2qeblIWTIuZkLaDOWZrDb/o
yajpBfAfjwMSfqOj46lCtPqRAN28dwdOXDXyfhJ9yryWHe+NG9vKzXaUhN2bHl41ks8Zw/IGV7nT
V35gLI58ttfxRg94KYkQ/9n9fiQ2w5UX08JCVdP4N1DIZrqniY56jO2hoqSzayvGipkHH2RmZbvZ
5AO9GyOxvT8f6ehIIBsvlO6Mj1H0uSMw9+fCM1C7BKuCj0QRj23DK89ML/aT8Q7EgadZVv3pgbtr
4lsY432naWDs9A97vGRMmNEW5Y4ZJbLcscBTdjbGIOqa39foz6MkB5bXXah81z5MGSZjAZ+qK19D
Q7WZ0+QeHWBy3kYGID9v32Z6I2P/e0q3fQatMfofaxR61WsZKOcJjc/8hmAjNERGAqRJnEw7eqdu
hrIMUUvucVNCSFTA+rq15XpKqPAYSq6j/qbo+dnmNguAPPnSacRQjc5GAuuBCfr5MO6Y6GO5AnSO
138u+Hm3rDi7w02Ptu/x5eu8m0Ro0OXNt0m8KYxLEp3yEXcD9loaGTypyuJGlmLpQc1qtZGbozcv
SW9NGQ8fDiV42zsKLzxDeUbunf5GOHPPpdSeN5bHKDr8DzDl/xGde1EtHP3iRO1bvtWCDtfQL4Kk
bwLDJYpoW2qToE+wrBTlFKa/WtrCYKaeX7Xanu74oBv774shMUUyAE5Yk6nMPuZxFutsueY7NG18
SjUDafOClFJpcUGMSnZDkH63mmoEdma6z+MKe6kD4w5um0Lqrqa3F0veOTQamBUjw+ClEz6in23R
cbTHqnGi3g3EKZC7KKZfQGQ0TLIyi4H2eGedyEATNZBtSq2klnGM/7JruEOiTcdZjCPvuMzWcXaa
cGTPI+apC7GC8EgSkrbbvQs09a6jPtb8FhB8GWUpZHMB2A+xURMy6tyHsxY5fbaGcnJIWa6OYgpq
vth6oWLTkOVMCpW7VtDQqaRzBN4haq4rXVDmf/iqmYLK1cGWEFtuIHpINPLx642Z+ozwFDrVpf7C
ViI9nzXQnS/5RlLZNs3zKFuMqtZeA2/YtYWKNnkXOSqLCAlYXNiSKaVRKoL0ecwP1wJ5m09jrDbi
GPg0eAolNf4C7RpLgGA8B479O2Ut8KEashn8BmP2LQ2fQNpcSYQqEnOrt3dTAfu3O8laKz9Q6Z7c
OldRdTRqD6qUT/Q4q/QB2lKmA+hHXdHZFfeQo9oLAJbBFxRzVYPJRwtB6Fdi7Agl+qe4HdKrujrM
l4d+yKPhMjnC1uFcxkFycy0b4VLvTXu5N41kLjVXwg6jKpkqVuDWYrF2qH8lJwfVXfS3F5sqbGI3
npmDx/COnwCz81WJIud/7/pTw1ik8EzJdvVEKqkCnEbCAfOkssdjQb6AF6+3/Snk4gAzT0JSjYCX
olKOHjcQIRU+uEFcsSwK2/IR8An3BjgVIyiB8RygewHFv8CBlSTt1bYBEEJlqYrparlRrLjmUPdM
lucD9vBIh8RQpFkPcsLaX7cgPECMeEDZWc17PEpN3TlVZPmhXNRjZgMGNp3sqnoMxQT9rdijQqZ+
cscnqdFsOK5CLpxwbQJROUNIXSwnT6RidigIlo+ZgdhKQZKem/RljBjpGa8BU9LrajaI1wzoXViZ
zXom5LHPlDLprzdejiRT1ePeOFsdvvUH3qRFELuVPNoj81APweEnZbue0C52Xs452ZoVfc7aUgzK
VKDAMDUXeIvTSr8C8Vwxzt34VSvBkQT++n4D8xo1Ot4jr8KWSv19he1onpGyoY0gQxZ2VOedztg3
yy1mQSh6kPx2wZlHfN/LEQ5TTGkPcWDEI3/GSwXCsLMRw19O3NGFwNOlOCeZEVvWCvT4wgZ659Qb
I4KkKKtidHnNc2nftEyqsgJW7n3uxotwJdch/zH5ub0THxux7V+UETmp0Wzt8hlxt9YgeVIczX2M
4OjWvm/0qd+WFY5H6Xd3BOO9fLbLKewTMvler0yXHVpBnXNm2rxf1hmd14MS2b1Slgjn44pAvOUF
h4xvMWnMDot7Mp7aakgI15WcC4FQ/UISd/411E76A5K7cAV7CQjoni7kZfz7Sd8HrUzF9FYh55q8
Jy+9TsFQswcdeSV/rAiSpoRpR6/O0g6wtR31v4oUU1YiryWH9Id3+P7XCZQfzZQrcrDVUYW+huhx
5n8KW7oQ/ho2+3EX+eCX6Rhql75x58MSbF16JglfuU6hvsvWxwUPyl08ojCYe4IQslvGKCcnUO9h
VQQJ5xlpaS4HQlmau+BxCjRLZht8vkgrLf598wtwMF0tTxRRAJvVrV0Fabsinr7m0YPMQ4M1Iriu
W5TYaxpH0DCerACYtq4GbaRbH0d2h3dYXdcWr6ZnEYI2OLzGb6mmQemDU4COUswK5/doef2Otmnz
3X8XK03XopgbmFPk9RmfoKD7rQ0izj9gcXp10FJ2xAfogrkk3khf8EDT0yt+VxfHbZWL5VdfWwm1
If9mmL03w4wt7PBWuA1VHKt1SftA6/gb03tX1zcF/fdeG+w9h9krbXi5f2Uu+LUqFc+dO10xjiB4
hmjePmxZD0BlaXZpkH+YT0XNaxV0lii9x+79rjSBcKEpPQn/F7f7iuTOniaIvbc73qSNpZBmuRxI
r1VNnyQKVC+bJCkyzR7BkrziQgs4S2Y6KdhZ6mybf2QbcYIP59W4lkcTl20d43QIcFboyQF86h5g
L9jH2FidEnKtqPshbh7YXe5VQAgHc0+W8VDOJ7aiILAxSku9KT+0+Y3dVC7OXihotFI+yiRm2aUx
tBsrpBLSf9l8C5HZU1DnPcbiJPOcghsYHesUuL6MMseObwksCkKHgDusmPKJEURpkxYYfrWLxE7e
UrcN7mvhB5LsX/qtzZI70rbZwaMs+SiNaDngcdrnd01VCZOnJ78UnNzo4mBkrWC5eSaXI08M5+Xi
EvXveWIPOt5DCo8OxuA0zcEpMuWyoP4+Z9bwZByb3RF30acpQIIFUFEyQKhoqMldul7e688jpIdM
9+wBOMkRQWaQZlPrBMUXlWwBJ5Kg1+ut8/N70BHhGUNGa/ZPCc7X1U0qhfFipqIif7Yu1w/TjsSX
JoOcWlgVjB3Psksyg7qDaEQIS3fjja6q4uQVrTvM/EhzNR4zPgVBX1tj8vkPlvG5PaYRJRnnlHP3
7r3LSg+GvG978RxzbdgstcFv5oZ05gFWBlmbbAYIL43Z93lGiUX7cRZb2j3qsSCqYXKv0UtdJfwQ
x8nwEoPQfdL/W6dCuis+EdmG/RIsLw6CCseFSjlUyY4zfQewyJV7dWaiLTiviCLaiXLmMn+KvPGo
KfCBlybWNY9mQ/3GNdad8n+14QCC1Xb92TwnTSgqphD87RreRsj4Cb1tvg9TbQCJZlVlLeSqCEnM
eIrp8iY255C2OWJ3m2M/IjMeNqKlHKqlmxCjJtxifjpNh5vtfVWFES/ylbtf51Bw+UX4xAN7C6oP
n3IUTnLCg9vjT2ujAlTPHud36G+Jjwt9NXtNsJlbWyU8zWHdjVrGGOvfmD16bInKckM2BIMILin/
TXFEWNxsi4Nipn8eA6dQJXJfnu+6AN81gzXsizjlG8c6HBxwhqapdP7ErVV7ywglFc8pMivVFcLf
N3/S3rzV3OvDtGqq79cUBbpMXaJbjwJIMTE27CLZ/xTwzI+qHzyEgUVtj8cvpCjYIEYAYGDDff39
TYPJogDlQht1v9XiMavXHELC99gWHppQgPbLd1eLqqPd9QMDCgGw1FmeqGXmejsPjxOSyY2NaR6+
YO61xxtp9NnWfKjMZdgkwl4blvWIlxJpzHeYznm2Km0wbIf35WwWyaxihIUvgzATIatdrZYvxytW
f+K+1VVkQvu3TVnqLg1eDVE6YndiY8ex6omuq6B1xQ+bsYKW0/eR238Mghl56C2Yw/dcXCF5i+1M
3oe+2soiFWQpnEJx5gKbwjGjOeA64qdFD7uyr9rayHFzblj4gExtqCY021lBHJA2UaqgV/K9g5IB
OanHvo/qBrE9nnueGgJqZN2AUI9F58yXsH3t8vBPK3RQoiDs2ANWp8ERooJDxuermLgvvpkfZQcM
Z/B3MEEfaFepBOyqo+yOEftBP6jt4B8+oFZ11NF3PbgMca1Nl4ugLtQBNkGfWRM5KhrKDHgPf//l
qHnUHUTKGCDgKFnIQ7N1tu7rrWhvodpNe5ZPX5imBYOup4bC5uYvUr+Tt0rsCwsrOUj+XO6u7/t3
P+yyIoy/03HXiawRx5SkOQiNfeHwe4aFJalbPyjrgTjFdAsVFsb+kDRA1HFBekEZ9RNYSg8SpABx
IFDakyn8vcywlTPbY74sBEy810A/SsY0gJT+l4ZrRsCtuRsulgKOPSZ+Fm28npEAu3EqWZ8vtIhq
KPvTgpr0o7F0nQgYCTZehAlZLAIchOv07W05Vvz/OnDA6Xs6IrD5dG9tFnn6bhKhtklNtQE1uZH3
3bHRQRFLIbjsxZ0i2rArClgteE0BIp7p2OdoFrR1Kkd6YvaIxH28sMJDLHPpXPLxFVquG8SSB5IO
SiP0EVFoI8tic0RNkS9CaGyEtsw3h4nYcMsUroxh/mCRieK75QJjheMRzmNLrhphtMDF3oGEoxnT
EvyTwz9WKKcDN0jMHq143SyXOJZmTD1lTKhT0HdboaJQS2/gQHL2af9WgVI41D/P0S3U7vMUtRkd
Z5A/UV4vEtYxl7z/z/44zeK3B5jvxoIRgMEJiEtgPSY6qt2i/k9NhG3ggOeizXisrdMYozvdjT6I
XR13h+uuFTemNfOuCedCocgjWQRCTlvy9fkEQKubJaN3JaTXvdzlXQWHxV5Dxe/d9VfcgHkQz3xJ
tAJ9CKuADuQAey/GJUrbl/MnkP4WH6tCYI1N6crc42CRL+DjUwRwaT+XeA8aXx5jQ/RWwnrLp5hG
fo79TlnTheLVC2O1UZ86PNRMfietovj9dF16FeTrzJwyiO0YZW9W6wEjRmqT8ptrca73OcujuWj8
ns1p1NmDyEwq183r736kYfJT43kBTRsPAoPIeoiFmrIb1Elb0SuO3JVFLmNBsXHQzHLctSDn9ziQ
C/4pXYG2rRb+kYliRIPbgRqFdjuQIYQzjgNk+NC5JIlbOoEZPnJ4OYfGyV7Z4P8Sy8D8VHoZGUb4
/C5+sWcF2AzyiGN3kmOWX5EwnljXXez2pA4fxKVwKybK8b5f2M8hWrKKudT6D+ijpbIa2EUyW9TQ
R/+MhwJM9McdR1p8H2+eUNEoNYPP/A0jJGYKPNaETZ7U1BXxtPAhpC1TFZZhuHEtpY+hY+ZEiSC3
WxV1Mhrn7w3OIbBZdry1Txb1W5J0qI95UmPQs0ENzPzYMQbIZV0vsdJJP0Rd036maxsc1ohAZTlb
h7QMuvAidK/AXK67bKq0vMto7X5oPLILLOLhy7pmh/bUp6gtIYa685tv5Eyzfa1rEK0Nd5yC37nn
4q9coGaPr+4w183c78GRVsKGrebgB+MC83HH4Z5I45L2qgpM+Mv446k45NqjztAdP0xQM3DcKr7n
7e6hdQuNN3zPI6ru3P7ETE/O1+dGg1CimxcjSsyaEuLf2sN52L5FVfhanpVrvrosM4JByXrpYEfZ
IiC1J9lXRrTaNsDeQ/3fqEdN7v4TGA7NhExoWSW5TBfSpl+mMwuQ2ELlGZ0KTP6VSR94v21vbOyM
Llvk2l8S7FHC3BpYH1hpVve6G/i1Bet6Q/rENgLWOxy6AWS3xZWvvdd72ykL4k6D+/UnvtUwGXLm
xHORaLezW3KrUF/Wsbq1kK4sUbaiv3WuLUcTMY+qZEuSDm+RBIoJOYhB7oVAn3cwjmiO5JO36AWj
/A4UyNEbEnIyXIgYOVJFRqwijWneVMo/xiYx05ZilAJbl5lge2VqRMkag5YdFDvDYefdwts8Px12
Ic85PBKD/YPTy1lwBXZN0ydQgDI7hn3b+OdgWKuYyM2CrpunW7FMw5nw3FxS4NWliRv+HMBfS412
UeSyXN8c9JrW42h/LNEg2+Z0uN7Oos13gXBbAaFSSbtKTl1WVFdaeu21+9KG+vdYrqrXh+v004ss
myYFJXzyGkymw0XmVRUbs2Cxei9IqmvFNasQ9DttklYEBGairVm9DNaa3gktrd8zK11mS4sV4B1O
dYO7thYs2WePFVJyZZGWiaGYDI4xEtHKxJXmfavCCcXhE7K2BaO8J6JGNpte9qsM5Vvb8nfDHry4
IqkgPx4AacnS3gODIVje45FVXArJFvG1mrR9SKfHXRcbO+TEelRcFXkYitIHfEthobFeGt9QaoOW
zVEKoAdONE7YJ+fBQ2TspuEQCetwDO7hkqAGJ+2xSwNtEqkdjftmog1TdUfSh/sJsX+j6AVt+jMg
HdZ17cLdbeBnYYql5rKwIQtSSehSLz4kGU0AL9f5EH6pIf2NGRfWtc2+yCnwyVtPRDaU7KVci1QI
nkT1raYd0/cK4dv/bgt1Ypd+YuOfnCN5xXUmojA49/mXwXFtq2LCWzdhdCbeAFkNv4/eO12jUSn8
+6BPX0KBZJrXgQ6QACeg60n5OOB7k8bO5vS1XK9F7/HJKk8MQ2F61XLVNcW29SDsh679d/N85CE8
eyLtg/lFGiQELiVAD5iM7DomVBCpf92ghoBbxJN+hAeDcMWTjbO9E3l9DspbyJXqQXiro49jJ+3Y
9YodT7VriVzjs1qE89XtmI4XvEOIewZ2i151QCY4mBJPwlyUMFP4TkPfXiJucCIMxsmaunfmwfiL
kKXdmVshC8O0hRzEtFArKMDz0O5jW23KNHwMVxCO6Tct8nXqbrWMyASzQJh/YHfXat+J3Do76cMb
5dW083EC0zZu8L6ON1SX69UG5iJToWvq3ZfqFPjszeb7UbcMy8WxLFGo2B27d+5O6cIYDS/c4Lfp
sA+01Xgsq4sJeSZHSNh0/0iyuW7yXvfHf7O4wB0jRWpfNxQsWDjr2rSHbwUt/efVnvccVbPpG/UO
36wGl93EM01wTeG2Cjuv8KN3K2Rve++JjAx/RqRuXrIhYuWHdqBYsFQn0yOR0I9L7wpU22yv4s8C
N025fOboGc+QNv5GRYSfr8PLn7fcyhIvdI89h4ZWAjMfP4HNRDKUwE6grlU0+XY2sNIRFjkR/Elx
0dluijlsVrBXUVIkoGzX4LCN/Cj7w/hFi+pJ7Ef/gLxe8uR8Gub17Q1ZpH5ZFseIKmg6Wob7lLW/
CWXKdjPULloV7bs3CVTbcWYb/qW+CtkiUZkXQd7JY9TWkmhhzHQbjrGJEIDRo8qxVRvNrpHQfb3j
tLO459ZTiS1B9T4H4+FhDBB4hErfWXmW+638t0QjYUENyULwuvDlH6Rdg1itoEqCwL4vDpJdZCKX
P7F85/HXpxnklxYJsbW4CEC5N22uW1RtDm0Wgus58XtzU+Vsb+8rNYeuHciaNl7iZBnzld73o/al
e4Cu3wXEbnf2LgCOP0g1y0N+1X8BoM1oIVN/GyEUL5lwxt6FpB9HfZohvxnP3V3yTsDmHk6Q3Lef
NQ4RAlcjodaccP8vonLPIjLp/YTQsC4aqMhFvGTxzaUGfX2scPoFbrfGrLPSc8vXLLSBCJAOekSZ
97keRuKVsEZEe+WpaZarffgm46teamoyNoAgey3R139Ig3GLXMe+csBi2k+A+kLlxi0odbp/Dnkt
rR2gc7UNIuzGu4Agk3EGyjoOdWSnU6YaBGNiMbmwvts1mgqbIWMK66RDD3Bmr4VdYuBI8Fef6LNG
l/VqyJKd0dCBNcavOzDM6l/tCBWzCFq3ZqJcm9Cn7T/nrtRFziWbyAXBC8FIz5ozMqOQrdWmUo0O
RAEqI12XNc8Vwf0IUPhVnRarPbx3DD4pqdux1MYJ7HYwlu3gMjZJGeG3+T5oLRUlJ6D0e2ZN4Int
u1J2fKZ0pQKEZCLD/2gpQnGeYEUWWSop3eYuSNfxxHdBZy/4Uig7WYkmgjhwh9b2vmWAej1py/nK
+/R0RK1OnAcm9em8usBZpQ/wDMd/HyKwgeCK0wzruwL/VbXpntTpTjWMAA+zgl8UrvPGYsU6T8iU
fLON9YpKrsiIK5TacOuc9A3c/JxJJ+DF633/vXdtQo6n7xe2WOEdrM5gnyI17Mpx1jJITWzsJYFP
RogFLqawxOhzW1hmS5i+fI4+geJcpuhzUX2/st1qRU/bhhBGk7Sqw9j9EmVztq/yG579fyAZmxAK
SlcX5KZiLXoqWVdqyZ8d82wqYAb7Lya+9apAoJJkWpWFXxiRpASTiKHATe45M64bBQbvpWfe9Vag
1kxu/NUghmV+zE2E4vW9Y7VJYsqWDCQ8vPCxfZ6ACZhTu1KmsbM5cCm2gyj5GZIcRko5xPPHSGKW
hxlXLFwpQkmy380hPFDbSl6VK56dplrOvrT3tv81ReCPoLxTu2IfPFO7l/CDKnxZ7pSALhluILty
BXxDgqsaFuG3yMegh6jlZBBps5IzU9clAShqhqartK08saysuJpYzRB+tulKUbxmEX/VJeEWAAHW
VPYlVBMVWm55s3FhqNiF5wRq12fhAMZf0xMoqm3y9ftBLS4Th6fFnn1wLjoYc9BbsuoJzItHcBKK
CdqWNKvSVWbD3Nulx8WZVqWKK+06fUAMlb8VDKoT3ZHDOurgWREb8H/5ojcWOVTB6XXnqr4+mncA
YR6P8raxwCSpe9G6S6pUgTUs8kCstYZhvB/0Bf5e22J4aKo2eu+T80PkhNDxlKbr+mP9t2g7zR2S
JTiUqcfZ56yAIJaletp9kEGkAMQpGe4tE6rY2aZcdmIlE7w5JhdPiWP+bmcyZ1QZjLcKHQ4JZvJC
DQ1kq00ViOssDwFT5pwW45femcCDdJZSPefnlPdmSkDN1EWzKmGZuCLZwFAiGiAubPdUNP5aoR6P
xu7KWr36raHZE+WS1uGFRCZqZaSVTh0oxbe4TcV16QgEalWo85R+QkkO/oswwMvgg+qotcbv3x7f
YDN5HUGfp0qhSnUQZyX6hSx60rVoOX4TdQORoUY7ZmRxqaWZQFFd9EE0ayZ0lk9RXffNegLe0aQT
hkjJi6nFFub/TvMwGm+4BHTBy7P5ZkgMwcehdHcuSUw4piW0KnBGw/faixdeOYya44KYQorJFss+
tlhoE7PERG8T2N10+dhQh0mDlzdqLPGM+Duh4gXzD0VXI4NvdTWEss0YLbkOFzs8yd8RfJaCtEWN
bJt9U9oa0Jfh13ImE1/8Ws2CB+Er/inRtJuxlRPOJbKxm1R+9VzkOdHrlmsY/j0cgObpFmDDWaPT
GW+xjSppvWBw9FPszq+SjBRRXrEbNn+ECAqlGYobwTBEAnkmVOS3H7rfMlgsuakcmgzV/uEBarxI
4V6ml+194mOMpSJmHeibLNeIBRJzZv5zOKPnYBtnS2HFEk5FDNNxZSlJHG4Eq2gpp03vjHvFKdXL
53x/IQR0eCtGjmsq67clP4fiupSHnwfcFw90/V9nLDkpGeK2OGUYEPam+dJPDCho/G9VN3CVAW80
UYRMHu+aqSdqFjFrttThMXcE2+LA7kVuym5GqdYxKJCK54KoNP+cJBIpq/3OAu17b2lZW3XFIyhs
VRxK5ycOZ13G1e4PVxoF8TM4Bi+gaZeITnG179uP0gxvvJycY3FEXliMe7ye8EISQ0qggGHiObDq
VioW7s2v7lS9AGRbHA+dT1pkLThp+hezPf97NpAQZK4Zq2SWHA9Up+3JK40mklYotA9KRlAejund
AaE5UHW/bF937DjNwDpntF1AyKNkBNsgsXXm/LDOkgzO1MgMhLL6IEJzWxmI16E1LadBbgmejeNl
/XyGcnoaXBN059ug21adQXps2ayvtx3Zkn5txAvuFvwiemW813jrLxZMdfABa6aS9v+UGaJTl0MC
LR03yETr2OsPiBhyTlRu+oQwzEED9wIKl0plwQjSjrM4YHB56BntnW2F+wkUEmlx0/wHIpz/UBzc
XZKutfr5QOkpn/uezZvE0EZF4A3Kx8p9n8RrGmZVzSnyJSUR7GZS7zNn0H6ZYdmgDwEWvSav8Kxw
U0b1282B+3x7IMMzjS0a0XVGlbwahHaAknSE3uMa/bCJDeyWVdWhHljsZa8xsbhXlLtXIps2EquK
uufGZ42NgfqgTCwufs8o/GrP1m0f3exkMnQwAp8bta8XtYBfKy24/VyppkH/M9cuoYgDjpyAdozC
r0fVNgw+8DmTOhNOxRGKzfVvvT216ZndZfMJHv/cmwcVwIhDKW1sbjXH8iSeshENqZGkOgkmAnhF
Ognb7dD3a0nSz36SKIVKFufio7eylxwfwOOWgPJVsySKzNUt4ONTepQP2RstJYshAEAUV98r/cnD
Tzg88W4dDJhSF2o0qAWOm9ea/xrk2dQ2nC5YtawpVwl1/tdHYWMhPYtctJgEdMpHqS/KCE0Bz9pM
G844GswZ1OfcHrHY8dxD0o1LlPLGf1eIuyv0Wjl23BV8yghLyfnTYKs7Baoq/C9ud8dUSwImyjp3
K9p84Qj7yCbjCDiQGTj7ISWciADbr8hTzdLiQVtBescR6/ze97uxiOyhAjP/muQOvrBJM6hbDzmf
/mmqa5tSvMgvIrkejHKbB6seUjBIY5P0mTvwLYmphp/r2dorOPNTEmuMrG2eMMHNFW/xaBGpVxZ2
2I73URYZKMLzP9S9EPV79Tg2froVgIutlNdD74dGqmU3G5mrhrOmeQ8TThHfR5gpRk5dJZjEueXE
tdhBNgMvulbD8fD/8pG46FvJT9G7sWAlpB9J/mBRbHUKaxVfUk73HRm0U/8cc/x+NAnX7FfH3gZt
ycPD4qYkXxwIwpx9m/FmzaIKJAkJOL68NvVMJI3YNEO8s9Ai4RRCSRS0GBx0mrFSqJmzTrYc+AAK
rWE23VUNn/fCtnZa/MssTmg5PooeugQOJJ/a4LRwjgIa6cbggPGYEVZ4ZNlTHBZ0ad1hXUx1fH1z
1MKbpmpIPTXwHwNTYm+tfHcXrnaPtic7EJMtgOe0Nb1hybUld1S2ts9f8vRWhdAoSeAKTio1Y+cZ
wksJeD0cglYa1riOiT3O8LqG7Yo3kQ4+8kGLu/LWqsqf46QuSLE+82j+9soOTGqeFN3055WJI/BF
fXC4OmlPWYZxfH9SuUoy0l1Q8gga8AGk5mFN+O2ncaPZmVWg47Fh2yheeXXlDV1ZASh4vJPiH3NW
L1O+dnWCMlczopp+ZMmGi3BURjHA8yMmxPW3PNeGfF5h2ZdR33Pf3mSgIXXYtFQqEUide8hcP30r
uZb9OINcRZBYIlc1qB1KHi9J73aVGKX6nreJRqIv0NQZlT1OsYyH0bXCZ4FCZmRyHhZevcuvQhPu
dXUbV8qriXSWNS2mOK/xuFc+a3BOwzqrzy7FwcZPOk0En5w1fGkWZ+W6MllYMBJYpftu7ql5fyIP
Jaw/6Zs13GU+zFRy/0LjPFebD2mCIOUUiVyj4JFPuEvxf9P44VkHOsZowHKQZmMbs6WRV3f19ELp
NKNQh4RYSWRKa5dYoYXElL8F1JaqX24HOIGpvR8knu6HaT/O+fJCoQlqzKFoeIP+lHwy+D5cXur+
207pdhi9WFE2Nj9R8G95OzwgHL+f1hMtaz3a1D1Zm3Hs6wHQC6UtXJKMMbcJZEhOo4UVoOGb4VbG
Mfv/1GdGSpqfIofRrpYwWQdJufW9eGvwsZmdiQcbd5EJlz94S2bQTI0FmDlgjiFdTZnzteymFMO7
J8NgLlrChBMQ47waRPkDElDw2Er8SpI5/wiU+w3BRcND+wZP8NuHnQcNaWMOVDm6z90GfIRalxOc
HsaqjC05E5o1zO669Qq3kVpcy4FVxQPt+hn50X++yqpzj6CAyuMoW4xhjIfCINVoKNNHDI9WiuP8
kxxPLOx61j63su1aMSNp35KI318hu/38KpefbTnWrNUbJwGWtXst4ffDGVklK7m21GtunM8t1Bsy
py8YPdw4wQxLifjSjZr0Rs1c79jMJaDc4d/6t1sYFYXhj4HfeyNEKh7wCdj1jXIXiM6VQ9K8VcWG
mlWRn7SnON6fbCB+bvX+ZhDLZhyV6VWoDSa2WMf5RwVjL9kZHUmF3fpLB/1V8S/vTZyWQQtzheum
64XfzSgE3dEBuODo+RKJJZ52BgKf4V7M1neF2cBbeSAo0qe/QriQgAYciMsRW+13mNujVwHg6vnt
SHF8dbyHavzdY3RfbRZ2YzlfgLEUIMv91qxpZEiA31ZjKkely4RidEHULc4klzOTWX0msQq203eA
G0X8rfsRXbsZYNnN99c6peqEmvjFtvmPBAId/g0y69evymdHtRgS9wrp+HNBxH8bdzty1uy/jDSz
l7SFRZtlvxk38z+jWAd5NRvBHVpmeZ7jOTZa1HWpHelFVktNuOCGSxYA3l6cBS5TyaejDCE3Tz+k
bH9Eb9QOOmnyh5l/fjCUFeMI+qzaBQRlgu+hVyZtbqTYw0LkE8sxLfrodYeEQp2y5zXCa732FQ54
MFWFCimrrJiDVNtXaOkw6jZwht8pPqZziTBKCR4d3QSeFnRAguRkKzIreR/MAF0S2B0a9TqzZqhX
8nwFAZWwaehfnZWp3ZJYeuUNejfgh0hLzjg85xnACOFrgnK13/KiiVu6nyJVe5I/WGkSth0qEk0v
IoV1hzG0cK3hYxYFP1u3A6WhyYlFtYIJGU66TPieqhSMDGv716rGQvWVlu8fGJuuRAaxJGceSIRh
IcC2LpIEcFTDFwwIUxnLu6o9TsfyxnT8aE1IKj4djXsMDk942bqg0+tQUIv0aLyWKNaUTd7N8TjR
Q4LXPLNICibM+tR8iO1pITXa4pPzgVnmmVilX3NXYUP9nGOgiiOtZ3uHUKaizhv0fbVHwH5/i7kR
g5iF2C6dKRyuCytWuyHqBy+hg7NyglrIspNly4EozyP7SVoF4pbeykX/iE2zLvHDSmFMILq7Z2qA
w2JM3vTg/A81MZWEWHsswztZvm4YDHfQItIPLKyWFnjegXYsr8/C7alTieGZ97FD8LLEhshEH6i0
n22d8IPUaq8ab8z0UV0LSGcvy5vicbkLxQt+Hp8oa3dqTGU1jcvOf+EeKSNqU8p4iq4scRcs4vXg
swGFRhaDVglGqj8pauELcjM4U0kJiEdjOCwjyjgpYO1yKCry4aZcdeynm7w+pqpRGZIviaT7U4sl
9oDpf3MdTZnFsyob6XsDx4rwOsTHaSOJNpwz5zGO2Sy5hS4yH3i2QpundY7wrjofFWxX4W88nUiE
bCK8PGhw6EqgHiPcngs2TFUfNrgk13MbWvrUk2OEMw0xtO58xTBhVCYSq5B+WwGiKet6iOENsFky
FSADRq6Mfj+qEioDj6iPBfjSZ1uOfzz3VJWQ5HNXKhfrp7rI2oPaY2QTYc38WNFwzyjil/1FyyQ+
z1n7gaNcjumlSWehY6Tp+nWDd4tpL19xktNEq2TH9FS/lBBhGdT62R9VITg94Y1lA4zqujn44pPS
6KQ0r/Ic0KtL0116QmL2v6aewDEMYUUprYB81zwpRaynwp2C4qQl2W/clDeWoS+rPrg91XL1JrcH
ULW9RD61c5xep+cN3IrkpOkhQDOA3R9s07WowB0CJ59QWT+0rHf0Ub4vjpyszHTF7Gk69Ncal9Jt
PudQrErM+5PKyKNx6cB7mEWxKPHLX5MPZn6iZNBTQp/DGMYFWcVSKaRMAbE9xiQ5Uw6mUWM/EfyT
AUNtjVEUn2yCfSm7AnJ6zvmYtr6p+SjfC2dEWPNqfnDR9j2aph8nLmynLC+UGANCVoTvO2iy7rXf
w1hlXkM6MPmEVR8TH/TyAPGJs7/MXaFND4Pkj0+AbhbvncvdDlDk8BT+vI/sQvy/HD2hJwMJbmJn
Tm0t5o7CIekDobF46hofwznaEX6j2Q17t+y4b48ALwmqhOeeksPmGj164DkX4dCuw9+7u0O/fPTY
eA9x0QhrRqaU2UsssVE7EUt+yETo8AeD9l2iJgqXHb7h6l7e1ofl5o1dsDMm+r5kT/cnKeuoew5X
gM6mPy1ACW+gSl++gYSkxsVemwmYEVvXfpQXRrq5wDZwjZlYjStHDivTGk+XkKFCJz7MtMyugTnM
7WhXs2vwQs3EUfj3xrK6k+NppOKUqJTmJMuCcwNQ4qYWIHEnyLNAOdXb60aLZ+UJWzQxcpnWQjqt
O2FfdC/kwT0b3Ei79sScOfKX9jpAD1w+xvMmZTU+UTF6o0vlK6SEqgOyyp04XgS0fKWXi0wfjsKC
sTT89RtZT9flzzmrBEOjGbNiobFTmb94fGJhbdgT5nwrcmLZvzOxIV8Qsr1bEiVSFyWUEHfofRmx
87YONR1FMyuvI2QNd6+keXbEn6AWcugI5ki13Fd5a4XFUttHnbMqYtE3XbybG0V64J05i0Joih5+
aq7yokr6Kb4t6WuXL0hiF+3bpZWskPMsYyuPBYYgj4dSgxoe6GYKa5353kkoiFNE/ygnnn9CGKbN
MGiMONqLJpLOQj9sYk9pJkZNhPAuHXTtmtyxaraZVsf4YfsUJe0B/BrxJBMh6v9KP8KDYZJRtv36
QtLtzb/ZwI3aLQ70fct9xN6BM7xJKlephovLLEN5VMaQ+6CazjwROU3e//j9xAUNYBjz522cnPZH
t/pPBMvDFdF8KJgePpdo7/IpALzIHdwIIR0azmEvznIjfCcGuAcBvPUx4OkMNcxR0UJ8FJ7YH+fb
l5zQOZZvdcimvwK2Yd8HcGJUqUHtMIcsErIN9/toVlXH0pzR0Bx6f/7CWwJ2WB6LNsK9kYXD79hB
jJl4p1MxTme2iFpWHR4673ygqtewFod+rGgfC8qjfztKNIebGplOx2+vHoXOdxER1m4uM/nQ1x6k
BlXWr7VM1QUsVvJJHqx+UzyglqKWj9VWjX+RkUQzdJDVl3AYo2OF6LureowTHiBe3lDgt1pTX/2M
fNJH423bN+iP0n28i/MWJRDuee1j9spYIx9XfDN5/QSjRoQGzIXbQAmmyDzX3158Tw5pWiedBZaA
cJZcniD/D6G2pERRU6YZRD+ote5zrsVXTwIvhDykFIXh9bhi0y21A7EELT5wKQuAvLCJkI6kdKzq
vk0JKUf1EOCz0Re+M2gmNZkfLDkCPHc4ZvMd+MF9oF3N4z/T2GJi+yYU/7xbXZ8bfGduR14IML8T
eYn0GQ2lxFfQI7L+4aDz3XpxgIqP1bHJj2twZkkZmsvTwx8uLsVwiMqxl77Yvy49aTg4F0f5POkf
gayAGA683d31yqrgZMoFEFF/obXeBWxvB4jREtpH76Lg76adecqnyODvVf0A7nrj6AdKRfBt9/Z1
ajG7icxBx93/WC0UuVhOo1xzHSpuYhYHBoA4bfNmVJKSedoJftKAmVaVOweKSTpH+dLX9qFulsjE
DUZyxGIX1RgVlG6LkYJV/bB7chQcixV5xtdugBamMVLh4IVfu+te4B4LHRoUF9j4YTEHZGScwGno
1crtI/ZWnnSeJ4p1i4HS8qWWUoZCbjIYkqWtyJdxLZFyhRXW4Ui05n8cM9VdXdRHitwL9DoYL0tn
KVQOlJS7EySlBa9soP6U/gwg5lviKjDmRFSsUtgCxYWPd7CMEFNh2HpqXT3i1IAB0/NK97Svga2O
TwiXV4wumgiomkt6o/vJNyI8YhvROFAVhFvxEV6+9mfmwGn1/O9tGQGgB+xxzRK2nPN8AFmzRRwv
OPk/ybc6gKEpF7WwgxxlpUQ+R8U5zRg2vuBVYFbI0qozHHSQAHfCFymEeC7j5LKm14Yq/2OJEPKr
20cyJN2GyWfawinLJSkzBhpR2AfYxsHy1/WA4WFKj/IuyaCVRln/LSdisZcAwDXTyP+kKsBdXe21
r6+lOGohh9QueLxLipcSA96pyopwZZl5LWcMu8aAhe1H4GAPLKRpDi8YydQwT3+ikb3tyIXm1q7j
wajqXBZOsiE7Q9dKaTwTjlHc9nypFjmN61xGw5ha3Ch1xC2oVEJ7N0llph+shKQA+FmkAsumcds7
7bQ0SS4l+q4GK2LBqvM7YSwQx8oaBXvnHgYh/Bm8bHERYGGj+v3MZdTDSJGyhu67eJd8aJ1dIH2l
DP4XvrfPbq9gWAluOLdnDKna3cH7VkeCpQ+U1jZKAE0SnzEFP/px4EpOOsc61A2Qgo3FbRQ0BEaq
tdoCwj5dtPyIQIj7cqHbAegZL8y2RB5GOgJMmQZ6CaS3lsjak/MWVOhYn+jpSJQdeQt0/VOCamvm
RHp17YQ29j+z2WAxt1pXZ2J0ZvOf4z+i+WuNajcpxzYHQSjx/gE8jjL3ripQFivHhuX5+L9pV5mL
7Olq2joyVDzFzboM/0azQAS1SFLoYQM9m2BHvlKuDNG7grhn/Mxthw1Jdcn8bDBAMeWGGVDXkdah
McRDS4aHgJDi5V3rj8uU3ERF/Zg0pCfEf9Wy8AF8ctOuVuf/Ai2jjzpiNwJEKfxp88XhN6uWD7ME
cEe/PgG/Urlhs9qgO1fXl/XZq+8AJ9GhNeLFVFkVhgMoYLv7PTyeo//F0AUTUCvg7iyNBqcNISSs
K8AjtT92Rl8vALiNjlBVkmloCqtbuXvRf0Xbp578IkckPqLq0LsMZ6CiQXmvEIg+D03NX7kzxkeL
0pqdw1ZDmhR0DMJmucSmAV0H9DZHm0Gzrv1BvXMq0otp0j3BYt3Kj00JjMF+Gga8NxIxBoM0pNGI
w+icEH1kpi83S9pVkPf5N9SYKOgpcRG56sXWmWu7oKfICHjITtx8C6pQru78ASn7dv0JUTXLCt4A
ENq9ltlV53KaT9TC/nGxZMaJ3ND+sPSPgi3yhtw6pDISaTeJSZIXCiBiQslfz2bZPOVRDIrodlAh
p6h6J3CKAk7gevRL41SYhskRYjxqWjTZjQJYwmoAWS9PLuhl1/j6sRJXY7oR72VVFXB8sDco8IGa
7089bDY9yROPl2jHmbiR5a3Ok6T3I1pX4fcd7c4QiWDaZI7Xa5x7luGvQTHQcbgQoLCqVvnTO0df
km3CFTSgurzQF2ySTZqatbPpYnWNfzLiG8zmchDwGwkczcY8S+LwEgX/QlymtLHy9WsLV3PC+Xpd
DIZd7NEomgchOFpeN8mdTBYuq14QyiWJREBBlsVvWoN6buVCPWJ90tTp8VGTYjqIzamejz/8ArO7
D9LUrt5b6u8/QPFVWXsCPo7+w7+TPutUS1ToMYKfJ87Ektq0bpnTRi95q2V2sYG2k5U7+YeY7tC5
vgpBcMqMaOkTZCHcL/5o35vAxbor2VLT+0PTakXi7eSCXZ3vPKigqATxlSiQODidPA6qFMbdpT4J
kKCuv1ljeijRCuK/y5S7ZuMYHNcT7HLA5IT+z4pl3sp29WwX9xeluc4qHlfuv23UxF9XB+F66TW6
VINkc0jlN+HxRnJAa7OiT8CTnEB2AfpGTzX1LKrYE0ucGLgNjAclJScw0Bz1sb8IXGHpanwtF12d
AbONRpkiIPvaYrt8/W+V6z6xdPMYe6ABA69iihaL9oEwV0V4OkR+kc9xZvssHkyBI9mRVTGgVQkl
ai8Y0Hpqz+o3js0uOo92kDcR8AYiuYV+DUvzyGUJzaH9ayxEz4EfDq+fHwcv4ZqXtGQ5DFlGxWZw
U3nks1ttYcj4YfOGxK6serXd1rdk2Bezage6ks5mv0/gWHDIgxO5dyqbNQqvQlAgHJb98ZFnlxug
vPxUlSCnzXHGz0mYEmQwsz8CifGy3d3vmCBHi8EEhTpMZFWqOqYeDKdXKXAb0nQKYo8Giaw0SFXS
UmyLef7u0K0FJXH8EW+oip57o4Y6CclZiHmjUGulX+LBwUVgx620IiTBL3YBnROjvEc1RQ0ir7mR
wEhpjIE+5TXCX/3QjylDx9RYuy8GVCO1k2l/2GyYCXvhPkKj3reS7u13ADlPZmWmorYkvtGq++ls
4OQYB9IiAeKnr14HZasRND5AQkNWxJVpi5Kfy4S8/w2RcTsGI+FR5Fwi5qEKRNXP7knp1Nje5cRc
M6IOZEv2bTlWGjVBzOtDU/4TJjimfApZp8rtcLNNGNEIZ2Tt1EnCSF/zgGxodrFv7z6RB7IZu6Q5
HrPxkAYNCePsc9pdjddnnfBhTrjdMQJvhYwyrTxnmcqA4FeMaBEJyf3DaRzI9qw2vx63ppO/uHB+
pG8MlPvVRzXEec4kUmATPo8Gx5liXkZKIsmUrLXEFh6mSoveXdgT3g8RfWtE+pCOLzGRF+jrOCSC
+GilgowUwOLI3IWL8Mmb9vb3/t3jxJPkMXSyuZt5RHNBCCs2EuFrrw8dQTRewADvt2iQu9QDZsNs
Wnv21QvDCY9h51Kj/6niRpFakoh8ooGmRt6IKmKoAXE4H1bfZ8pEpauSA+65Aw8STzfFyH9S2SmG
N4Hqu8zzrLt6J1e2P3b8VbLXvCKg40jrE0lLynxuyM4HcYBd0tZWSJOEaUy66YmQo72R4r+uSf5A
eUs8Vpq2jKDWSeZiOpn7NQ8FFTEV0NIE8c5pV2TFBkKwMJYizh4ctPIOzn2RdQm80va4RgUI/cuT
jxm1+AZXREE2F5zlBjpqv7lXKpNS5KAPqkxnQ6pGWT5fXiUbtfUc5mVZwBOMFHhSiV5PLKV3PvJm
ArtNJEjuc/AempLN/ij7NcwKvY7ZvLxqLbZcdVjiRDQAjSh6j0AKBwLTI8vJ3ABFxwQe0DMKSAxC
Ifo1DaE93SuasfUJROisAVvyU5Q/svhcgeFQXyo9ktgRlBd3H0mr8UrzYNbUS5gDVX3ZyFs9kB7A
BQoaA1mLDj44juWBvuzwQrVYlvdha5nlmgZt9mgXkzvj6OdUxqnwZc1kuUBB1LMSQPsvgZuKtXrw
M6AqCs5NrN02Jwf7VJ36nPjtDcpwIGxNT0XtnSopnpKwzEGj7xyne0OcGBPOuF1G2lTD4eDbkWjj
y6kOgWsEqo7DkTXvLdto/6pEXVTEzgT537zvxmXFpVnjgBjNnxTR87Vnwpg2wLPjTf8CToPnKgN2
PdSjYjZPB3kzkmmERCmsZiZFp/fi3RhJw0zaJIz9lqG6CKubopUF6lq3fXiF6nTrhfCoC0+sf8/V
9/8uQdWzuoSpCyNV2REolFMo2WcJyyPRztBmWA/BFoJH+81EpvB1ukKdfAiol7nMUIMSiI08aqkV
RmqqBcQjv77ugeiUm14N9jE9roFrHJCO/7BtwxdgGzOC4UWK4ForzvkmG40qO5tmPGlFcJWRiJpc
r9XIBXA2ELD1x4MOpX6NNkzSzAwnAraY/xtgfL6wLuAiFP9QMc5n8zZQsJS48B9uHHx/RbKSikyj
LUWQuTx9eF+fa4B6UHmS66BpQT9FKs3CZ0C2PPh+zwS1Gx9/+xmieK/aHd/CmZVA4JxqdAA79tSF
kNwbsuYSKcen+pOsk7hzlMs8w/8TpMkSD/7DrU7QjfjhWE0JYYGAf0b+fIjas9vKf/JShsrcBF/t
Uk4Ij63CrE9xTB6jXPpAYIBWnmuAsfSrdrlujmxXhp9NRcOtbYtGI82oH/6vGZ+eWv8syVl0uDqs
adA4yrLUpMOnnNxICPailPp1P554UNJdtOu59h90VZ4wVITcnaBzqIaCckvuV2U+mO+ODgw6K2B0
I0iHRxC0MLz1Z0Rl/H8qjuisyGSoBN9td7t01JMOHOTv+k5dASkW3g42386iW9zkNMOi4bqyagEq
55l+GPzXQfxBOH+mP52nSsrXosNykr3VgOzxGrZyxMTlgp+ute+0wfGO8kStbJ74CmRBX0G50V4n
scrWBiQ1V01jOLXPRU3ox2EqIurx+t9tMQbrSn/Fwcr9jy4A7I6jC5PTO8DfZqhp6CJl4+prnvs0
uOhoDzBLdpF9QD2oPmJlW0S8uTGTbqOgLnCHQuC5OWxhjabfgTwS4AkTWavDb76B8ykgk5x/St27
4Sh+lhz1dmnvJby46W2bTpgWZMrZrkaXl1rzY5NTOOyFQHRyfQFEDLAgRpM3jIBl7E9S99l/V2XF
vGvobnry1JFeAQVR5xXnD5OAVmEuBGGf2P2rCr10Yb5BV6rwsMV4El1BU9risVAkc28dWMK5ODYJ
sZeIbNu862V3ECt2hF8S2XawB/KLgtkWeqJYLy0i2o4KX38SljO11t5AVL2iZBnMc3FoZiWszWko
MkohDTjcuD15VPnnlvOk7swe2QuRkER0okY34cKvqHGMommg8gRBifPz6XkAY8nXXDAqLrpNpjtP
6WKljGZVgLDWtk2Rp59D/sox0Gy84xQnwz/9lMF3GvgY06T2RIg7B1D6QAdO3ZrLIpHc4ISVuSsL
ECXYmdxxOWx43GSPJM5aGPXqWLm0BPf7FZ6OEdoqq2M70M6V/3QnkwjcGNFUhQFpqEaTygTwhtLx
neEcNJlhTPNEASN9nXdH9a0pQXOU1kf0Up6oCKT8CPjhzh7qt1YXOM2nHAUBeO7sPR3q40QBSjMl
M/kku8yhaiIR3Trkp3RDLpXkbxmxhTOZdImeDxjh70slu56j5e/SMWvdPajEEwOdDGJxIEi+212g
gYdlLqxwOl0b/XE81Zn9BkPh5Xq2HXIUL1IQrirYw7prNTLuTEVap6In/AjzRIIQa1SqFIrTLjlB
+JaPT9p1yHzyKTg+pays9uCeq3MKisSHMcjOcJMRPs0IpOQ3KQTCMv3btFVXidN4bOi/5YKJWCxO
Kkl13R6UWmWIdxXxYcHRaLiK44yf6VOs8egeUE+k1bsimtIKdYgeLJe/h2UQATA+uLedRshonTub
XCj/wMIxS3lFnEWObSN9FJnsQiKAC4OasaXX0JtzRXAnKgfUnnPXcf/LIW36N7eMwJQ2ZXCgt9B4
vD/hN8nPGz9s6DNNqFZPQPCUPwj1lvEJqIAvTFXu8r4ERkrrUnpH1oi/gzufGyw7erWZwYIdcoeQ
5kfrb4VVWID5J6fOwm8WpGZjzv6WkuuYrgXYC4vaNet4v3svoglCOLExCOFLOE+Y5mhfredfzyIt
NUEaAhzyr9tikYNXz7V/lOWtsOGFwNHN/TtsyJkM/fKawIXRyRwI5F8xcfoyFn0BNrpHvpsG6SjX
fEkKzwgkPv0ZBC4MyRic511AW3E+7Zs8PPBGa3vfugbEvLagegmoLzq0tzmLFum+elzHbEMCsbkg
yDxx01JmSlNbG/9l9YopShnl/d01E3P9LvT727mmLsfR6quZZQzOlDINKspKstLn0xFqkdQEG3su
CTjZypYbbdmn6WWGWk9wuYrkmSed76AODcOM9b8IM4vcehZ5IrMcbMhXAmM7JIbk4muBaiCQKcxu
UBb5xVeevtSKrw45eDLxsR8EcjBlasR7Igfj5sRf6Wy+7CclmONipGSRbE4Qa0dOK/6FZ0PkxZTl
k+FopPKVgAf9ezIzPET+IjOjEGSITYbxSn3X4i4DRT5mCEFoDeXQYx6cB6Gr6yB33AtwpkHLRNuZ
etIj3ffluBIv4cpj5WFujuaJc4ck0jO0Xia3p7f9MClQaG/MK9CFEoJOOFoh4Z6KTu+2T3xxCVMF
NVH5j7mEBd3NLfM2ajbU+3Bi83ZRSz5UyjjDsYb86TzX//sIcWtRl1OAAZWa8Sh3S6xLq8JEYgEf
MvaG0NGGmGFafzgM66tx3+YzEZ8LXl51HaPNTHfzFUWu/IjY5KyM3O22G8F5zQWi7WRXuTJd47ZK
X/dnL/oAIeYCVubDegrXf6qEvQYaAgqj/7ShBjQpq3JJGkjV2Ij6LkdkVZi9/E62gX5V19LHDXhx
nTWqttBXMDRKkEvC0Kd19/h99N8UEW44AIJR2qVJwLAqGTJf3yMIl7olcSTnyja3TrGTdDQ24QHX
+D5FD+AnsMN83g3JTyJGSzFS0UVk0js8gGcm3W8CLf8YBghEaNoPIE8gAjhVz0anYHx18+xeBdyc
lq8HyCXNfp7uohdngUj4vEwcDhh7O6OugGVAKfUuqJBOVDhHC6Jfrtj6VL6v6IOFrGFwjYLdyX+I
b4i9k/Y7DbFEU3lZ3gWMeQP5YHvJwmESvPROy2BE6BWuuPaPNa+F4pk0o8ol2LDOQWb7ipSbyuwX
fxdR1spUIO0/jkNCve1pnrcbXVTnFA4vPKoPGwY2Ehv05NSMzD1Oew+rtfP/reeFF4oLWoJCRlG3
PFJMVNG6IEYPon0c8Uvhvml+gvjYKVR2S5a/AGRNBJAwaFeaYZq9DDDpscRmUea/or3zxBgul0Vk
Cy9w2JXNSHHPyqJKhtKKzRkrreXi6zcw9h0PCukGZKe1Hxqx4hlLp3V/GfJeKERilT73DNSBOMXs
JyS7iesxkQXdIvYf3jWlPDUIEFuDjontaYCaA6tGYKEKimvmIoDOZCvn/9ix3e/o41aUY8gNq2ID
zYN92JDjzh5dsiw53utIZcyXpRJkAOwRPh5kgVHs4iVNjyUjF2vp/XW743d5xzryvP3I/2IT08j9
nI4i1mGNcX93OEV7HAiS9tuI0zLzLdwM/kZgoNUTmdGoBmdVyEHsiAA5RlP0OhHPYZ2cssskbt5P
raDO+HNpIsS4HAJWnADbC/LhHJtGFNxKVH7RH/f9iYx+OGR0tosW3rBZ2ZwQSCNtAkxSue2XlDs5
15rDWUZ/UF28Q8ynmaiRQdk+li2dlGJq3zvWxM/rsMCN/gVCvhejb07+geeAj2YWILySBWK6VVW0
24eUzDeE/1pzYemCfS6sufts4ywIXInP/Bw8yvBhCLSC41NPqAAwBGOul7U6Tb6S6TqNDuWkArgq
kZcdFLdlncxXI09T4qQ83MUXgbBLtcSOu1+ccj1QlZlgr+rfQnHEa0B551GLB4vKjhEmsMjXVB96
7HWrp1+JM2pYqz94E4jBhEjcrhEtORjqckE7ml6whD/CDJnMj6r6sg+vVL0ChVgitemhJD5UN+Ci
+2GFHKMaYpqDCpCFTk8tH6MUa6efxXByjY/YHws1x7qYCwi9h2GaBhbFK/X53JgNklCIJSCCip4y
qhQSoAFMHz5woboummKa6PZOV/eJCcjE+OjSRgTBDTUT5U/3IslDaEHF3bNuMFC+tfskkRYag+Sk
ZWNqg+spZBrqdSEaWiyYfNE74hWIz1qSLUEe1SPRzz9W3aX4LPVDxIM9OonRV0hBQM1RTXn4YI79
qDS87hQ1csGGG1XhAI8aRJ1eQYFCT4/qVIYy5tE6QDdN+GmXL6EpGkYBSyhxCI2WhjLmPE52VhAa
5YhgcIgz7LfZhXmV4DLR2PLPs/Y+6HH94gUTbqxZwz3gP6eZdmLaunyEEmkApBqf4qewKMnKNUEL
n1OUDm+Htc/DNOs0/Vvno/lHEeDWkY4ZkH4UHbU0csQwPbDm0sodh8Q3998YRCbUeqFEajMIthuV
/IYXGcsO8N8Tf8r/tu74BWaDQ5KCgc1qbkKASW6wf7v/aBSTWP8PtKTsT9FJ+maBjuH0wtddq+9i
3fP4J1ww4K22CPznDYOVu5WX2MRyL36GduavD0IjFp2d6l3ng+xyc2RYB7TGaX6lc4n2/aG8xRaf
rVTcywOj4LKuEDDWkK4E28L2cslJKdN88GtuoAt1h6Y2/9qfihZKQZDrx6H/pFCtMnzYI1P887aR
45Nz1mcfgRyE/T6k/+ZsyTDiDimLq6Jczefa1/a5yCbMdBjkZ++aaLCXF8g6YrohRX/2q41EAsuH
m3qpq+mGXyVPOs9zZLhOvWAmm+lmnQN8E58YUmjRCk8T16dWWsFCu/HVHszHaNVkR3f/hXOxn/hG
DxViprfiWAJxu/T0d64b6MQtwfYOOX6iHyD/68ThMZqY8fxMGTdG8xuvtJ1L1LmAr6+7C/7xDnd0
HJqG78qcZ5tXugn0mOpQ1fxSXEzay/8uC/enKPlwe2a6wWraUMxkawT/Dp461csgC1LQEKkXkELT
v+3Q0X4+bfNQCANi4cSzWcdOpMqtQUbXMEXWIHrHxWpR7W8NRxyhEVlxCOu6AMLeHQbdx5jDNoen
DrlWnxjapLarVJ0PxWBhse4gqzj0QA7GSnIH6b2AahA5v3o9wsydRQ3HgLXgBe91By8GJd95uJ5S
lHngA40awHEcsutuPhq98187Ai6krYRvYVKZYEtku3Qr82/U7Q7rSug4hhJlVMKC8AJWyFnkEpLx
JlcEf+EHOs1T61DV9EwwscKxzlPxs0tZ2fgM50FoZn//817tYmQTU5ebRscd0s+Jj1tbioqB//UJ
7lPMi0MXGOi+7B0q//6/dpDS7K9bUfTMeFq3rJwzKXjItAM7koB0C5p1pCWXT1nY6WGY3bmBXIk7
PNc+AfIUSNmSoBa7WFLfanctEipo3s+yHVYdUa3U6kjcXn/ASHam52rkFKrCsPbOPXeXmvXBuHBa
kJj8GQCmRr7B7Lqcvz2L+RokjzsCiOLVeNqGdpANfRz6Dgmmym92vmMb/HU8+RzcF85pzx9v7eTd
Mk3R9tOATfb1CO3LA44EwSAqJzu+tX0nOrpJ3n6qx5I2CI/8UeSgIb2uw4iKgdVophTfIruIrKPh
u1mgD5d+9VhehZCOTfGeb3I8hoc3PudhG1rceHA2ScFGWfYEtuXrhPF0PPoYPEwu+DEpBzOTcVqP
OVdVjJQIbOKkjx/anSvi8MSmbwKbzHsaISIXHnPY3w/lR50un8RKt0ww+M5qwy1A+rOK7K51qr8F
5hB5IY9JjRKb+e4QhScySzjoAQIctwbme1qvYHI0/8lnXlLVFPkljlvbgJOpyD+Q4VhMRXzbLSJp
chrAFMvbOjxx4e+N4YqT0leOo/4SkHQADnLvP+yy35exfNl6pRIrR3Rv9+lV5dAMJ0AbK6Up3kAe
OcwX1Z8sm3DZiBLIxdpgcPJeMM6DhfWj99bWcEsoRdDq3aA55pDJupo+WVuFN7wlalPPpJKeUVpe
3Z7t2h3znww3oAEoVxQNB89NBOH1QPtUNuESyUezxPI+e2pKIHZqv/sjUpzDrPAreR8yYrLOkCBr
5HjeSibB/4yTbnGQdaMiWJY3uU4L2AHPfkv/FGePx+sjftIYBAuEH1g2JJcOFquWWwQ9jWPF6tzi
8QUFGQMHzLAalMYfpmFS71U846kLlTyS+Xo9ozcAZgM+Xa0LMTjoUPz/2A0El+grBbKKj/fiAGBg
Krp697EO4G191Brfy2FI8lPVv9ZCz92QMpYx020WsrlAfQF1efGj2fHrLDe99RCvzQR+vB5zyVNr
qwhZASZHhqti2SaEDuV7glI0co0KQ0GxwKDVipTicP7nkvWoqrXnRvkrX8fKH1IiLagSw9iZBssN
gus1BiWMEnACzHic5Qt1ZTvNexxmpOow1D9UpfcPL3AqCUtlZ5MyOiNqenHD9dBPgeb13FBUg4sK
mmUr9KPJUQRK1GJkteSH+z+uRXD0a4Pu/PDhZqR/PAdB37ucjH4gwJQqPXz1PqVNF3uQClVyzhoP
fCqgGrfMApfeXZeenqKPPHUlWmEaxwDgBRKQvlkqmJWaE3FNhwHGXr57XMGkSjQnCUI/ud5rxFX+
mFo6tyLVNkBBuRBfaXBL4mEXOBRJxqsuytkWiR2qjrM5HpgKD6KtXuccgcDFzX+Iu/KDtrWQbHo9
7uLRiZ0sFVSGyQmpLx/maqSGIKzKUZhoWQJEjXAtpgaTYtqtJzCsPwTd1IjzPx9R4wzh1DP/YVLu
rD0Yxu6U6UyXUF9SWSGw3e8D+7ENRpVER4o0hdk8AJR0mI4sV3aGA+BGf92z8pZLyjQmg77Or0Qz
sC8Xxbz8IQSckIjaoCUiYTR+LWy3T99N92/e+Yt1ehWR+VNaOicj2hg37ovbUaUywGnkmwG2J9mY
ACxqosJp8xungATHEjs5yFdXq08Jj5VZyrQeE3b0E9Juw3N7IObUzRKxN1BvD3FtzovQJg7etzuc
3iyzd5RWe0yBWrl+/Kqk/1hrsfNWJzUlcJOfo9YsfaCCiSIzipcXhuok7buZZeLymHcXxk28tyfm
hZFFemnWr/snXVsDQa07CilaBDyV4T/yyubatBdZ4hnGF2nAyfijQmV20kxR0lh7rCEgQ/OJRy2F
0i0fxk5Lt/1trfWRPqSsaLC1EQHbTtYNKXYJwwzIAN9c2wUQdIj2/n+ODNNXtAaugEejVSgrtc4F
3mMz+Fdw7V98hH/wlCvgzz7uhl/b2UAj50Jwx8dmWSEGjapTt+opL4Rt/qKv/yK7jU7T1s6G8xUm
88lKRJgNF8kYvPNP3tXPANLf6XQiIFTcIISc+mJ4m2ZktuzB9audMTa1oveZE2ennj9WEePM8mCF
lkb1vkHZYIiu8U7GbzwbnBX6SonbMRKSm6DIZ0qdIn0J7NPY41hYnjZhUMK1rcp6d6P/z9VHXAPm
WhqD6w4KNda41Q/+PCbVbkGLPlaDRFmlwgjvvSVzUDWMNgobpVQyQZ7pcK0ttu8mY3YO96pQw19z
qzFD2cvmKjB00mn+XU3Xdl5mGuvkiPEAHg9Sz1eJqYbUD7q2toaLe35UqXFCLdXclJcIaGN3cNAi
IUyMbfcn/huIIK/kdYw2gQ08i97TTjjlNmUvk636JDk8wlFCdn4PrG2MTDmsO4PoEqMOFOXuPlTl
sJxM0SfwqAKoOVYcc/JA9qIfpn01e1+ue5WdsdFazMBo7tKpL9w2X4TLUhbNQpaRHo+ybw4EybVk
sMe6ixVw9qz/aeRSMGQz2JrT2zuBq4dxpkSVKZqpO/j2JDRmWs4d2SWJDyVIi6COi7jKZ5/Qd/Ea
jPxZSd3dnB0OWxhL8x9lo3iri4KgD3zS5ZOwWJK7fX82/T1zNs0DlSOYfy4oeU6Rzil5EA5hiV8R
0Ami2qn0Ssnis0gwI2mXAcPecElDJC7YIyGchRNYfxJx49v+tQJRGxQVG1WbM14rN6oq5ttwqIPP
qTu49ujioZccDzacOceChQYu9vYFQrJumHAxuh0YfzwWK3a3z75IKyW5lJO3wwrfISbqP88Ptt17
ZVPKltyg3d2EsLuRL+6Qmm9Kug7dw3S9aSQLpxLM5T1rW1FajSRhPd5xCu+YSrkyXbebju11CLws
+J+p2VqP2xkNh9IEc0YE3xRyCPJYRoiQC2j4gAy+gpFGwbqA32eBokxY2YZ36+jQdRaEjRQPDpO4
Vq/mkbReMwcAe18fhFn4hTr9selJDtX5YIcZU34JEeko8r5iWliJ4d7E4cMm+XNm9V7QEnZ5iKKD
O4UculT1IhqsgkWzf9BQ/yAqhcXH28BHgSLs5bzGAZRGyNnVPNdOUfqkDBdWGNbhf5Esn+ykH25l
BNU4ph4Y3UR1H/AiA9KycOxbhB7jadHCPGvvTwWXihmQo5SU558vGiiwTsUQkv2iBydBK09Eaq/S
N4LA2ECGcpFrSzXNUZGLeUsFxZYz7XXTQZbzTdMmLKhvn8KtVP72QTpoeyqZQvwJ1aSw04vts9Pc
/tb2egFm0DDqa00s1XVhqUd3jCuo2qvbqXcAogzVy9hp4EB3D5lu7N5ecWZEChKETL/GG79lcsNE
EYc9A1MaSwcxuCYRgyI7xShQj53Jg0tNemUC1DG5Wx5yOnqB/ebHc5MAIO/sL0GYePQZkwcer2oH
/Rj1fTQW5FtuibSKeVV9CotuOhKHiY3VOQvRcSvOgEswcjQ62pJ5yQNsJvm5xe2oAdqWU01ImZnB
4w5BbAEwyJ7w9YTxeSAtMbn0SPeXkQedKX3D6FDQwODHVKfaLDNfDgY4RwjqZw+ZweyZSt5/cOk4
VcyNH9+AzREDqVV2dDYrJgxBX5sxKT8l2mTTJBKQN4mmVtCgCr9qUSEaqt5devbD4yVgeiJpqgvK
1w51XafBavBFI59q/CksI31OaLu4fD8Tub0LHfQp+BUavTVa1sc+bfABBZxG4Z69pl34Ybb5M4o+
A51LiVUgtWuhwFT0FVHrBm+js6N3dFBF+BDo+m9sxw1YTHFhheXu29vZvILdkH0fBHbzav2I4Edj
hsU2JS9XJ6nevl8Gh9WwLAg3GX9MbE+p3jAdU34bp0J70116bMi1zku4jfHAuFVcx8zD3IjE8USN
ww6/znxxZ7V9/KMN11YFTktaqW/TvxZptad1oj8AeB0C5iKUfxe40HflbA2HKh8YWNfCAKPn6O6W
hwMOrZcyj4H+eb2bLFq+vLcyVcmZdr8na0JYh8ONf87K7jkqGiaJTmf7MbHk4AtIyDAqX+YWa9jT
LEUTtfDFqcck7H5UK/b8rbL63Q4ulTeGKo1eWPLAfoOOsplv78tbpYoVHg2JYX9qCgJh36A3hwS8
bzuiorcqimGu1hAbRZorG5LVsiUIH5wapHKUU0mZYze70h3wXqbpE8fbhtQSj0eDRZpEvV5RHC4f
YVR8fq6EvXYQGD7vsa9fZyoMsvk92BGJaS9F3v09YUn20PhGTTmiU7DFbSSWNvxoafHbyMJYqWgt
M7ANsdZ6RWqoSNEQr+W7gY2Ljde/qB9pQaBvdZN8/mXqoStkKLhYDZACMb8yjzorsLBCnPdjwDJA
nrN2PZWHMoflCiNSjsIPR/DIJ06ASggki44wKlfRthXPCZiFKj7CxuW0cl0M6xYm9Ej1qsR5Qhkr
KSn3LIJhqpx1hR1OraBU6MhJ+njeOSYPv4OTSf9+ORxocZlRcIN08ficyfEPTbio2IpAZUUo6IOt
Dj6Y36I+atFAMPr4xUUca9rsmVmjQ3S2c8yqSQ9L6votJULWxKdn7nTKHihd1UnGhGJzFNuxxXL8
f19lJVqZs8eBPjrvWSFP1D2E2OHDpvITn6ovEixUizxUVB4+qH+MfPJtTWLCmk5it7M9qhblMd+p
ZCjvH+aGOeZujNOWO9qSFdCyYd5ukCk3bgZFk5dFnJkwvIlOHQGJdh5V12Z4nx8m2SfqRylobG3N
l4PsDJjvJ4KGiiGWMIVYEg1B8ldfjTXCojUGg09MZAGLEPJf8+TINw/3OagfcRUJcJIqQI1ehCUz
PGq0x4VaQdw8rR5O3ASQ0zb1BdoNhuwt5/FjDKohb+a7uzCkpQR5WXeJUmtZJzB8Xq6yDjXteQtL
uYKgQfH5BYnzPJY244NVd8gXwT4Z5cWJcIMk1k3XWPa9aXCPVZhAWBiVF0OItVOe0GhtJSEDLlM8
Q0leF/ptLUiULDktyUpe1xmmn1mNrC4SK62EDhlZZNkq25q2KXF/Yntt/7lIzXN0ZKi1mkxQ4MSK
tgj1ZX/3UOyjxO78tbBm3XRpeTxUCgJt6e/hxwhNU74Kx6rEa7FQjRhdf2DRxu7+4FeBiavKCaom
z6KSuTNbCEFj7cDtpqViljsndHKrUeGsbenmRJr3doHbDntllCq+ePC1onilqnIECD+JC9p5UKrt
JCt+uwC7Br79VVYGs2p2jD3bzXijycNfwuIAdlaaEGmTThIFulkrjqGW0oVmTLF9VkQ0+zfvgLy+
WVRMBOqoJLq7xCt3vk33G2zR+IBsKaU/UBFL9XU0qWk8PmMQUM4m1vLpDITndlVrk7HJQ5ajA7QW
zaD5ewChSorduxWzMniaq0t2GQfv2C6l855jllEHFDZDhCFsmBRmYX5HEbk4xCFCFINnirtPhWmI
elqXCp8eCIoqjcFr2w9TnNF8lZL2x4tT42KYMIetOhk3d7QVcYeI8sh4B8svS/wzPBBFNIFQMibz
2S3mkEupwL84jFWYe4q0F+91PAKhPDY+ophY2GQYVPQtUrYS/X1NHfdX8m+El/DpUt+0cxs0ieTZ
izdrumuRB3Y0EV7Gm8rauym3gFk/ccms1koFAP9tKjGfeyGBemOJl1DIJ3v28XRm127Tx6QzmFh9
wANyWUE4UoW7xJzel+mcnrQbDQuSXJ4bdK6pNCetRT2WUDpizE14iTHUBcngOSqmU0pz+M8czXZJ
cMLuIOX1RSHoH6qYXIXPwKRmwux3lNtMP1VeqN/N32nr2AmcFSNKGWMVse2QDABHiBFx3NMw1P6L
rOVbqj9j8IO9gp9/GH8KGdvL2xcPJNlcABBNsTKGnsxCiszvVX1ADQxKpQuTD5Kdv1eR9TMKPNoy
mM+FPDYb3jw47z7J/ZfQbha74SYh5BfoXJroNYyZFyxPf/cr0jy/nxyoaL/WraxUmdZYv8qKO5vL
L5488auw52rXx37wKIiUhFdRuTz86Aue76TyROVeXbA0HTX35AVUOg+Zn4WrQWRjQQfuLFDMlHVf
SJUhAsjIgJsh/0oFYzj3TcsY5bNQLGM3e9jUxgp4dMPN2EVtQIXAysdAQsPZSZf3v3xTntbp3UNr
HnRhaiVCk+GY3kPMoz2WQMs0+Ot7D3noJhOPGdPo4iN9C22tw0ZhpJ/2L0DurjyCSnnUcMniJjb+
1yUT/osqUn/f8TtlNGenZgwVIfs79Hz3NCzMSYPyY2qcFphkJ/jOgqaf0EvElQ/rFDpLCwrRrp9P
fpaCp/wRXKJ9qi9QEdaHMw2jzvK2GXM8AE+thjrrzhfIklmMQt1wKPxBIRxlIeuKARlwimt9l6Cq
v6OKh2tsKpjAKEHKWb5xNweEmjz8qO1nLV20NpmToVo9uA/fSb3u7OD+AgOVfuitWzrdLZuizqJg
vk4yLRAkDK9qmvUf2B38dFulLvdNo6CVAoH7+ubyqiJ07hycq1BddVRtTuzKGs+x34TULuCICfyI
Ywmp81g1zBdl0OSD39q50vOH91rczWhC+Hg0BhZll8r1COPhIZt97NAcIY1AulpfETsYj2uNQzZ6
u1cuvP+iLh1SrL46IzL9sf/Q+ji4Yrz5vDcU0Br2UOGBsh/t7ILGbASI72e/++g2D1oJ7/fRHTsI
x5I84FBvZmFqQFnDZQTE0voRQ1x+WaH6P+ERRKNd2GWF+7hG4huTjKX6SppmxGpp7vhgd5L3ssqt
1x9YWUh2dc+aG+JuJbjhw+RNIvTYGPRrH1/UIUkRp/ej2o2zP8dmnwqR82nQafdxVbddu5nVO3Zn
NhzxT/E6pD7Vgo2UxLgrdpUeQx2L0XQAOBAY9kY9PSrTqM5WosTlfwTHWwvnbcg5lFgFUfgudrPO
O8CniVdfY3PkgfgT7XZOw8T7ikOzQxeTVxQ1KWFIkXhwoTXxohpha3CRCBg4VoPYKqJp6+C0/kqC
HvkAjb2+IOyICWJdSRNmiAEn2K7czfpMhNpp7s1hri1JcGVvWpLc9FIk+rDDNe5pqMtgDIupLPmu
+gELE3ivol0RxmabUmTqPFc4GZHkU99+k5ABErbvqGWmSRbVx4QAKRY8vYHTAuCPWXykZApdQdNv
QO+rg6BsaIzWm5Z4qX4SKD3sPZq1yuhT+u+X9NZEAOXTjLBa3KvsIrHUBJrqX/81uFrNH78pkhxs
WPn+6uPze17E2u7X73u9BfHW43l0lXfZ1ZAYQKKWwPznRZyFWc4JyHghUIqUOhlF6ov8GBU0zXsI
m0dZXoMKMoHgXgn/M3SFlsdxjoZV2C7FfxKBg2rhZYOk2RLGcxPKcL+PsnQLUt5kOMyDAJ+SiQEQ
mgfxnnN4pfD0MMwpQyS74H+MXKFAR8rSTR4VKZLakspZBfKEr6lGC4efA2RNqfjlHOhW6dxJe9Tn
BtnNK/tlx0JBWMG3FMaYAuadNac4XdTYRPE6Aq2Z21MeqZiYFgT7lSh4E88LAQHYflt3L3RUrpKH
IoFPEGkpvGXV9z0cAq4tyayVORxV2DOdOJ1gAOmFBQWR2JSkP3TPYxBjOAWrZkW6Fm62O5A9+Bu6
pv2LuYiAMd/hoE45rLDu2xFrlrQg25+F9ZQPeIQQFz14gmnJ9Zfm52l3z/23o9Q9jnam7i5toS3T
HAdk0bhNNQ6MtPWRIbZ5dxN0ig2IHDC+wB03vS0imA8nUP5encwWEyzfTNVb6Y+lgUJ7C65I/Ze2
dAav2xxEWmQuY56i9ZSHAOAc8Lck1dKGR2XyBqSr9KO13m99BIjcoCeTWcipCaiAumY/0VelOvQX
WgNpbUIA6+aDA6nMq23FLu0uFf3ZsAXhmX262ge0RLiKi3/o0x9geZUElhUresteCQQq4ah4yZVq
+Xk2/nM/FQ7+ldXp0jlHAKJXwbqAAF94DIr0gaFj79JIPij9N3/I3A4MgJd8C9lt/bBptaizogjj
8we5xzsYXeThDOhEeNXBSKMW4UeQIORpRWJ5SE/CD0DZOweAJU1NSJf0N47FsWzTBdq/GMVKPcAk
mzcEhEoZNNIvO8mpvSVjbzkPQNh7yNpW4ZdtNJfvMCS4aQVc0uKOj0Soqu0R0dzbFVuUNOu1a+g+
WgJd/SG7US318mZFW4ubJGxliFlmmQlojQgd5grc4nYkei8ttJdn8cFkbRyNsiiGqKeAj3M44jpO
f4yGuy85VVKIvZkeLjqcE8pq7mjE2e3npkD0JWrkUYEz42h9FBWvBvpMUVE0KXsJpC6Fn195Erzw
HllFunlkoO0GP5Ne+Djf2jfu+sprymPPqxSKUvfuzeGl2tAGfvjOay1HOQkeEVVb4uhwvMFwtSB6
8227FIKe60S9exv0Ib1bapbAMhgeAGN8ohtY8O8kKQIyJbOb3KJon/3kk7Y8875zPt2Qq0pw5kVn
i4LWaiyjAPD+ViALEZ0OSpCWmMCWf63JTVkuQG8mVyLpuueLwYUDZH6ssnbjsAmsAvmS42ReG/wl
C7iKl/ybEobfb/XaYTKMAGfgdOt0+1IsagFmDRF4tbTti4Qe8QMu0bIiW6vlTV5chb2B+14bqvDF
iXyCAgW5SFwuQ5xwhO+7uzeVt6TyZEIo1lfMmSrRkdqUELMmdePQjNW+/EOPUn8RhJqEDIBiq4vT
7OpIug2JjAUJy0uUG8eGMYdM+a9vhuOf9LqgKDhKNfYpkIjxxJ6opWFKrprJkPA3R0BfiLEkGR38
+4xbubO598Lhnfd90eFDWllgPQ/9DNNfoBepu+Pd5V2xQy48bJHL9J1RRKGOWjuz604I7bYq1LHn
xnzBXSFBhhhnV4pZV7qO59ZCMK689B+mkuPDQ3kYXsisXtkV7lpAeydqfVez5+ykDGoNJBoi2dcR
F2NOg7BBYTiXc96L6oWFiQtZ0v7QBQmkywIUvQhVGEb88r5OuCX9KWtvXVcj8v3kTmRlF2kZzgKd
qxCEjVrlomUpkWe1EiPuqRqqZ3Y0ys1wyj+Ft872DPtq+KqZ8VVLfmoGc01cLumYBRPmELqvkzb/
CXUvf8UZSLv9eyWflf3H6cZoTOeoIUW43gclw6lznzaYuU7Cp+jq5iCuGBTrELWxXYtTmPo0tp6Z
xDu96M3B+MR52izmDHrS1Onfow3lnIouIUTsJL8M0D5fb40ii4URAmfoVKmytHrO+Z7x44wFjlot
PaXVe882qmjl8pQnQE1nxMCYxTNPkZadLKb8Z/qiFHY4PsVnYiYWUhC0apfLzuJFPQ//goksRcnz
HMVrfhIla5Ugu06MJBlt0YJ8qq+B473+1CqTTwKyqpU37bXnyOUcZ9JiWGRbyX9KNdnGGb+Hox90
UJLTFLpdx66i802TPu4xosCNbt3JCsqQFvz0J3yXg7UxEOYQgdVOaQCNFGTQLAV/TJwovheUGkmG
brBvTSU2qZUinxLPtrPQ0fiO36roSvM8ZWahP0s6FUZl1bHFXSgE0TCTRwRCfz9egS13f3zRCZ9L
zjaTkAdPwrqSd53vuurv/lpYjjK20a1vXw7sdUfY/4sCXvgcNevK6gNcs74pgQtdJxMM+dNULL/x
ywC3jiJUUvELesNDpZErZ+HCHZPt9lRiasnDHHYrKvTIyGxWAnrRrVVp92AlnV+ruVh2TMRxKHiz
/pApcRnSTv2i/3lAdlVCb8m/f0Y91dOgRDNNVhI7czPGtNy7iTisPRxZmJn5kx9andEpJkYrG2m1
6RcNxE2TrwjgDM6BRMUm7V30l6IeR9uQEh6GitWmt3+It8agoL+fOlj8d9dUoeKNk7Gl8IldRAge
35+JLID0KtC1MHstXf25X+VhXb77N7GxpKSgApTFOIgLv5gglqQVv3zg9XeYTf2o/FF6PIZV91cT
GESPw9ZsQ4xaLOahBwY14OiDMa3zD/tO3PFRqj8/y/Qlo5jZp03fOSyxZ7jnyJhYCqGXCWIRf2gT
QDc8vsnCb61CxQ7z/DIF8+0mx262oRaJffOFgyHZZeEftT6a8obEyWxmwlePHaUQjNmWRVz3tqpS
7tNTcCQ52Rx0twzK6GCxxjBh6csXZfYPiFdilJBSblhwDmYa/Ozet4g/uZPE8ml7u2xga5e+DpDF
SHTI6b4Ys+4X+lU23iDYE1KFEnm6YEe7HGLPi5sEfECmz54tNOSbss7EQk2RV6ZuuxdU82++7q98
dnzhYtxkxvuk9LpjPZSVOM6Slo1WLUvcVHGPJl/sOA6bQ4xaP4MQVQuPWRNUPuhtiAs0HfIe2//g
e40v1XpPZLnCQjb5dWOf//hsEblqFduAtjEstZAu4RonvSsdSR7GQgQ57fC2K60GuSrvEhcKcXuL
yO7TK/oSfJznw/91wkDIfp7YwHGtgGda3AssG88lmb8omVfYKStuP45DuIm5BFGwrrrdRb01lrWY
3zaxiZhBN0DQ+5gvlEBSpj/mjw9hrc47vbV2M5Ojr0/ZcC+EUGmLw1KlGpzM2wsIdnM5SNpf57TG
PAMvbrylpKlsunqUhso1SGgTgog0beJYKb5P/WFfcj32S2YC6bzIWtx0pwjMTT7TtUUy1WWUMejA
E5YklfKFnPD4Frcpi9YlPGjtn3apST1/tvjUDFgqEi8f9DgUELSzgL6RIN5XeG71fi5fkjUYbeYH
a0M6QjArRFzQaC+aXT1f5ua5vfyoOpgMlUayTX4460bA6riLAViV7sAG0Fk6piNSZ0FPI9CVWBDQ
gft/LJ9UXDBkHly17R0Cg5zNm3K5Uq+lNkV1jmVbGpNpj88qNnnGgmHQRJKTKStdGOgD/4mxGW5N
A8T/HAO/g4U6KtJrfybrsMCZ+/LK/s5jlRK3SwC0bXnV7fnu50heCOLr51/lWSJeJUTsCHgoFgJb
0GNb6PjPeV9PjbF1G/LZ8p7EUY0JZ9ZxcsIXPwMkEfNCfJjf4byo05pmUCDuGZ4mzWWeoqT4XJRW
xZ4UBUxY4DIslM0sAApGgoDz6d4T/ZRLDFqZUFqVpBsO5IBuQDFnqdRGL9eiffajdnptkPifEVc0
1H56PvTq14pdbKoBt9UK41Scn0/Tejq3ElMBBZ9WpbY3wXySy1gwaISiKjd7Q60+8fC97IUXFA98
ioZ14ypW9dvHqArPfJ9TSl8J8tzE9L8NkkaWCaPMkHGTeXmo7/sfucQYVyp5gb/MDblytUZo08du
ga0KhHMCR/Yygrpr7KJIyzgSMJRRPOmVVML4pLz5pgR8OrAiAEbbVnmdCjOTXr2EGUYnKon9pxdq
DnqYnaMCNE79Y4Op5LhZUOdBjraWNfIc7IeZDeL8eDC7oHayDztki4OVdQxmcwjAmqFk1eZVbMq5
gtWEnuubTaG2DOZ2jEgtDFqlfrxIAJRmmzJ2ODl3nBwB45M6330rVcwS9Wwpr90TLZzIGAA6JQbZ
+ca1mjsVH2Ntd8tqLvDpj5ZR3UzlkRy5/0slHYHvxiIjrRFyt6NEFaniZ84BRKa+Khh2s8RkjiYN
OO7Ejknp9iXS750le4/6T2Np/XyefUUKQFbPFTQSx5pU1pA77VWcmHDGXBYgaFCjf0sW71rMYJGL
VR53kbB0XunmxuEYpLHXwIropUHlOhBwNMVf7L1Id503/OIwZr5mg/L8cAbUcI646c8SxDgd/E8p
xUEEziu6eiA9K/vvWcXOGfOxIdEjIUa5XDF+DQv0FNDHXfGSKQlTxD+qFijDJkrZ1SVs/aoPgbpz
2YnrMdrkgsv2DFg2OxeRLQa7PSebqvnhxCEXTf4nhCZ82vw6iYPymTfD6rh+rse6Ynyuv6pvyjyH
ipz8q/DvDgMvwZzMr0v+XI9vXs6iwcp4PiHoX3Q9YrCoKdk/9TI6x+NpNK2NwEUNBJO9gs1/Bg6N
rew+AL1q11Zn8DkLrxZCS8QxEsSANwqeCWEZ2nzJPp0VkK9i75QxYgb9xQdrWAE/UJAvPHkOi2Sy
38wO6PoItkVhuPsPdVuuxaR/PvDNPa60i0dWH/VA4FDdlwwYBXuzQd2EyqUwZTTvYHBzDSF7rTpj
QlMFFEcvZrnITk4fcCkcTdayl8Zurw6KEQzKXoCl3+8imC5GEFMKAwqonveEVKgzKv6EijWDDRTU
L7BGC3vA+guwStBl/c7Qt4lLYHOH32Fh1uwTjmtMCRXJXkw58wWME9nvjGfKcFbh0WKVqmAziYq/
LTlW3WkbNFx6vCek60LBwXUnl/H0MdZxLCPA+SZPy0Wj8mq1k67K8U5AhdTSP6goPivKwnHey6vO
N7v27gPeliTwlUm7YA8DaRPmbwHqFtNNBXSeBW/m8xlWLBs2veZOX6cu8m5ImgyGiFkLMDFXdrmL
4CtespZ0fNWkIkg97RMc/Ad9QCd8vSYwC67WIclg5/qnOiCgl+/B9dtUdULWcnaiZkHYSCpDIc+Y
VepK8Aid4425pxDbCGfaBMjZLX9ki01Y3dkxXH9swis1whXpWVdw/9s5Wo9HDiMxwiqDHy2MgBWm
5VWhNeQGnjqPPX7tj4DyUh/shvF5Kw/ATEDmnzW/jvtX3obK2XxFiVCuUUUudA+xea/tcBXn7FXA
68c9Mnam7S46NpkF+AH9Te/6Wd6g+6Liz3vF2jHr7M1IkQ5QodVsKuz3owuViUzbsLtChIdgRz06
v9ITnmL8Te/ad4tVNT/YGjtRvD8Ph+d83iBaVVDhUNAtKgsINbclo0T5VysxEMSzqEcY28qMlBuu
vmNKYuTDSoN9YamsrUJHEEqvP491LGqEb7hUgO8CXOPElOEC0hJfih50dTutBoqEhsKmHFkZ4q6X
LaxGgU045RqpE9UkhhmtaW/c6jfbvFmYU5ZH7qBVGbN6Y/LtxVtLukaR52EIjwp0q4VJHQHlpmVF
xI7tH1/N+tbVKofO0jpVno3QgnNn4lece9QrOJCnTkVw/2UwcMG8Sg94fuh1gj84nn/820by92Z4
Joew2XVxr8XE0qR5aw5Uwe76h4+FhKs1PjMf45pLzcVMerU/fREEe+4WFRDku2K3IVhmev7JT3xP
34dg2X7hcBj1nzrFV1UihhPl87j1d73+uRefJs/uyfgr7H1GoTZJZKChZgH2VuKXGU4dlvL2xiW5
jcPjVjgKEa1+f+3E18X7wk/Sm2HFQzXWXHuET5jjggMnUaTAzLicEZns5lRHc0143ZouuZt7UBe4
3KoHBwg/cbhu6FpFbb4V8a0jy9GqORAej7S1539F8aShxZTg8XGzJdO0V7YGeriHOcPhIjfwztLM
U6jmpYRH/IVRHYwr19m8v3aTri1Q6o9VM1dtE1l74LARLxCcVeLA1cMIAoVOO+r3m61auznSuSmw
35baRscbJHaCDUJgtB78EaP45Xch/CQuJQM/uijbnF5bSre90zyh0Y2wfXkFMNfm055yIwurZnnB
xwYXlJrL8XxqV442gvfhlYInLtCdujmAkJI3YlPGa2Nja76W2Y4xLLbpXj1jyr9Xq14qTiBMsixo
LJ0AGiIg7wworJI3pvCzdYh9v6H3958P6/rs1VctIfsYgroKn0JBHPq5XoYdBeJzDZjiNPsGxFvX
vCoIUts1EkRjn+AWFYk7R48Yk0QNjtKgEpDYvXbRNDK6KA/fDjWlWTExltlMwQe4bh2omMoKkufj
H4aGcHIJi3+KQ+JQhPtlQUyIf6lcHbcJKoDP4XwRUByes3b2GVw/h4J+k2L3ilw5mjHOvoBL+JSh
UC2QJ8bpPdRkDiJ1GuD5A3PdDQJPhnLjg9MDsdJNrTCziduSy/vIjZY2Jbf2NFnGoGn0nSX9+Z4S
46tvpCTvgnhcmHZYpcz/e4A6BDy+7cxsDM4KAcyRABmI6Anz8/cLPow01F5AUIceDe2Lj0FM0UWQ
RsbzRSjSIRh876U4zIXPIXTfglBhN1NtVOCGmE4uag4SBx9nzeKb4VVVEtfh56mm2RkYvAC6gehV
oGYKsoj91g6woRAlpViBGN5Oqj2SM7wSUpi6JQCUpAAF+MuimAEgMnAhWxtTHVgtdODAp2aXFiNI
1DfNO3NRG9jThBl3WFGItuxLZw3sjH8Uk8IiFzDWAOjgtgco9CZrjGzzQjpjfXSymyH9f3cx2N4H
2QTsI8UFRplWWwmyUwQNdDul9UkDoBnxVmx6ubCd1sf2T3nLypn0p+2WUula6qpMAl7vKX8Zr9PI
yY9swAnnmLNBjDIqQSUGSFYyg8zB3IG7ZwgGnjFAcD/g0xMo1DO5c5hSbWm/3dwAHPutCqIITIfm
TTI3kvlL5Z8Jx5F6Ii8fMeBtQmscM3uxdd1eCkVdtcB0Me+WJAZm1LhPQJL361sEKZoxfH6OK8f5
6xIyRRF+g05FYeEK9V7j14Teb6IVitmCKvpgQWSjIF2qMuSYDMoUWCKapfp7Ksglz9XMSb6/mHdo
d5f+P33RwTo4VIKo/doIQI53uXcGpYLVFYMO6tr6OYIuYnvNshpjXzxw08qPnm0l1mez3WQtu+md
wAKaNxogTHaL2QumT13WuSQuO1wUNx2aX7H3K9hBxKicfprN020PF4zZx+rib5Pb6oFHm/K34PhX
qA6Rf/l2nI1O10le6YV9o6ijWTOg18hcldPDwIecxLh5AGT9eJAAgTQX4rdw7rqxjcpKvBtY4yA+
vvpbxbPZRNod2pUce9u1CblR2BiN700DY1Qb+JTZFdCevs6+/TRpsYeYiTUO6FasZIlownOjrHot
YFM63ZQrhTDQKTxKpdt1nuNRlqHPCcIKhS9jlQwGtI+s6rsuy9qWW8Uhihs7IFD4wl1aAbFHBNZg
NUVjAstz3XsWX3G/fdFdkLMD2EGPXDX1gdlqVbtK1IxAkfulIkmedKLxtF16V7Kw/cIgIKY8eWAh
rHY7BE/+rJGk3+RxFdI7Fv14gDqX4deWCxNfKiC1fkpRXAP09yrjeR5N64Y3HFpKA5Mcdv9h5bi/
TfAk2HB/osOpYCOqAR34Valn+TuHlWoWV/3MRt79cZ8gSEr3bpPpkbZlxYNTjUcSeEQTamm+3BYQ
25glTFiYoFFSEGc/ecL/5sByX3iuJ+hroJ4BrmgwrsCB5d/guvouzWvv02S0E4mrTazcIIHUME0v
ockMYOx6fxyFNkeE8n7I1AYpHW7rEFuKInk8mWYsaXBesx3OlnA9ma2gY89CDZn904yNUk3wWPBi
/1ZrcsoK8oezOeind1li966jnvHJ02a5WTwqiLkQMFd/MVD11PssRjSyybXf/cGbIqTbtpm5NX3x
fGFPx5LuZ91wLzgYzcSEwYDYsK05c+WtPzYTCPt3iMmuXSMrnnwJ6oUSdd5q/Nm3Xjg6z0nFTaEI
KMcWr6rTobMYkwcSt5UiSeb9dBsYhCiNNDU5JnEn0AfzDG/GoMKZzxPkvVivT1av5un0oA39Q1I4
9NdxOwIVtdtKQg3BknLxhCG9LWbPgYhsnus0RX92509LlC29a+go5TLAl4peJVqPo1h4x9Afbv5J
+ve5ZQu672K2veTwhhE4183bPWOCgFt7kyVqZzskqQl1YJJX/7ILtj0pTF5EPo5Tchr3x2GhaYUw
qIVM2PuGfvFc0QZCX1KsAwlc6Mfwzp4pP+zyKDsoTs4F4Sj8HdYSWuheiPTl9z2jpFSJebZ/j2cB
kIt30vPNJ1KuVa7o8ccSTO5k3c9+eGa6F80Rep8NqLHbUxGU+XsuIY+5wX3c0EoBs0cI5KBhTUO+
8lVDNqCYPhCIoZ9/pd1b2mkpx1n4WYekdVr86TN/R2rF82Q6QX/EV6RFxwc3GgaJZiEPstV6fQbf
LBm4fTsEjAl/y2SUd3SXsR5/jWSswvoR15BcVrJ1YALdBw9r8YD360C8FjuPQQTvrjlUoFs3qNzi
hMThTS0V0yYnMpAAaTfTuGzt3rOVusrO0SfyKIfVuAI9bU7/rI7xp7eYYJPpdcpZO3CkTot/muh1
H3HxfA9FMUFKIOHuXPlOWc0cG0Qz9/w1XoK08B1JsV/+hMnX5zn+CVjrvGbr8b2+DDzJIf2cz/pX
g7vkM3BPFHL1z8CC53e9bzM8shj6dG1dyPiWFcds28yTybFtoIrkvJw+yiFyG/ypFjOiJsfM+bm6
KV32Ao1zlUTEMHR9PHqxl1WuBUkzLKfD8dUZ+73XcDSFq838bExR9mT0a6jcJC98ygr8ZAlak29V
XMK6fZ6pyPw0UaJ2RdFiGAefQ4EPj3q4Wh50+1DK2CmB8UtYbRdGZaOmt1AQ4Xt+x23I/VADtGYg
ZAaQT6FbHMOwrpEgK+gkz5qv25Q5AIEuDNt6FVmTSyVyZoFd/rTfd9n0mBnoWp54BdzO8irB+0/f
nV56iq++RGFQCR/D81LJiOOIdE4IjFj694LZeYG9yFXIks0kvntc/tstXMpgk+e6zmJR+TeuGwFe
4uGRQexCU2PAsAUpHp9LFT+srDOGcr4FwOIwB/gg1zEr+bPK0f4eVe2gjSosjT1OLtxBpi9OuEct
4iJAYR9pRBQ1rqJFqicx8g9zq6LYtytOigat/gBnZh2K9ZzjnKtyvzNNhOurYYz0XD8KG8zDcMEr
vTbbIOLnhfjdSRjtL9960HKYJWVtIVenSMXOIS9+BB7YVe4lKnirf8UjGPI5awJERJ8mzpCA+vDC
nIDv/+GEE6DwhTVSXMOcolY7ougWcbMpjSAbZSQsOpdnJnf231s3I4JwDQdGSlwdKOmQbxGiDw2K
eWaRk7fSgg/418A9eSqBXcVde7914Za/B3ZNUPVh2UFa2J19/jPihDzmqD1NLgkTvxHnN8pwI/Wa
gR+90SgqcwF+bR2nRZ5GTAPJC+Kp7Ug/HikqQl0jPxyPdbDjFaSpFROjoRLRscLGBa7BLBkUnfeN
0sKEVhAQR3BCWFVvM5B6V3rE1cN/3G1D5Myc0ZOd5RfYgIRhkX8DcAr4FWTLosh5052oS6RItkIO
EXfMwOHtrj+goWMJrDVRYCOdXpnya1WRW89j84SZE0s/ML7qLRJ/VgZzeM/4rM31NzZdlr6gO+4M
KmB5AHqNgq2YHOaC+6D+stnMubQ+ks+YkeBk5cNC+E5CBYPluW8eIC56badVh/Y+6Gd07ZQhwx8B
TvUCW2BegX6D9HM+qJgC+IzQIGXDhy4ir2SwulkYqQ+hSQ2sklqT+INfveB7f4GmKuNs7O0QtMkF
kyeUM3oz4d7/tiJZVepDt2cDowJbf13SnpQ0tTWk1HZ0KSX8Cw0g+5hhdaRIHDUYhLnRUfI2B0/7
WJbuPkQbL79ZX9keiAXrQmqASrWOcMq3JC1iZWZRd5wH7SGhSdwBaTM0JK7AQp1s2pVm/Iv8zgZZ
bUeTH+OlMmB+tX0E05qVEGt1MV4d6tTQUunfpph4w+OrYK5BO+1TcvBQ5CNCxcSQJs4tOS7jJ7ZX
MYtXtsfyznKwLOvFYTz7uTHk0a6ZV7xENuSYPPeiH25Tt91EEILa8wGB4l6Xr7s3ATX1EZua3Tes
/neLXg2rZD0/yIVwxSdyKpSBwDpWJMs2dTM8q3Suh0TOtQeAVytEowMJbNDWlUSttcmIshmRvUXd
E/f5+mD2v1Hl1EYcYWpE4kFViaGxMJzqmwCsTEzZYyYpMqfR1ZO+QeBdoswBX0Y+OSUo3Og/CioL
wkc4Dior+cHc+8j38Nn22xrrofEJILc7t+HejGSJ5SeD26OboDV2WP2Iib3L8/96LonNolW/kRBi
CkwSi2pyWytKFtDFH6KB0nZkVaUthWWSmAu4lUpZi9bRCv5cfg5LsZvWpEFU3JdQVhUi+7mGLHo9
TJNwSopNgNjPgguKNpp4UPn3VmFm/xdM1xLw8ih0I3Z+MnTORs0yPdGDiak59jQktHRxSIV6x+30
khQNoWh6YMAB/fpr8VeJtbNOajg8R67po64CxX+YPr2IMd3lJCuzHU+u6WWWutwbLuGNzA2Y6xkO
1jVwchzcrR0pKCXrXbmkuVoY2DEkhg0KGZiPTOPVatxoMlLdANgcxsfFmbwn95b1/5SC9lliWVCH
CIjzJuLAQK7ndtCxzNzZIPuGlw8nZOx6AWlysIlGpe2qo5dDNuLEwhnkDW1O6rWZtiA2lrMUG3BG
PAzJ9w0M9RAwFyS8t3hyVougPcO5lA/TkenkCSLMU0u96hro/lE2x1Uox3+k+Fzd8UDfjjlPNZnj
0g8TTLsiGDETGD3JEM/zWHyS87gryA/enHth9/NepbEjznqA/YNtn6AW8Jb8Legh0LLvt5dEfX11
fxI/0ZwFNTtr7KI0PCdsCDaGb1iIAtB8If7CBoxwmlkgPIKSUsd5TI4ylByxC2l9ddLpaR6gBnX7
u8mY3D5ReTXsllT/REAQpJeZm+pmlB2WOPFGzT18fpiLsz5PcSodH5EBSB/kfkg+WNGXyQ9TAkp9
lEPJhR9+RHMEIx7GKTm/Nsgmmd/qfU3dhZhMcs4PeFq3qsKdzqNEYDMNGf0+BP7bupL4wu5G1xe3
PtpFkhFtg8XO5VaJQ7c/ZW+Vqj0ezP2F7aSlEJZIssmxIj9HZqkByalozWJNQiFZra5+cuGx/1HD
zC9O13aeO5EQVe8oAHubP0Z0MPsNcOlAwspF1R3m0dQYZa43e4Y8+cxUtWHQeZ377hP07UZwS385
wO+h71CMuOGAo7iiWFDsDt9JfhlHs1CvjCm04BC5ozDsRLSQVfrkLeRSmp6V8TD7ntHpFRSQkO+h
NiASaFkiUvu16q9N2oS2iYvDtbjvFuKJbCj82fQfpPh2nhy8KCkA9fU5me/haNC89q5OKeM9xDR6
hxW7P+EzVRdHhi/6YurlXHfXhF62rQKE5esEBYL3/G3qF6nj8u8UT4Epwgd+Uyz2CoDIg9X4uWgj
/kgR5Dpo6BozGcfGxa8bAvavtVDkBR/ZSagrahclOTNJi5bgxXBhnza/PdGJD+qU1vUE+VXrfbYW
T3Q5wtHiC+hf3ksfIuMbWOQzH2jVVooXgtiS1wNLSd9TqDg7FT+KeqJiVA9inDdvQvbKc8SLQ67B
6UUAF0CH6AOouZ2yLEN3lG/32XZuyB2eJcQ6MJ8DSdqSJJzQlqHbxLBC8niWoqzMDtFep5TrRUGN
o/eu1cSpspR6+ih4CeNEgDjlSngxuYO6RN45WhSlAQ8Zd4tgYgdXGH3Bm3FCtyD6fhDarLsKiXzc
qi7ysyhZahITWAzF/SrwSUrTpUwnznT50yiVpPaIh5hXxsg1NbaBMx7+dKeHmQ27jrUGKxsWZPa+
IDnazZ7hH54ZJ+zE1RCRIVtXtQYIYgn94lnLtgc9UFrR9cqOGvsLVLrB5+dZATHLoPvRw9+FUcsR
6tl1JGpy/4vMbyaiUq1wM6yzeHt9D7XzAP1IspQw9WnNjXKl/7rmMjI7fQyEL7aVsplABJPNBs9G
apeaorjazz1k83dJ53QKlhXAmX32FyhSW6Dw8FcwQgTkaOEhSdH5eziz7w3xeBGOA/X373T1p9K1
ICCYpV8wlz3248kk0/+PciVJSu21kus6qgyFP5GHkZZwMayT/k4egFcMG1XwMvlRO68H5yat4Z9C
9XhTsYM84Lv/PW5tDCV/1TBfg2vaRhlQgBCH6r6azoPU5BJ1isyejlAPT2eMC9lszVnZM1kl60Ge
1XLy/cQxjmOSWenEsyNnHJNYF+FmI4HFuvMh3iWQSS/FxMgL01S6DzVtnebQx/MxxCQfd1tJ1YUY
q1RDPj+CBlXknEgGXGO6Xxn+/TZCcVtFYpK4zcaVp5K7Gxq7zKArBE6xV7TYU+fBz59mhRPUCZAY
MRaWjqffTO0ZVCxB77RRNztcBya9240wQX2w3bhDope3wZX6aYjTJmyiSHOWGixyu7jewUt5pR22
J/Rw9tJK9niHY4US3Don4AwW1k8FZk+0zIf2jv3Nl5/CrpDR2/b6hn4Z10jYulMVDEb9AA3dKlvu
9DklYYQWOOKJhjJq3QU8WvVT84N0PIvfJBEeTZZjx9xvE6DQEf+niQSnTTobWxFUXAN7YHg1NU94
75/UaIjA1kycJ8y68LAu2E58uOL0fXcQpOAdDBMylkrOhsisQrWaYM1C/lCi8Q0/b+1lY02NZSPX
KLuSIoOC0615fxigDpls1U1XC2pLTopc0dkKvuSXKgyYZahmPKFXFDeGUQdbRRbiJM2cpPNhqliE
xWxz4c8VZOG6gVuKlqZxyAzmdq6RPWJcfX9/UeSEYeGLde56q8SM6rRPnbYTJgwnhufrsisgyaYv
KQHRpA2aSQYsHb/jHM+AkBiLYaFsEAt6VKde2DFF1Nnv/dK09FJs609xLRF2TnAITgEpvWKTR+mb
+WKqQwM7AhydFoLI/uyXDCo7xFGi0zXsuwrUmved6ST1i6o+5t17m/aKg16AzC4GcoB2CPeo81NO
xdhFG8DILvRD/W891TKiQ93peA+ZNrBytBB3muesW5Y2qQtG2IoPWZ5vmdtlQezxNcAYuKvaajbK
Fz20Dj3H+sRk1i0a6PxWjkL6ZuqtOhsNf3Ugysv7gbBx+e3o47uVHE5rSnBJLWcV4zWgO4IUTGXC
4Cdb/plDi41THnhgOCoAtpSvwidZsPxI5vjmEm/OxSU5mfs03kVx44bHPHqVCzTRdPhuIwd3SV7s
Nehry6DZFZI2qMmy5PWg94aZYLBNs4nelasPUsU5QVwC4Y1w+WTbs7/3Snhwm3QGnUicV9sKoXHH
H1KQ+PXgS97d/Pms0BMQBgLuQdyirlUa2kRkOUHftM79PuJ7krBNGDS1Ym1BGIS33h2DqNfoqbrb
AOz04PJ12+W876eAKI/X8eoOdd8VA/KVp492t+VqiKwzXm0kv9B9ErkRw3s0vl5PX22VOgEmKvkI
fnPbJQ7LaxiNRUYvbQGIh/cfd07Xc9Q6ZiTIOJQALwqexOeay6VmkJdD1G5bixkng8VYzWzOBNXV
M+kl8XklswgVCjzM+JhVmlw8dhRH0OvEm+QDqA17umZFt6gCpHU/Rk7UY3n2pGAcuukJigrY/zbU
77Bws6+QSmDNIowcMcqnNr51jhtS1BJHUReV74xMFv/FNyurbFo1J2q0gqkmnP7lkueO0hcwr35D
8L/b1DjPH+AADs8wdEk1BmFI0LH2iA5Fsc511tU3BRffFrzajcTNH+wkyZu06oMBsRz2S+urTsq3
nrSYM0t8jyAV15ojdq/buBODCzDdcZ7y0HrMUJRSW+Zuhr5FbkQrKcRll5h4q9R12tZa+WHzReKg
F6jQJKWqpFvIOjtvRpAcFziRvy6xk56eqUcA8zXKJYlE5QvgiiYYxUp/9hKY4+CnSodN0UIF2hZS
Xe/0EI6ohnU/pD+UTinvsFmBH5YWWs7cTQl0iHBEHzE69Dlp6dKvSPDFbSxi0xmTGkdMIprNRBLD
Vt0q9i0+yplkWHccGtj9h+GrUrYlPxlecX8XxHzTHQbMLVKguKACqeJ7tNWK4dgXPUqfIN0ryRZN
rT7s/3OBuzQqCJY2WuuPX7PP0YdM9Djvay1SSK6lnJ3FBtXXbMk9GZsBUXB6XCTFSogdVgsH3gYD
FXkiFVcmzayaeWuOoNAXyGxbpeELEYKyzHPaYBMqzPCXp+j3JosLkIuxdBML1JzDvTQAOhbAOXc7
RWf0fcAYdtPeC0eTEs3+EJR4Cbymv9OY2rO48cu5b33EciO9Riguj8wDP68lmHYTWGOuVVzwH9+n
8hFfLhbdGfH4tFTB2lx4V622APJVnIJZHVLYFmyYI8baeZsGToA8UdkwHdLf2CJJttiPgC9ndI9R
XTKT1BEPaLJ/lgrGBTrlMTIUdlxHfIWAUbJDNA5rsvOnhBqJ3FggYrJVxf5BAh5ZGB+D+we6cjOI
8wL7SE/XzWAcZRvW9R4v9xNy/dFUccZTuvTLxV7zewfhDzXDMCOJb2Wjn2ngV+1S7UjWf7/hlXPa
mGsNlKk9wO2IVvKgsWIulJWrTN4bFEfR8gj4FGXzdB0nL19nVutiX/w4bSlZZk0XayFhDaMr85Wa
UGBHDzdj4Wnxuy8mHlbFcb6QN62P8fixZalZRouKgL0f9XnAlfBJlUK9Lx/Q4bHb6MApahstXpky
9ArFRYkvjprMMb0gqacQ5+1e7a2M1UIMIjXDw8Bm9D+QDdiEv4vaHVaiiCc47J96BrKw4g32H/ZA
3MrduCq/BJjjr9V0g3Ex6/h9OcQQw7lyu7rtLr0GUq5YK2e0U/s0RCuF/0htx4bkuv602uQouixn
CSjNizKvo2TNoPMhlDzxAcVsPqp+50Fb1NywxI4ufL9ruWP+LByYSvMh1q8uC+NoxoYT35N78Hbs
W2NBaBiUzttjAq+V5FyhDog09I9ncxgelg8sgg60Rfgyi4/b1PH5tLxUqg5ptnqhvik8k1axxpPp
pFa3lJDEPGWiXD9PJ2NNk4vjFReiqklOHJx75PDObJgJiEy//+EfQTjOxtZLGipSBmh1pASsuQV3
Yhg54BErAK+dRVx7ovCThJC+WZGPDNwvOFnejMefJM6Cix5HT7khGm7zfEx/xVBOqaRgTMf6FF0I
EU4rGvbfj82DyUumWbQ57IpQ3I0/ZXvmALof6xpObRCWXE9F3gOzBHElXRfGo4U8sTRvdsGt/sSX
yS5jtg3yMYinTqgh+/YY5vInsKd8IsqWbYv9Rz4ICQv6wzFOXeOMLpHusqoTKkJvI+CkVbxPy+FG
sVu1n3pR0smIbXKy2RfMYkWSBhYdj5gdJH4gJlgvfb9FS4S6CzHvtFYKsntP7As8k//eZCCKOeyc
HPDZnTx1qLZlWkcmuc6Wegv1a+J1r5DV1FlkvaFpU2XC9iUAH7+Htxko7kSvUGevid8yFGKFjtAj
390S2SsqFumew8KLcAN52KdOChGnLqvwCc0X+DpwYonObWdM11KggxucmS1yqG0ouZguxLV1xh2U
j9eA9su8pfL0tIyqcS0ru2Nh/nnp12tKg64dGoR99s4qq4Po4lk4mbYqkk4XvvHS5g2Oe4esGD+O
8xc8LmTeTySGEDVnIXRham3z200onarKCeL9CN3rDLdSJD4VqsH4gc8U0sBKv3R6rQTpRXrBUCJW
WMxjRczR82VmJAXT3303kB8X2HAFNe9cgizfJcE40G918cK4YUHxYDpnJNMhipvz0AMQBGRImcm/
YEOvMlROz/FAENfW8xBUXSi95PuE5EVRXzYd5Yzz4b3aUylDbUL2kxkXR9zUNUBjPs+rrexS1SqN
oKv7FcV1+jVNh6KlDiCaGnIIL3fTmmUwS3lWs28N7FW5wIdaz6B8D/nShI5MJXaAPzDtvWiywYDD
pU4Mqzy4Dw5OMsdjyalRPObPk7IA+wdrP3fGb+ZaR3ItnfZarh6+WszlO/86mm2Fx3QoebGGLgjD
kfzW0LQ0P0s4qd4gimQdf0JdnmuqlTDrccMkcGVAaD4sDdFVAVNiKaZL3l9dPOPIUtAV0vv9t54C
e/h8/A9AmRjnrhA5PTHwJPaHhfh+HI288BSoh4AmkJDzizYMXkTit/JIySxSeuhp6/GaJ500+SHT
CxlavXbzBYUvY3AZfUBtEMci8HbuxE9Y2vKOwUfbMFfD3bSwspLPforISrCk1bfn1dN+EQ4WiBlf
U2cn8OVZV3O0uCPDovy0cD3oth7DjoyyAemc8u6agO9ElGN64b7hoG9k5wM7b1CLdPyagdMnrUOG
aPOEhJtY4MKNXepN8VXU5sa0EgP+Ht2n32DiALCERxwXe5fSMqrwLXcbzhauZW0hCqgyhTAT9RM6
NXLIrj3AT++SVpLBbbk5Z+rzOYQzbeU8UeBmJWILNlDziFLUoxe2r0ZlYoSwivaLZYv3EndDpBSI
cwPbDZWhD8hdMWMEje8su1hafxENrID2M4pY0uxOjcApWqHydzMOTj46h02T3eout7RhVaixamE5
+GxeazNrTHvBmx5ZEgQIgws8iS4cVAKNrB5CU5A2667Js5vY8Xbie3sl83S2FQT45I8Z0WLEq9T2
HJoz7guYAy0MTKPBI9GqH3OwMncs47Scz5zl6yGtWzzGgx08JlAu3ZoXfYyqbO/aQ27hCDWr2ccM
xcpKwft12tU4KFmew64FXQgqMDPkahAMQfEPAXxTIR4ytfPNN22zc2k/W1Zd45EzyAqKREdbdE/B
f4h5zCkBv8aYQjQXgKLzEHmcgAiFCQ1trtcLts650JEc76Gn06XVlsz0cNP0b/wzdhTZKXIIGTV/
7caXm5nvnr1lsTWIJpBrd0bNdjc3B6Tz7UFxFs4u0Q7DO3kZnu6BZxv4Ceez+JqDBwV0Mzyq8VY0
Txv3Pvf/cdJJdleZjFF4lIKNAc08Ec/JqpThmNask4HRplrLYJVid0rkT205OjuzZQezvlzsNYEc
nDcANoJ7XppAmBpf7NcctAtzUeTp3kFsIZ/eRycmwCqbkbUu/vTH0mnIxORcca0b32EpKP+MKCVR
WmYQvFUKCf61lsxlLvE2xvrZJsbP0Cknr/nMCNMdq4e3bUOJ2SxkZ8B7ngZSGULKMBqzE3NOE/t6
vsGkS2f24a4lElNJf587R4h0iYx2fHGGrsNMZFMt+zFQUkAjAzZ9KjiWfd8Q1P9Ix/6v1yWdy93H
nmZn1KdxPvSNUfi1J28rIUlg+EAbph3AZmfOeQkX5NdbX9A9EeZKiaOA351kjuyeJwW1zURb1t0Z
vTskKt8r2HcCuJjCrG6qdKomY6ufAXzB7hrarI/pruo0g9SO47Ytva41pdk8SoDx4jVoz/EheChK
KT7IaokLSg7LfuF8WNEAJv6GIiXyHqkSFAbbzlGO3Wt7VVGM/ZvqecVXOVlotguciVLurjrztaOX
RWcIrlfqhmWzcmIYGd++PsmCfqppZuhaObpwG24b3llNpUYHlWRjm7zwwWVaBM8b6ot3CKR7t6jL
5c+XQQIxULBRE871Af2cxPI/Not4urXuz9t9uqtBcb2M9UZ3Mh3fEwejX2ZGaCyv5bGcns4MyRkh
l6eVSzENSsoC63SenefTwaOUyKUloPZdOxBH9Sbm4/VQWApFD32L688H2U7HHh2iYOZi6aRTxDwL
ZFUcg1eb+z/1xGaLReU4j8GIpk+M46tGAC/mz+lVQxJB3+bjK4Sd9r14GiReI/3XnJhjOaj6e1G6
g11qHE4teM1nd8mt9OpLBw/EZbMwqUl3wWeWOxBEJ+5o/v0I7/ztryIYYHaqpOU1nDIBqYxulJVw
48G2lkIPvDTdH8Novvr0sXJlw/gkbJMjD5yik9AK4UVbURi7fxil4bQYGOkzUxoYoXzL/vjXCBhS
3OGH3mwdBy20k9vtfCDhogmRliJaBmWO+QgvKNM1GP/SnsfBJwZ1Xu8ETBcvVny7D9mtp6pZ5tvZ
MfG1YU9ABJ4pcTqSbym0Qui0jHWaVG7iDTki23peAWxLm+XZkv7GAVGTJX7lXXBlVFnEMchf2hEA
hGRtBPxffpjGTp+5GuY4tVmGx7ghBj0Txt6McVscLFrgggJgScui9h2lha+SBYRLG8L0MtJ6yZHx
SblvP4ZWnPGXV02lsyrnbtlBrOZovXwA5PcpdJIhAVyNozjX0ycJcS16l18PngaKfxQul4H3ebBb
+c1DacI8ZJe/78gKAa8Kzfci9Sr8uMWP75aa477A68yIOsroYWLB/E+Pbn5sHjiRGQ1HQozd3iv8
WQBF48ZDIX+x5r++iqJSTGzCL/4oQRLnqRyvUr8VoJv/3KgpYXzCYMP/3QFLjuqj1kuov+r8hiBN
w04Bb+iDSPBWdfEdXdKHBwCKdLBfE5ipPwlQKuB0uoHY6evTciqEeI+xCegeXj4jd8UrEZxPhGep
gG8/4nPpdFc0VktgwOuRo57lxGX+GtYjPQT51g2lUNXoO+CU6/ikwsprchrfZHGzB8JJkdbkp+eN
yXjcte2katN3pqgI1RgO9ahej5ozCnXuqzG9H8VV88X6KSBqEY1SZbfIJhoUochNHA3/WO2Adbgr
lETTaJfZQNGJVKlX/GTX0McFgBYZxmXpv5mS2NEgyqAh1DqQN71bFymP80kTY6UHqykqD4rZm+kC
Dw0SdqvaujCUtxMbdSVMkacYZdSmTVYH3+SJ0bRI3hiniF5WRWpuwaVlDF10tH8lFEK87ON759GZ
n/3GUZ0COxf1OCWeh7VFp2eJZVazjbHOOCeWAU7FEzJoCVzfZ15e/TvaFGKRxW2X4lZ64nrwd5va
VbBp3WGHTzsaovPiVuyyb3J1cg3WfJKuj4AF6drlVPp0GDCyengFLCPbBKNFVmryYAP5/5bxAGOQ
Vs4uH9S0kCUl/nq27TNL2/GtWLVdgU5HVZ9HJLchnNFrs9MK+Uc1HNyVHtsml6j9Au9qRnl3JoCR
4lh+ikqVBAd2zZLLS0Pk93TXBQuJQjGt55PhoEeWqRjJDaNFtRz37zDnc7P/Z/tnlZ5aU1xGin5f
JVAfEW4r2GqW2cShq3qlZqJ+D1xFgYazGxdCjaGsIGrGT4mVS00W9pJYgI0R/m/NbNGjVuVMXw/d
71TtvnmArO2Yj8RIxUglHrbh8OEcCBJ77ffRVIC4YPYYeeSf0cn5iOYv21ZgGixvoDgO5MsH2drq
R6bxbxIMQVoDHmxVaC76pRnIrAZrKjZZZPAgy6pkAkKUfqX98nVw/Jhz+sKnjhu2OnoRh3bZunig
/CSr09FIZNoHg4nLHU5ujv4Ks6tkKPF4Ra1uQD/bdpZCNvDNfmLtthCfvyZoG6QEU+0UZ9lKni2L
f5UrN5yHiPgWuxazGG18gvHAZ+98NeZiEyCZ15EqbAjYVVQhycExyBoTAZSVYRdYO6Td91Bkk4Fm
rlfaM+i9iq1jAJDgNowS4pGX99iHjjHoOc1QBioBcuD3QTq5nS45J7IRErESDkv+SbwaGmgTun4N
1pJ/P4OLykvQneVQf08F+pI5Z3M84ZfDazt7Eda5OXtyA1MLUNnLoNETr+oxO7YI5TxJFg2ie/+Y
CnRwbmBaG/eeK0QxD7gEBrnnlgUQOQTi17JSBvIOWC03+CyaMXMqKPkKLYab3NKCCemZr9z4a/gb
NZAsRa7JCSoFg2Mq1aPptcwPdXdnf3qT9dodmO73jJEHImmiEwWRmS2srnt4YxRoLoH1/yNNlNPu
4AK2yBkYKGvAAZt8I5UfVZWv+rp0uGSfs45T/K55QyBPaqj1k3xV6Gol4DOZvelNYR+m5yf4QhkP
qsJArCy+Uu8nj6DwBC2hFor0ELeUbs006SPtrdqB6jt2wVG9ZVW5hlPK3SJzLjSkZ2kkubL7R4Al
unIJU3oGHWy6ODwIa9Nd3XV1Dys5BVEDI64uT5CJSKQjEy0fAIEkEvkXmzim7VQ/dR0WmwdqgjcG
UU+/rmyBEBhBVI6r6uCQMlfsuJ3Nko0sNYX/hQx9Zy6aPsYBOmMIMf1HubRTIrUFdyyexnr4p9Vm
626F3Dyfdd9A2oV83qNHwTZ6M/fU8lCABGKOV2voLkMlYa2PVxtoD94XhTc2uSXWrMK9KFAXlwqB
twtOjzUJYrRX72BQvuUvrriLBmwh7fuhulqvoNw8WCLoYMWzwYbG14Ix7O/upqFd89uPFDbtxahU
9x2H7FnKRxIQKOn24usqnmxSba7ll87Z0/Yw0pgMKIH90VzfiC/bUMSMw9FwcSSULumATJw4mm2B
gdG9h6V5zhtbxpfd+tqItVmcAJNuLzZM2QbvoEAyZjQpBzxACxm4mS2AlJX8v/vVeyuaEQWTRW7B
QVSibHYARHUOEEDGuwO4Rf8PvkvdO40gqK5CinwPAJDRszeDp7+8xNwNPR4OVb2AUhIhhWD919Yn
h5TtuNYwjWPxt1o0bCmNTJhU/SvmT6XzF2TQ4gX9SNjigBGBFI0fSPMJmMEOC567f5v0DXqawvGv
Ej/XdIqKltX2IaQNuAeGhzaV0Tn92YW9EXf9WO4cxJlmEbtFdkVY7j9H06zv4gyjUpRrhx/r9hho
cpX2TQ3J/UbK0Zqmw8GzMWeN/0Wp10FCJdo9ze+a4+Ik42s4DBymEBdMIFyxrkY8YAypnXpTU5HJ
OcZS7xbkBEZ+oPLzkNqbI4ioUbvRrv+N1XLC676rEyEj+o+TWf+wmFAtGI8BiYlxVzmKujvEpGfr
Ixk1TR5x5NjMOZyiS4k/lhgQyEBm+u7kXAStQyydpw46gUNiKMUJHXj4hSmMpY71goVq6LOsWnhg
ujqPdCL5kfrq/aYmdLOuqhPlWI1f7mvm5TlZxangCT5Ne9opm5zjN25DvjUFA0IyuTOBoYYN116N
eMCc7jINiOWtYBWe2y+rlbcz77ZWYhMheYg976VKh8ekdsOC1uWQrLua3pstGuQsecVLigE4q40P
OrKKK7cGu+04oA6ZYagjsEjkircr39byLC6a81SRKEDJu8VD9QGG8lAF1Z+NsxuzveLF9vzXjXyp
o7iLjIar8UHg1gyo0be9594yHwVSSixTSQRH1gfhsX70264kKA0S4SyNAat7n7ajYahfdO54VSW/
wboFbnfbOnNW6YyFcwmRJAC6XAHZ+WGv74xzUQTpWQSpGy0bj3bp8IRugJBNR4Iq/VzjDITeQPtO
ukpcn/37Rs1DHxu1j7MA1DePw+Qj7+kZ+GdDGWIhmIo03dLn89E8smeEnzRxtFXby/3jUtj94J0Z
sO06f1Xht9Nyii8VhuqlY5ttXczoiHUJx9o9x80JvZGIQezhLT75zwRs14ILZ6z7LspBZ6k7H3b9
LmzJ8nvtAnQQwEoLCZWygBpCZN9zuZ13EATW90ad0pwEsjloJv8Ezagx2lcZOC08BxYuOUbUWATX
tChrB4y3INuO+sUkBBcQ+koeQ2XbhN4EuJlpQya8c2RqjAaqvggTEb8S4CZVkntKf3/07kQKl/N+
Abyh+ElyuvVP2/KMwfJoxeDqzW99bdU9q4eAqih5SWa/YNxwzbOjOwvxHDPbLBR5/j7IjZmqolEn
SAcMkr0PpXVLKxEAoIgosiH4IpfoX8f1AMzpzhOy7eAKeytoyMlEGwCY9qPzDfsry8LR8x0iDfUi
kc5Vp+3CfwHdhV//DJbc/oaVFPs5wfGY9IkZSero8xLTzFlAvMrpqhbQaogK/xXW15E9+lvnv+8f
UWFh3qEWM+jWlhbjyfVPYQw5YB2duvvMavqytKpjMt/p8kKy0y+gTrj+mUYxGO7UI/nHXPf449dS
434xzfxQCeW9tAD15sJJddEhKfFq/9gHQ5Q+bDFrHs2hlsEHB+j2TP2NzYciLXFYZ3pUuxp90bHY
6Q5xvVseiwpwAzos0Ps68oFm2YwuWnZpNXy0DiivMPnqSDL+aZOvvnWQNxThusl23K6i0Ykac2ha
gdJywsXUsSYdrGioJoVgikzEA/73BJdJgtnoPhgzXwAMhAZ7X5T8YukinJ2ckxyQgejtFNMYcSd9
ev+VCZWl5t+PCHUVJjWZML0LKScRafXUGf12XyAdd83xsxDzHaPaLh0r5+wIM2VcJEb8Vq5Ct0PT
vcott80jgpShi2rloqTlyF7IBqwXwNGoot/lfBGiUoBQY09Jl6BuS/fLQKWIKl2Jje4SACJL3NwN
JMMhEEkxyK2OWEdANhPpxRx4L88yUW1s96aKwvrhmlIz6YzkvMqpg0+/ovBdQfHdqsgVR93PMosx
fjr+A2hxqX9zsckVYYbKa1rPqIJXvGO8G3fbAt5F3io5Q4n1qtaCM/hl4JqU87xpls5evS40uV8F
QwETWYxOe26MMqhJ6NypOtaT0nl3mR5jBSdPGLom8QYo4PufdeDkID4JYft85cnncaTeeriHw20V
uxzk4hvAD+7TrExZnpv9AhWlcgkhEyUzXwwN5+dje1dgxwZGDlB19YpRQ3oCxjJL06UsaJ6e8hKV
B7FFij7ukCBMiRIGuYMx0dZfPtWsa0nG0qTMJ/upHP5P9u2oWgYIyCl/KbqS7t8p3PIbRdqouRM5
/Q0hJEkyQ8WY87GtASR8KCeFuM3swo9AT/O93kGSvKBe0s8Dfx73MJSnTVUer3X7WBlc8nwL/jT6
44i5anOPPTi+Bsdft8XOi5sqVEnZXyYh4JWibZEHBV0KFH8+4tSI7TBJF5RsZSUmrIsVmFvFXh/M
Mea4WC1JYEeYWAfFL4POcj9I+J/TAL1zc9NeEm19NrE8IJT8FvByG6lcp6zd+VhsxSTNaJv7TlHJ
l3aYzpJ3YVev07YOe/0uEFAhvwnQwvRcD2Umger9uBbUaE+hp8QWSp3LzKnpHxn320WVxVLEtV3O
wnd8eFg4XIHcMEZ/sacCYFRF0I2uOJUeg5h/fSfNiVapjYki9EqpJpXoyvn00R7dc25i9DZNKaIw
aDUos8rNNcL2ZDvDvfApXF6m+MJPPMWfWtJGvEQNB14YW8Mqg7SfXZ5jOQiLODN3dzi1WRnyWWmm
/DeHriqcxW1PtXnunG2t4FjcoT4TNJyZvMV1O0Nl/8EToSMT0nb5U+B6uz+yLDgyDCZnYG5AZeWU
2yqvGH4uetEy0XyBgvjdLAo12s7cJOfVwhrvVrO73zhy4s9PZHckraES2MsBBYWZAMzfz+XBO05f
M7JCESgnbr0TJ73oe7ZSk9NjuU25YbYSwkbBpyS8a1oX1zMyBqUmOsPQueu9Tnu7RzaABbHVtKdZ
zF0bEe+z7BuQUBBluHvDNwPxCpfGTH0JRNpIJor3QhelmrLMkVnlXEez0+HJX11S2DT0CQ5ULTrt
0HyLkXdsuevHifxHt1KnkSQ9G0CI69728l3cEZRtPoMeGzB9b6xQXyMjZv2pF6Wp+U6TviO2Ijyx
SPotcRsHPmwuEXrZo5KVOEvladImzV2i75OHnoAuhqT6R0yW7ykxCkdw/F5D8OC2GIjiObKzqStx
/7CjmFKVE2Z+Gi1vY3hhImsQPvdThvfNJsJ8MtE2/R222UoqvwfqSifOUHeNG0KzdC2hXMzKVsvG
XKwz2Ahj13KbWceXfJZXJ74Bs1i/61Tw5lACwmbHkB9qjWaooDHJB5vFrLhHs0s9a0+yve54v8rd
oyZxuxVU/6/b2pDflh+ITGyuR+la05OW5v50PWUGBTyjhEUUkrNFz1JeJ0T6vPdCPt13yF5JHO3X
9cVohMPA05t6zKac17/r9fOqoUuFIAA9Ft4TG9G03qce4z53m2S8aOHe2cah7DwvgrAjB+HiXfSq
CoVAi68dOpEve7u6lwWCUkS6l+n3bua282THFJTe7TX4Eo+X93ryo7WhQO21MTzt4GmRNKf0NFN5
3BGaCdiQZpJENSyRRbSPk9mR1RQjouwb4KCB3pZKtGBdl6TfITyupTzS5oeFA7RLvhkHc2CltneP
yB4qeUGkx27Dm0Smkl3uO7VlS+48c7f343AKcA5x4BoK+7xzsyJPsmqtGTO2tnO9ppOSrKFHA1WI
o1xo3Y6bSa8vSu/dUMM0FOW21FJBIxuz19ug2D3QYSh1QqIboiHbAsHQJC2E0OKu24Eft7JqSPlc
QD9UC+YfR9Td3uI6190wibgpXyfCNoXrGvctQSNjC1QHlNqINTjChFGwt6FSRcIKC+zJ2c9lEOdl
nTMxbwRJSGTom8KmSE8WVw7k3dJSZNacM9kyNyvQbVAM5OS4Z87cpnV0yyrAxHKW6qNfmpqfKJLY
D5sLoGTD27pk5SkPO9UZYWHNxGUpix0mR3FL7hkdCl7D+pj7twg+bTiYSwJiyzvTeUkfpCWSlWxP
scJ/fccyZ1ZZ7p2HZ0C9ZRUuuwIta9jdE/kwLus8qu0tPiA+PTQvtgbira/8RDhso65C2z5twEx1
8kT3DaWp0a7aMA7kjnNpjVoC0oGZ6iW7f6JyuLUj0aXcM8Xer1B5nA6EEaKbJo8P1DvF8Ng8Ym3k
EJll9mffaZAbWMeCMyitOJpak+cfUgt+vzgsHWn2J+nUrUegvqUx+kPERGh76Q5thoZ6olD6PpYY
B5juXzxXuLpdYm1yiAYTww1e2/vnLYaq9L23vQglSlr2tzI47O/wROkrd2iVQ2KP2c7AuvaeAeYp
ud97uBpJEyy4rFSOZxUaRcT59g3AwLcxDnMp4+o3DBBrJdiOZZw2vlO9QRzsd0YBCBRxYbJkziib
6y4Vep5Gx29t4O2bDHIAXT9RIugGLceQ/Y6ZcvracpN6kUFwVA8C0P96mZ1HhUoUAAE+Hg4j2yD5
jAEascgJ5YTyCniRKWUoLTmLfHV5lKNtGmvRIlfDDMx9GAvaaC2JMJHwnlJvXYAUhZ7rw/p+jKCt
tkT2TBEZc2QtuxC3P4qokSkMAq8ZwJXpymptbUXdcxWw8AJnwtbA/edkk6otJ+8PTEsg2FKOUEEJ
yyQBJCejD8mq97otN15JJFc9NqG08GnIXbIoSeOLUOUlvU2yjIDtV18KTsX1IwGVw4C7hvxz6kw2
y0oVkY48EF68rvGvA/S2IzTGjSaRA4IQQ602Y27eC0IggxO2/klxdXOT26xOaCGidVKWRIpJEtRw
SUC/0q0kxiuuT/RQQafeitMvASDfndSAkBVMmV13VOYRTRHhgB0Eu71+rr42ua9cBmnWkYHUUHAh
KyQj74M/xcNfiBugJDnETZCqygY68BBd+GdSAnA/PMrK7wDKsL5Qct05ow8zrBIQQlOxOa2NmQTd
c09gvbDRlA5zd0x51fKG9VAiPm5SFiSXyul8gLegNZd6iOhSu7/BWdDkYMfQ3kMDZIn1VLNc+ZQJ
finImakc43favAgq5qEny+xIqWsFsWBid7/l37cOQlgpIi7l0i4rwwprR/m0zWDEWXHW4xygPKGT
ctwIyEHGi6LgFVApfkDPte5Y3EamPtkEE5aJadpLVrbEP7EAv/JROxIkRQKotsOAC5nIfQtpvf9w
2+OIDqk1p1pZ306hUmbpJrjDIJtEKDOSjgk9Glg5LwMvOTUjQvbJV1owQDXUZsflUFPZj1upSMML
1mb9jLTa+5YN3p9cmUks/+ElZCgNA/GGjDNLRmbDyWkaEAzy7NMt1WbugC/EFkTk1Az1DysJYYoZ
3nYJKDFzyn+RXODIVTnlWmm/SEVkBztM8CYOdgL/P6ewHBzXP68do0Onj9nOGSjRbCnFjmBohhSN
YfNndweYShqFfopdqdI46Cy4R/4t3KNdvZrlerNbE950/+d55SHf4E47Q85Mow0zQKY3WujnAvMm
FB6/g7ayqWuSj7zt7PP13kyZ+BTqZpvDOK1ckxhAoanI4CsDUKHc6riTp/XUv6snAS336ONAlfu/
vfdE0O97u7QzG3TSyncW01xJ2ENKKwOaXIHwoHpgqY6A63vBGJZfpDM5/YEBT7D14f6TQfQW3/mW
0I41dcZREASz4I4Z6/x32z+ZntcUhrU5nJJN8MrHkHW0/AAO2pU9VyiKx9c0gsCs31GVz8QQ8xEA
kjQxgbS4Bt6ShL88lrThHZ9uc/rb5jCD2qP2C14bYDyrsiFCoqkXRV4vrcej9wnQiZtsMRg5gfed
cvsSFlfSUIkeQ9NVG/hkcVK08dzbaFZakP6BruNfxKPc8w2jUvvkVAY6rvijLjye9jb+of7NVhvG
pgtVKZYFiV+YvhZd/xguUS0bym3mmd/SYRhYZtH4tgx9hchowUVyaEJmg+M4jcoQg1hLo1ZhOCUg
TJIClL3jc1JlzcboNXYqm4v+jElMq2XZ4g7qQPrwT1cu+i7nStW7YFCKoBq1vgr2IodTBGOXa6Ox
1dkXyc2800chjGOK6KrEdWZo9rXn4chxQ4wxGdWuCJ0vgoUbCva3266qzyk6s9xuJeZNpRUqr2Mz
PIkhhBxTEyxxnBPWqLts9foP5fWGMGi8Kmtg7vRZNsb9Tt0EcBQzpDYfI7YK6p1LWHEZR4hDUDUK
kqRyPOZWHiynCLinW8mR3MbRTa5zDO8Xg7ha6TahN83W29DOAMXQpHyAz5YsFz1H70DXR+DdsjqO
T+eQZQ1Z3mihnHQbmHBU7+zAxt7MRJ5r8Okr52vIk/ObnjgweyC0OFqxnsOBmlg68SdSqn48894F
LtrzWTUh0G5gddd+fOVyd1OD+XOqJqJS4WagKkaNXKTqWdP3D2qgYT0LpEGopuI3IIFm39LdhXwe
5C3mFszGtjtBVP9Bo5ZbJq/5lQ3hrfTPNoNhO0ZQ371o9v1EAx6Hx3YYkTZuESrK4QUwXQwj3Msn
bwXxjoUVPnHf4tv7dM4jb98OcK+hwPpfu3R86TUjbdzXg895gxUI2ltXhktp5RsR1uA9O+MB+OzN
FIFtBRDZ2nI3Ncc46tRGULZAi0G0qF2LbzDfBRJ/3ETylZ0W9oBl7bGGDbDkDe0VxOpmzZyu8sgi
ucX0Y9eSRBPlt9ySmfEnPpbzSPqn1X/OmDCctA+ZSqq+8LP/vCCVKnVoG4O6CZB741wjqYAK133r
GHGM7WvxS8VL9WA1Hb/NotSepQW+3Vh3bleR+O8G+wfMPLIpOt0Cu636oawUQcB4hTH6KGmzpHk6
P3dHlvMqj3CUeB4jQAzF3BYH8Gdp1nyN2d/+nKNt+b81udPEfauIryPF/Lfc1H7kzyr4ZrU1+jg1
GKTo+8pOMw4PlxELDVoe76B7ggWyh4c90GKp/IrVZmJXflmGdiYPln9zrhxbJZuceLxl3lq7ngRG
3OssidwqU+4TSRyR/DEBC78xuV2bFILQvrIiYEK6dAM1ndp3rRVth0ejuQvEzfk4sjJda+Z/HHJ0
v/gygWfLprQJdCuaFEQWxaWQz2Ghkjo3x4h1ZyEanZ9vhq1qSAUnJG87PfI72r5+QaiujIU04LZg
ARpns4RBDk8q9CIxSugZecpyrWCT06cMiQvWOVYkDl+yerLibKaqjitZlc/gq73uQpQBgvnE8GFE
IzuGtZGPIz8LJo+WUwSVAkvotJ58ml/XKcKYBeLpBjhZgjnf7J9vHlgtsnxxxVWWn2VWnrW7oIfJ
db2L06TED1MwXDLot7o4QS1YqIbcyL2iJHdlUweEUbrKCg70K3Wms1NxKe1bwFVdqOOE99DKqOxf
Ck7MZ2HJRAI1M3eAuVY31kPmxGHciTnm6WD4Ubxqt4eZhpym1bGbdlHUnmxa/SlTR8Pt1csaYeLM
XfmHNYZlkXWjhCgE3tR0tQPdnYClt+IR5knuCoBRVnYsCVl6MTH+BdrsFHvO+zGDDI2ZihkhEztd
XFIdAX1ADOKZ4VeOFCEeY3IfulgD9VD9plMNyJ5mrzQEBDwIxztBXlEfa+VySWHw+9/7/zxZHA0B
g8s9fxL/RuVfWPucclNIojZRdYAqNaRM66laLUI83H6K6FF/qAUD4SbFpfMinsw83jiiptViYUKH
tyS/9FCjn8qyhpJrtQFlL/wzYm/8sB3FcJcfqjok1Ui8bxTCR+SAoxy4PqiW1qT3x/lxvrjZ7ihp
vkjt4hXH9H4UT0cQLZQr5VOrNW+MYnRZnSlQi1T9GqW1mU/gILyLAXFT7apYX/srsO1HY5/+++n1
YD6PAjn4pFyQOjvlRpDuB78j0tGVwB5rdGMvR3GGrxAzpbhAzRZ9yugiic5XOCY3FPxWp70hw+M1
bsyWmptJHsk3X/Yz3CZWm2/29qoHdhQB20nD2BYKEkrQdMjpIHqdwO7y1n9BJAlLeslT8yvIH4eJ
1rxgHdvNvmubDD6TOpchQgcP7x2qlA0F6RLBhIU+0QHFiUi35809tFBmQqIu+MfLsyb+mtN6Mhq6
pdgcFbpAVkJbIitse9EhBBBTjLSPfeGJuRhYBARxb6FfQU9LttNpbW3AIJt7tVnNDCskNoGzxFAf
ZfObhH6GGao23shr+bclIPJCmaZIbz5Mxo607jKYuONjSRLjVng7AJ2V8DNOHQATMHiSVMExYw4b
21hNUStsSHst2IQNwqGViUSPaw5MIO1T5F58n3S1BBMIBylHdXLtJAxheVmf1G7HbpW/1K8tayvv
lTPQnNfWd2n81aw060iLl8z2yw+Qv4Ql1t8HoFIgFUT8Ryp55y9k0PEJo9TgfgkOM4uvZOgBIknM
3p/M+DZbbTLlAFGE/q5Kwr/yLl+g8oN/DKQWi/4o+A3LBb/ZTFtIxikYUGFlgMnljyTtAK8BiqqZ
dCxoIX2Pfv4C3y9TDDJvdUnc7RE/AEr4HhDLPeytpObI3idiZruNaQjhV71IFK1Tm5kSWSmo1GAF
LyiueRlg4p2f+aS29bq3n/9zZtnPf9XKuhMclWwSeMKo3Hks0slxac8sjhdyAgkcT4bhNbh6CGS3
ySYyrOH/IQH2tgI9k+K4KGfg5bMy7+XwzvCNjXYmF+QFxW//xN8snLlPEhlabnkOb5dWBgVqzPmX
YI1iHMErK7VTcKE0YopO9Prt6UKm4NWYGfzeVOp9SKCRUINvSsyf0/mbM5+7uMIeYA8AFov/GqUs
44qDesmsFPAZgRZoGViSp5DF1v7B3vldE806D9CtFYQ2rfUyYmCLMT4NeDXtVyVUj3nybqyLD0MA
pux5qjEQBDqkbeQJRW7BVrqtQQy9PEsQGMePnKz0Em7oe8Dd/96Lq6cxVHpVJaLNdqBYz8vkW9WC
e7YPS0kmQW8SWDV4FqQY41XmIKCZoqSn4jI6634c5Xhjwn4IaGDQ3BbPD75ogn+hoYkLMsxQ95bg
SVsvyVSQyi10cfrveSUw3Pjkkj+Y3dRaZEcVMoKYOrWgDBaMf0QNuf8qpT91kDcgLdsAqGmun1iF
c/UxmS0b907G844RWbx5u7Cb6g3GBAHEWAkPuSX95iNf2LsXJC5kOciJSqDAJnwSwUv5Xu0MAcBj
cNmJnHb8y5s7nwF3T7Ux4iW+nrFrNDMeUBjKM5hmp3dW/ya9kKL22zZTCm/7+gbaXHSoT6AwFcxw
0A3kyi+oGrCRNiSAAA4GOPqlFtQDeWoPve6T99EPtsjAK/GD0eVmCLeXwgDOBe5cGfT10w0gE/nS
E/DO4xE+JM4ce8kk2P/t8ub7rsGvs9MbOusUCZfRMe+v3lryzM1Pmad+sayQaGcQAftPv70IREC6
kCznHnxv2KcK+4KpHLifB4eeLucz1OhtWmrYjKGtzdpLR9syGQsbMW2bUJl93AAG4/xfqEh4Ecw/
LNl0yN7AZXFKFgqJsQyXFvSgrLHCcL9xWfGEkNVTjBZnNPbMi3TCABjWrwdyE0m0cX8uD1R5O3J3
UokQiLWU4wBMsrgSaJss57IPNjPjz3OOtRwKDPKG8KetkMJzyKhCO766St3iZ7Sy/dcs1kSc/wRA
y/6A077OAgm9Pg5SHX65ojDps7BdnzsNxGG0D0piGva4HlKVd5hhM0k4qr6UVNxn/IhDkCTxy+Rc
Gh+o86TQZVLw5I2xOwlMZvB/StVY1EP2x1lYwiWvFVP311LFrroLsdI2+BhuyUVNKS1B4JQqu3AK
KxRf+HZtQWpfNqfOg2aSRdk/ULpNQdLORcDR3b0B5822J3YSWzYUbOIipQ42d9/9P+GREpS5tdDK
ymfbu2/PmQBld5V+QTRUP4bb8U7WrK462yK6FUy8PSke1uTFUeGNFRpWHACuT1xUVdJgGNEUfwPT
ruL4yHnHUGf3ncydFZX5xJ00rFwCVUXsb80B7mwKjjWdH5P9UoFrHGDFmovzWmr9uzntFn0sval6
MhHop8c1yDdOe8xRlzhB5N2H2S84drGpHiuCapnm0Y65lavMqPSJcYTeE6ylRfsCEvRst5f6Aaqc
j2xXhSOb/IS4GLfEfPn8LaALFOtvL3guk7yoAPcVm7Yb72tNH5V13TgsExFrPKIHvRgGApiv8hsR
mXX8gBBdDLC+/SUsNKi95IO8cj6m5k3rM/Ac8C77Rw2E/ZZhTNjaxCfuivCt2UFTusoJRoMTs0dg
5RgDq28soj+AXlfV/EaANGjev/9+Je64C97Upzbls0QwUFaOlC0yrypP6b6JaTtgz4PJ0PX9SxVs
n01EKogssjjEg+V6zaibYBI+rfHxylkRVyJRiMKKUS6tEjkz7BW6gk80677tASBlaWC6oOI5KTZb
rbTiPkwccGn0fx3MVbJwRPsyi9ONB9yPVojuHLn8T0VO4DRt95J2G8X3yISBMo+27C4xcQ9M+/EI
4x8VWyM/d6KNKiuodKzakikXeYIgkH9iFtFNdQRfwDCJ023xYIgxMPdyZOl+5k9RUxr/y4lWe8Ip
lTSjUK/AWXGmfEYmHes4qUv6obMsx/8H3EYJuwpXLdEvUp252S0tSc5nyuqMvjjYaRruT+Ose2H6
kj7ZN1f0tylYERWGGAXvfg2Sb3FfZqyij7G7FPNLXuxGSb5CiaMBl0X+DRnjS/YRlWJE3C2cnIgl
HAZu5uq33C/imZEvJIyZRoZUnsiFVnfri5zep+d0cIEcIe6mZbZ+X0q2h8UOOP2clAmL1mqPz4Ii
lon+nC8IckMlC2jz2aq24Uz4TbP+rQKZfiKRQ92p/o1piipDn/+tlMkZRC0g1UhCmhmRyPaHjJJ0
0v0PLxTy6zgUjiRuR6hAHRB59qdAPHMvQ6jEyYbTRAy6nBefp39rPWUALwvvZbyrVO5qDdw4JXRK
/etUcbPL74SYDG+FgVgUcBgURFXbe6u8NznZXUd1mwgJ/PjBIpYfgNFTsKf0cFW4VUftREsNX0o4
KIVZiODs8jcY6kclWbM8svCOs6S5rq29wlLt9NiJLSutLf4qFMCSAs+b9pb06eAPwgIGgexQd3Nu
muIi+6l3F5FtycqmXFBfOs9Ru5dZwgwMcdClRiUG9KsKNWkaukFVBa08rVP6IjqcJII9Obf2TAcV
6HCYgocgUh1mB0noarNY2JfGbagieGuEzDmPqpSPZTFbUyv/erGGWgEaY2g5fpD/JfWgCa//s7+h
tYV831v/U2Xb1/SG6Ygi3++HO0dE2CWsBUTzCzwcbVFJOMW3rFxQM63jlDj9sYIoZVhrsVmXT4Dt
GaCrwuFHSSJSztVamLq0rlTU+UdvAhuFfcHwFm2B4NoGzx6EFb/erjmkFinUP+c1sdvt7mipYvYh
JXOTRpjHNXmMBke4CVXS5Ie5h3EwK++dkXWhXrxhjbOA9mSpi+1EKPhJ2Xp2Qt//lOEz+MEUWPc9
p7UgCxNzcVgGSscaJ9gWoSE1/96imLkmzTkKEVmZaPCEmes/b5cS2qGJtqnxa2YGbPzEbPHbJWRU
X+zvhEHjpwF2+K3DRublFULKZDZmCCgBzneTZOb4MtirGkTn1bsJzJ1wTUhtYZBJejFtvuD/AzCw
yxIJOHRHFcKODuT/7+oDW/fsUTOXOCXLX078dfXzFxGOi9z+u09vSlIZxj3tXnUeH0ZEiLjY40UA
lPeN0KSmAhj8IyMTVt7Zd/zrHAJGGJSmC0YW2JReM2TvO9Z3dC+s0hAFiwMAqtCJGO5zo+v7vJ6N
voh0Os/+lNGS/HPX/xW3UApgX6OHxuAuyspSyp3VziW18aRN/JDBVQ/MBt9B+mC34TOnf1YFCze3
mCmSMuA2X678yvA/Us9k1MZms/JugXh35Q9TGcvJpuZwx/RBeO9p6lYr9zTsOXZ7m1YmAT0R9u1P
iS4c+EiQaW15p48bwjfFNOBjgcQc+vO0lVJ7aQ19j/Rt8ZBNIGU0U3tAJP/RnPr52jpx8AdNqnQb
WLhtWkwZ2sEYOTU7p1x69mMGNrqs9QMx+Zv0zjAjWwfVcus4IJaMKt5tj2NwbhFX0pO0vP+Gnw/H
TRKS/U33QTfFZ8PWOSRlJBtZy627r7wk2MlimKJIxptelmTYo3XDXyRQ7amHurU9RiqHX1QYonV5
xnX/SMNVGqxZSVNqMKAcbJdSQ+t+iQjXYhema8bxLD7CfSK+zhe/3cAYT9Gb33yKjNs1DRvgHYFg
3LhAm4go7N0+X7V3R7NZfzHMrtrquDjP+FPOItr8nYN47mN4h0Nb8Y0z6tX+/icdoln4IpBIKVIO
bxCa43Qke4pu7ZkBlLqS74IN1QNXsMhzgTyLRO9pB+tu0jCIYXDHINyBw8TIR79dDA5anBeyJTz2
0OOPsbj3H91ltChSdfuNkWJ1S0S4jlMY9iYU7ST/vwhQjYxHrENKDC+llpuRaKwB1Ki/wCBEzt4F
ry9WUmwsk9LcH2P0akG38cQg1BaSs2dpGJpasERjlNviyPLaZoR7W4gT8+vacUCVcT7x3sLpybRf
rr3xZ4mnqjvGbg9aWVkkdpb+HXEY8vT2RVPhq/S+kaXHfeDWanJad+hgoN6KKoZKhR8Nam2iDyfC
ANsMMr8ewgV8TnP5g+kBVnaiuIKPKmR9VeBJnXhbxDoSRYxeOt27pQUdbnS5OYeTfkegu0eMhJVF
khHaC/EzeIwqHXukvjWQuJALtOKLWSas2KNv44pliRpwy1SuDB7kAZStkREqtqQztu55dIxSlO/A
I5Y+krH+KQvcmEp82FSseYY1R0474rSAf3lWzqnJKHtK1BsCTStbipMl7XhgfhaMDH1CymYddChT
fV9dYZe2pGhbWsXv9oouIoBC7lokL22ZqgGQp1ZHMjOAzraR157wu73uwvtVEGzH0N6aq6hEuNcr
JWeJ57FASzdRaBjdrtggAXJs0YuemtVe1W3aj8xj2gUdt6mamRJk97Kmqb1Yw5JG22qHXVq9Z5XP
mby0k78htRXCSHtXxVCHcxZqcVTYFQ7ok3bwLpPsUJ1NNyKkvyRa5jHXcScZv8oI8ozbeJSRa4zU
36MnrJVzRGlDJLKX855D3EeN8JKoe9ocAWhkZNY9BqeRCauJXJyuWUo359hUa/di+hTM45hS/BU0
6wP+9uxyDvxSYvm3sIkNUaRV+b7J2aKJYqR453/jGyRY8dqp11Wv/dSJ5MnzWuGQOIfPrOUVqGAN
EjPi6cnR6QchwuK6gYyEQ7Fh1werDRyUh+Nd/x99q8HOl8OOmQUYXGRyxvYEgL16tYQQFopSiQQy
1xYmukKvw9I5K4mm+97Btv8Zqe7FB+NfqrglvIIsgwGlNxqkywg4aCAIitT/bgrrA9HDFfZ1iPu8
gGhQ4b0OZB/cwJxCj4Gw62wyDW64wzmmfVgD/J74U4AFMs8r+sfY1J8dbBappYwXdwizbt7wxEdN
MfW14tgrElVTzdWg23y9KpHmgN8LLFJLyTwB6q36z0F51j7LZDy9jmIbrBg2u69QTz0wZF5KktBy
H0uDSKA0sfleibd96IrbFO7Y7kNMCdLXjMmv9sLaumLihKdVNmdrQGG+rai9psbLdYIcmR2U5Z0t
PJiKBSGeUYBM3xOumCx9WtZPx5QEWRPUXe3jTRAy3UXfKHWHHawfSXtdnoaIu7vvP0xYEUjirCeg
98SV1Uke3CcH2TqKki8zGu6I2q28d8FNtf9iqBf0LJ0lw5CigOnWbtPIxbopgw8nhIMVoubXs4uj
czumNA5jJeWDJl+l/cE1lL+KsyxVcR4fZSylqGuTEGw0FsyH7mXDBo+25xn1SwPEd6qEo+RYi7TV
R6LRG0pa22uI0GcANg4i3Y2l+450NRn/4rvilvO1TIii0aMTdEQfFmX8B1m7wmPRMn/G3xhqdH6l
Mnlcc8e7OP9mDZPTcL41QvrWDV8JgFQbOfiQAqDTu3vafkwtJ7HyS289sVPT0+LINhSZaoLw1lSY
y35KUZL8e8RF23h9IhHSmvCuwfQXX5DmAiaXi1Uk+VQCpH/9+f225gcorkhmsHMH5v1AcBJXvS10
3+7LjxlXp/EN2WSAij6WZCiZUoG+/bJ5v6pOe4r5qnGxzwXsNrNB5tCdZl4EJs6l+/Ftx+BqLz2L
xmvPMnnU0ktB/9Zvh74/AlhIRvee0tzxT564m+EHbRNtiDZrmuBvRnm5+i48sCkiPXfGM45OJ95p
+XPbUcZJzBr7+gjAJMIoUJhFwszMbiNUMrHvoO6e1ZiCrRFvQLv6vXegUBIs2KhrchIHd2QjubnS
YCdKdBygg0X3yTG1zGXfBv4ETjZQWHjitrCnTgPB+03Jvw8jXhQXQn6hhpmPkcM1iQrbWOrEWK6J
AnBST6XLV7EF4VxccAGV0Z3e0B5X1UAPYeurlrArG5ItjGUbvVjgtz4W9ct4wWnp5CqRDQ6A6ki0
p9iI2RUP5EcZPqXXLP6OLjQf9B8KLvvQKvgCkLFAB4q6IeNJBUC1PQKie3yABIRYOkeGqPBE4eIf
pxCszEwERAyhTHMzh+2RuUSEtnb7v01O46NJazDsLZ2Kmbtz9EtwqOisqAiFrMY1cmtjxDgSZHlD
Bz+ngnJ3i+m8MF57o3UA4cN+H5ZrUhXUW++wc1sBOyDQCKOJgeYSYZ1TNP/MPJRyeABzTpSkz02q
EQb3chnSO0ifeyJew32B8zXxbJxBSUTD/4rWnoAgzzemUsEmI2cLJ8SXncob+YQXtcTLZMYcLzkR
d93xqBkErAsp/V/ixMgYfVBOHs7xiiJq3DuUPtBn7okuut1e5BzOvWugbhhwQGKubz0k98iFePzg
vqVdzRav4vuBEDjm+JZTpfhUdzGk2byuyScl4LgaWUq2EefhBpsFfR7sfSy/orno/8o+Vz2BLmxN
YtVAXIuGEb/ox7yOkS+c934DXyldUI5WkpwHl60jCwUlmajmIR0aBNsmi3MDc/aepHSQ5Amff414
vrbPzfX9p34JHw0h+xVavEtziBAFibWCw93rnK/ZZ4vV9xSJPEdL8oQsSoopG2dqoVW7K0GKeYhM
z45Ew/PSIWYRC86AtMlTS40ct1EgFJoZSLmax9kbgAV3DlGrH6YGEX8ZdDSyUch6YjnkZ+sz0Pkc
iQFqFiFrsb4B87t2KHKaljba0nqhhbSZduLjgP1QXZEetlIFQv1LSEECOPoPCo/cL43xAJXNkrMI
/YwurkVZuX63K5pxwpvajnRjdGp/JgojqH8XhhtdaR/CasWjvTEj0zAVR3Ciu1GtLivKjZCzLsLB
fkPH/jWO3kyqQnsoUd2cEP7OjZ+N1mGQ/sA4x6cFN8PL2IFDCmaeNhiVxJ5DuBIxx1ixbBj+ZR9N
m18hGJb/LwIc7dWcIXr5BllrvfySLLqHV4Wn+MhDVqqGHiuBJstkLKlBtCmMOuulzXuGAWMnzyze
xjpCoPM/G64UZqO0xRWXqAPE1o2OiY1rK7J8pUZf91pto4bhm09AFlPPsdu0vixSu9Z4S0FU/aT0
MWBsnIeIuGLWWjicr7S38l4AemYBV8i4Uz2ki1JxM8eYMqwanPGkXLuJH3Gm+sXrhhn3naNxcDfU
A32i7oHL4eQwQxQanJsU5xOxfSHdtM8MAdADT9/adHaOQMIp6rGH67mGG5SphGdbAIOCcCDg18D1
CAjsoMKo5uM6hpQmQlyYfmtB8AMK3SjCsnhlms/5gNzgZbdc3DqC1ZNChXhpPs3Ni4bjVLt3ZORe
1JWS9WdC79b5c5wMW+sfZlsp/KS2/h2c546A+guhMgp4UihQXZU7AfhSu0T/uT1XwY2wBjLmaSq5
HsvWBznL7ZazDwGNNC/e/V+DeL2tZDoDqCWzhkYve/p/33FGuCsK/IghLn+7QKe8OsDDOA+3pX6Y
+exsu92vpiF74e08MX4JM1GA56/09x+2/CjmQuu0XxgW6btaaFFT8XJHyuFN4h1UMoeCYiWTEOgv
FVD+CLAm2KA0TTjXEnDvWx4HZa/W3C+vwqEwrozCKC4cxGThAhDdIwZoREGZIBi6xDBfKrjbHOoX
rgPzRLqzC/1bwbeWIWOwF0PRhfYLpElYk1JzGXbdZMpSPHvB3InskL2yNmJwXXcbf3/9jAffaWJA
1KXG1CHvlhuuA0AT73fjaHi/ENH6cGIhJIJJHW+soArgohp3ewW4Mo0wqrx/yJVa8dGF+sDC7rMU
4N1HEamcMZ7FoIs7SeljwXXUAvKNvSj1sSE9yh1Cqe3DJf4qHxpM2nYy1QmzNAquEkjEX0RvvMMz
nqdPh6v3dcq65fq58ewIKjZ86YzQAeyueShd1vswmynQVXK/Fo6LNzUEeNPSbdCz6nfL9dLoawQp
Hcd2Z62Kb00qSjzLXJLbn4QGgQ7QoIXQIznmnBp7PdBdQG0TMTG0x6qf6a/j6HRm1PhVNcbO2L3j
J5XBADMT6ZQG8NKSD8LRhfaREDlRQZgluUmcHqgvPUmVFHJ7DjpmVI7aHhy2R0I+wmXkUHYUAJXG
HwLzGRImskGFgOqu7Ee7FAuLg0YzN5Z3NsWrb4HEQ81gJQ4ysf+O9zyVc1PeHsBGSjyILo0WTgKq
ArPsJSF1Mvwln2aQhy8leMdXOnVbpNYLc7WqZfqwZ3+AUxSF7KuUF8AYo9E8slb/8VSyHWr9ZI5s
lkA6RQz5cb+0v3/6JlgDCu4O2/6HZWrthxexpxikkmF9ABIJN3N4kRsjmVvYQYXRgsu3gQzjbAqk
V6lRAu11o3sRzG99QMnm4A+/jiiJRdWZmqJi3q9FfswW3rlDJTUMV5RMvQJ0T1aqp7p0DEySAVHp
v30AbQqijEZUspK65jIMMMJ4NJ7qzzZMey05pkM0tliPiSB/kPlilWSOAL03rMUWoVMnapRL92Iv
U4Il4WpO2ZlBSXdaBhzXAqyHF9v3NJOM++Dh5WhTvC+qoIGRfka4pV8EQuu6RTG2ln2M5+rkBfi1
8jAXiM/hw4dJmBxq8iFYmYcP90YRHU5yPaNkTJhGnU3B3Goh7fuN3D4zeNZ3bZfIIrAoae2n+9FA
P8h5qRxdMdA7ztjCtN6MLD4hzH+SCVCqXYJ/IuZAxoSFLkpbWvOCn2TlJdV0dCdZOzBvz/xmcth0
uDBtbEzciOs9e7MsM8NJHCKZF1MyCRSbviBJTuK9cbQZPyZzeENp+Jv76g/67w0SrmECy1/yOx5d
4tp0BxCrpj0Eny8PqFwS0tEWF9ZJZDAkfk77T62tngbN6x/oMXN0Gbqpvn0tINrjp8DRYJT6RI4U
CHoutd3u+ysibVf30VFPor5U7IepQg/A8XpLFenFKt+ifz9lOMsjRSydLnQC2ckfWsa3pT4gkxIz
cTnCsfkfgya1qCh4GiLWXEXabKN6ozXw4h+cQE51qEfetQsLp6R1EYuzrxjxwijPjAHNIRIaMEky
YvGrcpnsbnsnpiJy4oH6//2VcVH/z73aAquPCFe1RXzciqKZAE/UXs0H6eo26ADyY8n8Wrq1Jth2
O2I68fDq9LL1ewnfqNmXvje8uVWaOjTK4XZuo5eMg0VgbEtszzcNZeU5D3HrNR7U4G6Zva7jUEFY
IRsQtuAHaJGumg+Pm86r9G/mO4Flh5d48KIKGs5hI4tMFdnGKayLsNvv+bydiIH0FlO88a/VZJFZ
i6EPsUWtG710PL3IDHa4SCPac6BvPWnYwbC/bgPKKipCZY4ypDJ0wHHOpakFmdaTiYW+1bgtSiQ5
sXy3hGVe+Eqr/NkBD3DROGS8yOiLVGvkhsEfqjswNV0JBuWkkhd2+UxWEloJsrSAv+TeW7YfJ5DB
rh86279ch9z1fbNa/ytOt6iifkBSv7l3dyG6YDbI6tdNgdjfmccc9D6M/fgYmfDEIFdFjROA8zJn
XXfkdtZ4UjmP9YBY3dpsNRLaawZ4vfRtUJ9tXfS27hO2oo/AdvHcicMvWgm3eV+sTsF41cDyBAHw
l2PWpch5GKTgzIR+u2qO48aPtqFp9RFBy/DeG0KPknXFxIuW8AJPcehJe0PoesBFkmtdK7MM/gnI
TQvf8PGTuhZTv/dieVXyJeBfkT+i8ffO6vZ1c8QH9t3UYMygu7+i34Hc7cI84AJOj0C2pZDfbnOF
gtY/s9ZOlMGRNMaKy0atZxTHpmr3LJjwHoMtsie3fjoHfgHPVLd5rOqAdgtiCy+rQEuhwzoOtBcR
GdOxxBT1SzdwfspmYDhwBZe3H9Xf9+RW22lM0GR6/QJq7uphfOm9oSM9R2tFCX7yZamMKG/bfQAE
yRyqLbwnS8ZTrksqkqjTGLyH/yw8RP/NbA+aJyBdLTtJ+eV1hxfeelPP6S5bE3rKlndllW+ySF/t
GZRDiQI6iGs+ZLu4skZj8LcYMXotZkGuFV1j0GKLBwvjvq7wqx8wDOWn/z8XsG6OZO6u0PlA7Ljc
NDyMbrIh1O6r2y77rHOoubEd9ZHcRCkL85JWi0YDhHTOH+UeiZtUY7bxy+K5kTXOG2MjAjgqWvKZ
+ohWlaKeX36WVnBsZuV1JbhgTUOeSBUhQgxO1tGgafOC9fMt+ui3B0HTE/9FohO0KazmpBB0pofo
cVbDO1r0xPk3lT78xHLdsT3ILNb+Dxp013cwuEFKJXZqL3KsLXnmazp710rAUE6TQq97CxBhoTys
ZL8gtdgBixUZAQsEr6F70Kr2sWPSZJ1+VllXi64QmW3/Y/icAs0mbneEFr77N4unUCMYxRvz+Aw5
zahDkKLEERPmD8exVYHny/ohnaWIICo6QYrFnucSFegT43uJ8t6gsFFjfJWUyTcF2L+z/JEOTPxn
3Iy/FIyHNq2yeMkX1Y4Wn+fnrT0iPhFKBXdmOLEdXRw8OYmnMsC1Hl/UqkFdSY3EyS6E8Xe0HGxw
Pwcbuh26PTXIMgThWg+iRuyWKQi3+5DQWhkatVOJ025sqqw8lSKJm1z2yLO14UgI5SZPisKqDQMo
ui0mrMYZKDSqawkUsxIrO6DEY3yqFYi2xHNZH8e6jYxjtUQQ2l9X6Fo7S4Yv7aVMrb1nNcC9V0Ik
BAXCDmixnHWjjZrxnMwq/5M/Dk2BLgUKOzflvv1TliRXvEuMUa1eXIabV8dgLRyfKIfZblzB08GY
odBVMSP1BXMSvAzcju0UDi8aqFiNThEtMl/MxK+pVjt8zQthI1XFGVeTmSjZSgCLv7Zt9wfF873Q
mZKKw7okBXugzRMrwlqMg0Dwv6l5J0mi4Gm5SJ/F8Y+y++b78IjTPDqJ/YiznVxvP6m9ZHNLlyUy
322MZgmnFm8ig9JEU8let8OAlwtdyqZQRIeQtcSwKYbne0VMSpsWIuJr8UYT8YPNqwt54QEXsXit
sAw4bG7ZgQRNDdn994+XXa3EzPRhaty+uWrFmYPgSBjPXwppYsJSFz4cm2ks9FnCbuFdT8sWW1qB
ov+iJbybdguWAVDuAj7pymLpKGX6Qmst0V1QenD87RpDKBc6BuCNa8s32EHIMzHa8FQ8gy4LOoHP
98w/g3+LrBuE2C0JyLX+FPPEyG/8aDxMbkSceGpaxsSEy+mCF3mx2meySGiDpamsXUuLeU38HFau
8RgwiLpQEjhSMZkr7Rfo5GXFY+R+APHLSw64ruayzOOPgRKgaaIA6D6ZKnSvM2YUu17dZsqKHaTM
xN3XLXu7c/k64IMUDAR/0h0VaQgQxp2zX9jmgE865j1krYcQN9MzIEQ18g4xEYzW14IpJHhRVDSl
ufs1JEzJM+8Z09xbWGPBvbS3oM5oqcGVcMFjONJrMNInQl/p/FLEEV7zgHrnQGAUH+bFwr1w3CQc
pWoqkjWvxoH49nyJJbrqRVeGf6QeO3K5XKZ5UjtIirbppKUbFtXJjcMPMGF7O4iGC8RqdbJWZDvL
9/bprrhw9zQKlAxDnxe4Bc4CVu8g9+8yTrChyuBXcjrXETtJKNwRjP6SLywvF6wb6XSeCEHzC7xQ
pNuKMKNZxuTkV/LxW8tjvCawLcX2Ga9oqb3BxbJxqrDCX5Bti1FOG42eG9YajKODsatKUwlVM7fv
wIksWkFK7tU0ZfZj3jlsE1joM4y7aW08rx0rm0gwhjW8QPr30vQKNB+OCijA3UetvGCL+jrjsMDO
buJMVSn67+uCdzR6M0wTfb8XhDnH5ZGKOYZ5zUZDr1xUfhxzpxNj6gthn65zRBdVlRMhN1r+EB1W
Ei91r5obuy4/sjX33oymTSHVw6jQZ4O6zJ3SEUXsTolLN0ZtaBSxJ5AAHILEl8xhHGb2ItoR9DyK
RY28dbCnfsFATVUEvhq8dI6bSTjIWpD8/amlAGDgffgHAMNOcZ9Q5/VEYVVHozXYh7qAwKqpuCch
Uxf6w2B0glRv/t4647g/8JNVKjU63QWlboNphcjzZDSfvUbo/V8ifQkDVw8B0lMUIRU3X01M+OUq
sm4SZ1Cn0S+Isdawkbp3Dt015P3F6pvjtjTGK8p1hp1+QMj3sKUj/VR2CEAS4i+77LXqVuIlHmh4
mi0IsTgAsDoQ5+K1ITCPvxiSWlikSalhy851wSBLoKAO5JQPQRqztU64Ooot5CVbEjZMuv1N/MCH
uDUm3zdVuqWA2WlqQLlhDAmpXqBbAzUTXB5ZC7DsiND8CsZOIx4kkRpNkz5EDBJe9SubRsy1fumb
rmXx2Yc39wmCscq9Y6uA79TRXwlMdxOn00/JQfCVDV0ZbOMDDsM5aDd9Gx2s0HOECQzJPG9VRIjN
wqwrNmOULD0g0Ej3LtMWKn/4Mv5LedhTWQpDR5wkXN3eIpuevSKFjq8i4O55gbsipaoECmVhByha
5Aa9naqiXpJ2+XiGcs2R77WIyzM5YruEBESEXZQg4pAeIma5k/7Uu7iHoVGLwolWJiq1tNOJEwyp
6x76sH/ZaLVTuY5BReOLGpsEZ5YeLsupIU50jgQzeLJm/icFOp6YaQ8ebKRbcAQTfYPG5dhlQzK+
PPX0h5ed1tOo4f1UymQ2xwyLQpV8zod2qR/+TtCQEXIcPUDFCd0f6OQ19hxxZgPCyk5WsiRxnp/G
vJ+KzQ2N8jrhw6rtEUEgYPtZydRN6QEW0nPq4thrgC5KS+MUiWPK8Y7lLL8GPji6XlXhM2BrmRz0
Wwue2TmX2NaXxtYbrO/FKu4xrobdismCvpM8SSvOlZoI9JBRU6//vI8Cyaoc5siFIplk7lmGU9u/
RTQR0htmYXg4V5D0gVxANzJmQV7ljJoJ7gmpLlTLhEwv9XtqIND+72Ia4mPKXMRM8BGFH4Rf5IOI
+3KPkuFDKEYskYQtrmB/Cd3aZiI6J832l0VOAGnxG539rjd5GVUqwC1aMDNvkt1LRXFUt2hytYpU
4Yw45WNxKtwGKYFkB7+pWbL2TFcoLW1A1OdqJ5ERlbQPHpeTTNzR21/C3Pj26wdqHiAOH2v59npd
FXH6PE7qhJIriojK7V8C4VP0hCa5mjAWW6WYSG1pRGWZ4cvZMMfqBg7I/2KKfrImGMGj2gs4JFpd
waWc9wfjgc3l2pOGvfq1/6K7/eOJJIsZFlM/Avm5esxBLJTwewCDItxnZ7BTI00R1PIXR1asEzvv
SICg3UtMdQnpnxsV9Cb9rtyeuqKtqEY+m+TcfAhOnE5s8puySC1eTREpFz4zrjVgJWyErKAJ71hJ
AbXITDNOf+0VH4hzpm46yZgpc72KB9IEUDYi/maiymwk/5v+eOyXVPtZ2t7XOE1NeqKKoUj9VC6m
3WaAwN3Gugts4XwDCR9m6YRe3qN0Uz0jlalpybxdYRhJBMdQ/zybyRiHg8gd0wWdLs3BX1R4hGNO
PbGQqeCeGpb1LyMoJTaBVnAaIBXP00OFjr1krRghUNRPqjAOOBPhkT/tA14YxNL6YJyp4XWmcD9e
xxxhxxgUMwo92xMiJPWJOaieoRuzRD4XId/KwSv2SBSTMcMygnO/U1hWP1DsZsdY6jVb7DJaNii+
CMUwDxxXt/XdzV03A8Ok9GSw+zFr5WQ5iCY/1fg6XUk32TAVfNzFBCZOPeDIXa4rXiEd1A4f4Vvc
zcfjqaYA5cckIxfw8h7rt8kCxWFrFGXIJ/i+msjtUULdmNcJ7kxzVSmpzbWtOPKOzPaLSlJQZJwc
TGgqIm8e5UaTZ5Btt8MHpQejyeBetJP0t8b2Jt/h7FZ4ohZfKivXrZvcorROR9dSuM/X9ynHHxj2
0HN1sVzlu2vuNjLLp5z15WDiuEyI3LVosn5gxxEXymoNx98p5+Deh4OlgShCLGGd4KQ1aIEg9PF4
52QuETHDmFTtHaMTFuBtZaLEksow/ldDHK4hW915YneGnxifdcTmQOgQX1GNlg3wqS/UedSpX8xX
QQJ04YP3+95yq4wq4VC6tfDoJtgkTzyapZZW8Rc+1DitxxgPCdqw6QqDb/it3kpPXksLKCOHfsWp
CG1Rff89cOKBrVQAM9z52lT1nQGADoOXfKmEeWIAS+TFKKTAi14nmEB3OaU9zydiA+SJTu6ovbHP
AhzKxKUhCW7zCcTybHiBUzFPKg92ItEO1IrJK6VT+l/TRVjwpWDxGHL+o4p790GT96bXSwSi4KUD
ESkUZNjZ72yg8Rakbpfh4fp+xum5yF/vNFPIQAutmAei+qUACyi/XQdq9UQ3vjRrmyj4GJOpNkBQ
agjGuKBK1GEiP+tXeowv9hrWXEeuYPBPgGHj7Vkzo6dBaD4bFDmI2sVrBZ84qHkulaQIWmY1YyZj
rz2xRmE6Dt5K3u3ogJQ4pE98MMsN6Fxfy7+tnx4C1PYaVyFmjQLpoMegQVMnICLTvgFbQ+oFJHzX
m/LD1UkxaTJvYaNA+rDPPi4haqdsKMgKMbT+SlUuHrrPv93WtmXr2HvnuwjnubWdGurD52ztbI/U
W89Od4C9aDRiABrmxtK3bbli/Nhn0G9KJU9utLnytpMni17UtLB7Qsj3PDM+x3oueVzAhQXSLOs4
GB7aCiGf3eBT/GsoeDDRMg1dgmdAk01aFNy+kt19/g68bLEGjQZ8Kzhsq0aXzhKcDavs+9Cgakkw
BTEfcFq+Ur06Qo7A8cNwB5+WvrB4kUQSoTWNRWOHg4+LlmRtFtSlGxt660aFLJr7cZ78nAs/E9cS
tpZedc2zKqoWAwv7/VunIBJmYXtUBFjk9NZRprDw69Zybl/Fi/uI8Otdo66s0wZfoYP6cYyD5roh
HgorvqQAjLskY7w9iRuKllvOvOLZzW7h3GhgVKKqfHKI0J+mNu3IJD0i8B/viKCfIPiA1bdWwBx8
xtWGc9VNm50VT5kEvdRzWNJWCueJ676L/X8mZ9z13oOu7fvjEmP3UT0+znA77lvI+YGQMOVk1obX
yAbbWRRNCwNq7+V/wERtRTqJyh7AWHm7UA85JaHCqXdWcW37KnnmNNz8XjHPSAcO1hAxdfflz9yq
FQrfh/fD2kR7BsSu9SRPGnZioUWA13uQTRayiJL03i7wCDjq9qU/M69qiGT3M/MwkJzBlpUIHqfi
AmZ2IfsxczoYq3KOF88BUo3miin+9GoIM7HjKL6NtMAsX+EzirmhGBeOf/+0BntOwxiXbBttL4EI
MpujcoNm8uxfyx8bMjjgexIZk2rl42UOXHHEmw8N0FwM5m9ZWAUZy51GwLCa1pBupdUkeRlUnUhq
WhI6RfuRWU5QlE8EJPMX5LIwO3p6428dRBm46aAeuyLKqWV7rzWrmf1GJzPcvZx0ZkqTUL6qTGOE
bePQvCQQbKhEQ/v0EPU7BDLDaQ+YG8eIzOLfE/PLbBIKwsugSkwBLLWprgyxhkXOAJQ5jXoPAqny
ak4edANjfsLWKjBLrYSJqOlGP6jQf0bQlxjBWvrNF8xBZwft0YGqjyA101Z8ZGkbR2Nr21eOvqH1
VCPSUul8CDXt/XgtBPESFHNO14vShj45bIsIa+o4oe0ZzbPqjrA8oGZOhx2M55YgMEONLirLu85I
b/7ZT1p6Hc7TbX+wLNtzKvf/IjmsFUGNIV1cNE16XwAQpiIKJ884KNGsmTfcmRXFk9hGGbGV20XU
Susr2aQKCpw466dmaIAmgDeu6DxEaNfYXxNVRNwXyhtmdLYlsOclHfX/ch5d8c/YnJSWs9PLE3Df
C0DbP8UOY0Mz6DK28qoUjv090bfiil6YSJaKsAFBfrHJ5JOMvVUk0aS7to9wfsfpSy585g5nxlF2
qhEq/hJWZ83oUmxE2s8BvAaix7gVezTyeG/AdKIbP6cnrdWKXXMgSUnPGXFAAdaxiLZC65YSJXps
8yhfbFpTTXny0G88CezWChYPJD85yZ76orjU3vNhsQhI3xsgUgxHo+Pnj3Lq9/Z0ceooewtybbqc
NqamDhM4TzvSAR7zDMTLR8B1XBQoqCC4HyXT4IpvXPAlLgjfWVEAoFp2YxCjwVtD4CIOLwbQnM/A
RJBRMwQu0uHQlHqQ0NPSWtvCD5CxK+WtbOMnc0Ooo/9Sw9Uveh7rv5EE+FGOewglkFE9NxB9z8gq
9yyJ/Iwt+Um1ew+DXI0Jwyfk+TqSlewXmY+HUprYR3Yn1heYWvmBCMXillkupqkFZzlwdlcI9RyU
tF7+jXmHu/Tf1a5YXNT/yhqvyRQBgOpE8ye7u8Bwj52I3GqvsUkG8rdYDSITelE8krcCKIb5hkCT
dR02sHsS5DRNQN5puILI/FJ8QIJb0iS8Jc2nqCIBmFZ2Rm8I4ir9jhJVW5nA8xCtaRaXkqwuJfAb
VCusx4NWQ+ern4T2Oz29LHQzi6Dn0pgGc+UiKsZq2fX8zNJFuP6NJbj9H02dIs+9g5K6IlBVvApv
xzNJiH9nnVWiQ2+Xoo1uVTPV1OKI2l1JJQ/mVLv7vlXitaDFMrQdg7aDTYUBMX8ApIaHn6BNlvPh
/ninFQFU0xogvs2VwrSZzEpKBFU4BY/Uoqq3S++HIcIfaaTRtF9E8NVnuoHPS/9DIpxG6J2CRCfC
eTKbmA8BDeCxDXKrq3fqHLFXg5aumI3r4ldVl4jeeBhvqhlkRfpASYg8ZmL+p7RJ6zQJIWpeu0Wl
tIFJON2Gi6YAzNusdpEVuyX/5aj11w0pCbeAd1jdi0WEOyZzNeslVoKzPh0sjDpRpAXYatmoC0s7
mZ7qI4hNI2cMbJlxM2tg0zLPSiu8VMYXZgDmTVOoX42cGuCRGL+N/qWOC4AbMd1I1311rNI/Be2v
zK+gkqvdl3xIUTCSwcchxPuhbmy3rI69Bq0gR0/yIe7nuUiqJ6Or/PvdC/XCqLoV7riSGp1K6R4D
lQd//xB9CyatWcWBMmnhOgEQKDcIuB0V+oQBmOEzfppf623/Ep8y8zVVHmhmNIQShLi1jePjjvZD
0ayyXIik6V0VpgqZ0GPhfNYUXfUtO565KggnE8+qbqQXr/7soK9gVAB4LSvxykjjrZNFLoiB0n5h
WudfKHPZBEam6IlkCKtdSZ07uT159vbTiiFSL1P/zLGxC0lJb+6vks3+s1ltuzqIb2ySmT0zdBk0
x1qSfc2FlSXi/GQinPyeBswGnUB0NsuimdkOT7WD0lJzMcAQmUOTjZJrtXaczGVvGGngYiRpheOv
z4m3UM8iZDJEfZ5PMoCI1Ms+skS4Z10Z3XRY1BiSGIjqLA+dp+MLodh9m7W5549u1gpdLgBltIgl
omKxdkAO02g79b8UHCvY/EOQJt9TEC1nUFj9wwiAOktmqI3BxxJIXMlQXkFrDlwIz9L/7WjhZCF1
fZNxTK8psbydpZ7GgqKC67rUESzWmJ+IqShDBhhiQPexDlK6Dx94m+fpzlPnvHPS2u4fdgRznEOM
GQP7r9lemTphSaOwS/v46+1HDnR+dFgUG4/oXsJ+ADraXqiBpsOuhqRN2DyM32T8Tzsb2mjSlCOf
HNen5XpPg6Vn2l65lWd3/AGYclAmwB4qnFCdTNlsFCL+VsfUzGkfMVF3I9IOqw3DT58xYKRHQULx
VchSbjhdIHK6KRlRnwprgqlyb+VjVnftkJ3anba1cbmeJ1e5FlSM1TMr5ofqEyptu4koRMaTEC2X
da3ZhnzcTmr6Ci4z1S91bthyg9WvUKODxRZkHULiUMatZMHflS/9F0QZ+CjTjW1fgxJPOOLP0NhO
ew5SZj9rkPszuwtm8qgN6anXl30keRPDeLzgLEwGtAtQ747pr0tIbBhdf+LI3RgWXOvzbP7tCFZh
IhEICn5e97Do1xE8UU5e2na8fubDqKpfZGCg9g2p+K1g+AC1odiZ60krdRZPDawPi6Z2H6ccSK9M
fdeHoipS6iNvJdrTSzlJ9oBsAbXG1XUyEVhcIvOvFCvCCNFWU+2KJ3tw+8wL0baHTt9cJvHaEZmK
3N9yeRlNm/SuvU37JpbVBJUKN9MaktlIk5PMYb9f/jPkl1+S5GUMChOiPbRwrVKkZB0Ev3sdsA0J
8ij+bgVFJAZUVot9g4ZrkKs72peAq6VOKGmJ1b3lB0FkEzpSqghTk1nZGZij3W58i5b2BgdRZ1YD
3BGOr8j4BES18E1Jw6xv1DIPvBIRRxWtdt8xl1iDuRrgCqr72ra2cp8PwirQEAARgVd7Uo+4W8dj
eXYGR3qTSCjCboKJNOF1gn5aaume0A7MeaXGOq+i6rnu7cpzZCQMI5fcVRghbYM64VrDLj/sNZy7
IfQvfh/qA/xRrG0ArLtQqVjiaJSyCmnrdheiWdJEOTPjuN+uhS4q/zCAmpn6RHrtewhahEDOkMfn
27bElJxm/sUZ+ZmNuDKnse9MBVoq0xFgvbCZ9EYj5Z27xUHEQBG4Fw0/WyDJlIxnkBgeqm7Dk09X
b2W857h03IY/vD03sS+czhVggTM3/bSdbM/GpF5IspRVgiDbwf5d/a8fDQ7xyDSCeG0T1/bv+0gf
CuMNqU53rCL2cYPT8Zh8EDR2jhI9RBKFosYmVTnE1kCO1AYlbQ9FF8E+M0SeE8XSn4Ai32RTqLFZ
c95Tz8W05bpyP0+FcTqPZl1q72RBL9q4tefSJePkD6rW0e64xQjdXCCjXxSe3bYWqjI9j+SgN0UM
/r6ROHVOv2ar1IpvX6l+lSsxBOlzxI70VK1Y9HfsGc1JRSu73UeL5Y76Zq40jSRbNGfACCKYK9Ps
XomLkw0Zogu4oB+HDNaam7ZoGPLokDzDkQXg9DYxgTa96OgvoEk2u5iNcQoUQ7Lh2xvMhieLDmoj
sMISK4nRXkRPL3lJTjnX+C7aX3LxqiaMrwcvlqguHh5UQ7SJRZSIcWEgUU2qfoDrSWj5hRbA9UwM
SIv9HkPWYjsKRo24FWtJT5CgOqC4EsVpn/yJrXte5xr2SNd32zHGFy/nhIA6FGs92rFpQf6QVqWu
HhMU6wlCpPccgqntUyNKUvmeSeZvXQdGZNEiodGBHuCDFM9FdQhLPmJKcliTAXACKi4YMLToMUbI
rOrNlL53rQUTZnzzgrCrcoILgOJSmBK9QAfZpASfmMgQpQq8oRoSzPvPkdi94pm/ET5KX0xxNCjv
7/o35CVy0MUz7la98YbNk8etqtEGBTrK1PMohhccSvjEfrumC51MtYYfgZKwKgiORl+YRh0DXhla
yWSNEsyJcbeWIjjVXKcqtHUCO1vie7LY5wUX97GtkS2bg3zJBDFMgtp6AFgex8ec7Krxh8zu4UnP
rtC67TrHDkij7LeykiHuINLcWiaJOmnKqXTruImUx/8lx2P0KXjON4qH96pPKz9ANWr8dNF9iQef
/iyycGm1uGOWLVSIV3F0+aTTBCe4fEz8R4+ozehFuy7965ALR3WWTLcShKC5GMOvAiakNZOI60RD
NPgrAZHTM1wALnlkBJrzOYz2ojqxkx9pV4pcO+prkQI2BKqoiSzzDGewoK7mRWsItuIciANtkZIn
XCgGYgW8D62uPHAqaDt9qgF4vO9QorYsXn0oXA2Meuzt6E8icrjJIP8ndGEyPUH2UmJHos+kVAcB
zvxL5B9Q8KqrJpqUwTYNVjIuh1TMYgy30ycXCMEWPe6BYD7RSvxq5q+2mw4T9Qptl5am8l9OTskd
iumKmN480F7mcmfsQjwJk1Y+fYlog5LmYTsyHsna6l+aGrcBnFCLHLMKY9Yn15tLl17hXMU0inMy
fUYafeVgO8SkOAIy7vE8OUjlrvVvoaeZghcL1VglGj59oAlSpffBWqicWSc3PCh9Vdm/BOzw/2T0
4Ho0XsCvoEoxFP+BEJH2tTVqiOLSP8d4QahCquRNXMx6v99M7jM027HGwPrI6lP7hIzKnFMu8D6w
wgM00Ad763wmWJbyQA3aJHRSwWh9wiUGjfM0vLfsgB1g54Z/f4rdkiZR5vedWOy+NAUXr51rPbsT
xIXNexiHICdPf3WSC46wQFT6pM6uQjPzv2VOupbrkkhiKm0WyV3XrochjSHet/gpJMZRsVkdBCW1
d9QIDorabma3LWzCAvWnN6bPeRqV6bcIJqgdTeqo6aF2ejBk7H2wy+nivg==
]]></m:sm4>
</m:mapping>
</file>

<file path=customXml/item2.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xmlns:bond="bond">
  <clcid-cgi:GongSiFaDingZhongWenMingCheng xmlns:clcid-cgi="clcid-cgi">柳州两面针股份有限公司</clcid-cgi:GongSiFaDingZhongWenMingCheng>
  <clcid-mr:GongSiFuZeRenXingMing xmlns:clcid-mr="clcid-mr">周云祥</clcid-mr:GongSiFuZeRenXingMing>
  <clcid-mr:ZhuGuanKuaiJiGongZuoFuZeRenXingMing xmlns:clcid-mr="clcid-mr">龚慧泉</clcid-mr:ZhuGuanKuaiJiGongZuoFuZeRenXingMing>
  <clcid-mr:KuaiJiJiGouFuZeRenXingMing xmlns:clcid-mr="clcid-mr">游发禄</clcid-mr:KuaiJiJiGouFuZeRenXingMing>
  <clcid-cgi:GongSiFaDingDaiBiaoRen xmlns:clcid-cgi="clcid-cgi">周云祥</clcid-cgi:GongSiFaDingDaiBiaoRen>
  <clcid-ci-ar:DanWeiKouChuFeiJingChangXingSunYiXiangMuHeJinE xmlns:clcid-ci-ar="clcid-ci-ar">元</clcid-ci-ar:DanWeiKouChuFeiJingChangXingSunYiXiangMuHeJinE>
  <clcid-ci-ar:BiZhongKouChuFeiJingChangXingSunYiXiangMuHeJinE xmlns:clcid-ci-ar="clcid-ci-ar">人民币</clcid-ci-ar:BiZhongKouChuFeiJingChangXingSunYiXiangMuHeJinE>
  <clcid-pte:FeiLiuDongXingZiChanChuZhiSunYiBaoKuoYiJiTiZiChanJianZhiZhunBeiDeChongXiaoBuFenFeiJingChangXingSunYiXiangMu xmlns:clcid-pte="clcid-pte">-9,826.60</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9,409,694.42</clcid-pte:FeiJingChangXingSunYiZhongGeZhongXingShiDeZhengFuBuTi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-644,055.24</clcid-pte:FeiJingChangXingSunYiZhongZhaiWuZhongZuSunYi>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2,078,608.28</clcid-pte:ChuShangShuGeXiangZhiWaiDeQiTaYingYeWaiShouZhiJing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551,362.60</clcid-pte:FeiJingChangXingSunYiXiangMuZhongShaoShuGuDongQuanYiYingXiangE>
  <clcid-pte:FeiJingChangXingSunYiXiangMuZhongShaoShuGuDongQuanYiYingXiangEShuoMing xmlns:clcid-pte="clcid-pte"/>
  <clcid-pte:FeiJingChangXingSunYiDeKouChuXiangMuDuiSuoDeShuiDeYingXiang xmlns:clcid-pte="clcid-pte">295,971.72</clcid-pte:FeiJingChangXingSunYiDeKouChuXiangMuDuiSuoDeShuiDeYingXiang>
  <clcid-pte:FeiJingChangXingSunYiDeKouChuXiangMuDuiSuoDeShuiDeYingXiangShuoMing xmlns:clcid-pte="clcid-pte"/>
  <clcid-pte:KouChuDeFeiJingChangXingSunYiHeJi xmlns:clcid-pte="clcid-pte">5,566,332.20</clcid-pte:KouChuDeFeiJingChangXingSunYiHeJi>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JiuZhiZaoZhiZaoFeiYongTongBi/>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-4,428,195.28</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clcid-pte:DanDuJinXingJianZhiCeShiDeYingShouKuanXiangHeTongZiChanJianZhiZhunBeiZhuanHuiFeiJingChangXingSunYiXiangMu>7,440.94</clcid-pte:DanDuJinXingJianZhiCeShiDeYingShouKuanXiangHeTongZiChanJianZhiZhunBeiZhuanHuiFeiJingChangXingSunYiXiangMu>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clcid-ci-ar:DanWeiCaiWuFuZhuYingFuPiaoJu>元</clcid-ci-ar:DanWeiCaiWuFuZhuYingFuPiaoJu>
  <bond:GongSiFaDingZhongWenMingCheng/>
  <clcid-pte:YinQuXiaoXiuGaiGuQuanJiLiJiHuaYiCiXingQueRenDeGuFenZhiFuFeiYong/>
  <clcid-pte:DuiYuXianJinJieSuanDeGuFenZhiFuZaiKeXingQuanRiZhiHouYingFuZhiGongXinChouDeGongYunJiaZhiBianDongChanShengDeSunYi/>
  <bond:DanWeiFeiJingYingXingWangLaiZhanKuanHeZiJinChaiJie>亿元</bond:DanWeiFeiJingYingXingWangLaiZhanKuanHeZiJinChaiJie>
  <bond:BiZhongFeiJingYingXingWangLaiZhanKuanHeZiJinChaiJie>人民币</bond:BiZhongFeiJingYingXingWangLaiZhanKuanHeZiJinChaiJie>
  <bond:DanWeiMuGongSiYouXiZhaiWu>亿元</bond:DanWeiMuGongSiYouXiZhaiWu>
  <bond:DanWeiYouXiZhaiWu>亿元</bond:DanWeiYouXiZhaiWu>
  <bond:DanWeiFaXingRenJingWaiShiChangFaXingZhaiQuan>亿元</bond:DanWeiFaXingRenJingWaiShiChangFaXingZhaiQuan>
  <bond:JingWaiZhaiQuan/>
  <bond:BiZhongFaXingRenJingWaiShiChangFaXingZhaiQuan>人民币</bond:BiZhongFaXingRenJingWaiShiChangFaXingZhaiQuan>
  <bond:DanWeiMuGongSiZhaiWuJieGouQingKuang>亿元</bond:DanWeiMuGongSiZhaiWuJieGouQingKuang>
  <bond:DanWeiZhaiWuJieGouQingKuang>亿元</bond:DanWeiZhaiWuJieGouQingKuang>
</b:binding>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sc:sections xmlns:sc="http://mapping.word.org/2014/section/customize"/>
</file>

<file path=customXml/item5.xml><?xml version="1.0" encoding="utf-8"?>
<t:template xmlns:t="http://mapping.word.org/2012/template">
  <t:sse><![CDATA[mlOYf2i7YClhLCkBrG7s8tHKKV6aUo4dgwSl2m7/EVQAbeamTrptQEr4LP6iL5/Ue26OstYD9PMjbWzFbUqJyENfb9ImfAkJNl0weP5Zs4HFGB2Qug5UJMGdDky4oK/UzFoi+98kgfkTamXNnVfWy/lqTgJeU6fE9hRZK/bZiJY9kAnDkBDb4CeA5Vt7MraKtAV+ifjFrBl4dEpvDmqwX/7et9mP4qEHWXlsyd40mGGE9sSc5YWl8xpLs0ZqZHy5aIKp+il1tyIJfb451kc5DKw0OXZ8Ii8VemhPEdfoT1ibxDxkTY1lp1Int9KE4aKjI290aULSyySFQvaKYDe+YRmL6zM6NlPyFnkv1CosDzlq+jtm+U3/3dTDQPU2Z2wtfT1qPP2Rg4vuqel08lIW3W+8EtkNiZGVPExfSe2tYNMLlUAUkBp/KU7r6xKLQ2YO3kV0v5xnszS+BsIbFkjhvkqnhcQV3+Cqh7PL8z/6KBpJXfNe2j9Jv1SxW3if2yS9FmSsOO0Wpve2Spr2Me8mPIZbAEzdiU7cON9ewS6Va9m/K4UEg2OrgMsnSYX15xXjgBVDIkF+7cZLMrJQ2M/gSwZPlQ72biJkKiti+ZV3Q+bzPNx5wAW8ghw3+Q8U4KBTfyMFoA+KhkMgPorj3U8Eo7EQyGb84/W0oTcKuTAa2fUdMXwcm61/L+vN6nnrBkLL75WGtXQwK3i3lItk94t8JlaiuZrzl40I9OH4MdKcKIwoJ/YxSIswZGmURIb/UXLSFSI/CMjniOw8DqNsEdwqX0mJVcILoSwQquT0YRlmWFS+/H6p1dvtS/Q6RiTaywNTBimiRrFE/okI90bTiWIDp+Eq70ADdOnpRZ+NUBR45ZoRZJEY9BHcU6FI/dsW7d2MOm69C2p8qgbesQ/terXfMWVUfNY6tWITMNI5ZSYESCDOTVySUoRs0tM1fcDIg4KP0lTCuMOl+bFQmkymgBgLQ31itbx5BHCw3StwKtrSd91yRojR8n6ZUWCWhvI/Xoq9NdQowW+pQZoSMou5U/VDNVlcli4eONZN457aJSQ5VQAf71QnuHylln/9zyNmvIQuOyZyU4sWaU/ytGZGVwf0QH/zGMNCQ2nH8z15gaOuhN6LbK3vsLPVRNRdougAljYTP/L4V5KpqbJJpzkgLvW2HfGeSJ+5Hsr27Z5dfKuT20xHHQ4CHHm7MQsbVBDnDI8yc3RjI6NwrNCMRqqzxMtQDc71qqA07dBlHB/cSKM0wdqTn74vuTAmGZh1ygE5fPDWuuRvn7/NUN0VkUWaQ/+DjBRyW06o1fQFjI6vRSyLiXZTch+e5RsoOK7cZPrizx7ol0O5henUdfTX2ML3pnjwugMdUdfxPx7M1w+5qpPAhAz9rl3jIiEz+XYQex/LfLp9kSDO37i0r54G1qPXWyzjiYGYJQyFXilf/fuQxSOcHTBj89lRMgcpHPHQnTzIjAf8+05JudnEI3+cTTuAT1Av1EBX39RCKIax14pU3g+C5ZSQ3t2BSZLBGy54cG1Hcd/oTu0EANdN5R2FeUwKth2xjn1f9hB5Wwslh5D/cdRoaqDmGfgJQcHMIXEJljipmkseYKXfIQ5qK7YfWi/C/F3uVMuJ0eRbi+JLRoXq2F6IeTAkNuaCyotxMXQUKQoWWYMMsVdYFFp0mLwfvF+aYMiGDBo3RyHRDEzSnIGYhwmeHCfYrhaEh5ISqi1FIoF5pRAbHnFbSfbMolGr+px9u1UfAiwXfq46Flg4K1YsCaYRJ+EO9/luI9/2li4jjH9K8Bvk76IKYa0XlKmkVf3fPt8NYoiFI4VtfF7G3G5gUXn9pCGUn3sPsy7mKj2nv9xWitn6QMMlGECIsrwjA3Jypp8EqyMsh+yZcXaOt38KGBfRTpZe2nSfhIyw8OMb7xYn/jRY3y40ebI4C1WiUvQpqZOX/Y1RmiVX0rQe1X5vVAFqvUzDNZuX0EdMoB3W0N1kVAYqQj6uq+klj7EGADBYG8Tx8CGvKa3n4SG2gnAxL9ZuiTwBwL8CdmPNzM2FLCmKyVImzhsJAscyuhbKTbjsczM5XqKNDVPeyEKVabIAr8lpoYoxiEYNsT00EUxpE4mBBY958PEwJpPbBU44WJR4606AS7piHjXBdNo+bODKKgQOJJoL1ftcl1lQZFCJApoF/FYbY58Q3rL2HwlvKlIF+kI8Vr2s+M0iDIZuYQBXkazkckBgnp8SEI3HT6RLwg58RaVK8h4uWkXOCZawgQA/jd8jcVxF5gXJvbhZni5kkupjpjfKREwKsYO5FgDgMH3rrXjqCS+fvka+z85w4f+XaiiSquJxgXSV1Sx03OtVK8CJcTfbP9U37NCS1Q1aNUQY1jQ60SaFm3ZNbK011aJ0Ho92/zQqoynU8SPdc/GD9/LKBjdISpT82zs/aQ68+WDdQ1iG9GjP5To1TUX9DS0PGSoDxaaJzk1JX9DqYxrmaK0dRUqaQEE859lAbdkW9rxab6rLgY2wrchSDcZMrQNok7VyyKpvAnZitYLYPokGH4Zl8PR65KXfFi/rvs3e2xXRbxuEj5bNvo9CUywK8IlikMSIG5pTkEUAaais+H00tM5rp5L2THbxxd5LAv2rl3EtFA7UIXQC6mN9CYBNyfR1JwLZ8Gf/zDzoXBsCcbx8ahIkOkJh3P3M/xDnL4+qedBbTevdxtEY9dIzK1B4YUhEW9bVvsqsbG6ZhCzVOp4LSoZ1KtfizvjOfH79GDLAmDgVVWnRo7TB613xVPO608KCJ4TUjCCe2tE2iHkzpyxJtCtn0RX5xpVXF1M7uEf7/PFDMeFR/lYqHPlPskSb0s7sEGm1JskcHPQPwEM9Td8jGd9neN0MP182JikpmYTFbwhxz42Xj/llnDEs+TzMT3XhXcEYK3f6vafYodNPhmsORiB6YQTXJOwKqYMlx2RUuvAjbduJL1Ma5QTGC1mKH4MWe4ngicYEs31KYMyc+konHxme3iVPPEHHZJBwaVbag7Rr2GyKUqFI+/IVnWz0o9wdjeVhjF3sUMznI6if8NaG+9Xq9dONbZd8dOxufCfWpzIxFsCuZLiP0JmRV63sf2h4+slCwuQfgfuU0y1g4xSLwt+keDwwF/E56hQN8Y16H1vb1iHRfZV0f/Kib2N4TSLL8sohTzG3g7o3PfMth+6A4qMUsdNh5QmU+Gp/xvHAuhNzfToYNO60qMIyRF2/w+BJcw1eEh4EaQ0pdTAcLAoLyqKRxfUjxmHOpc+t81Rw1sqvBjOgNKdvYIuHtwa2ReZGltU6x00DXK4CpbvhdNMe4X743tni/ZiNC4u7gnkghMnMZ76HPakPfZU9ACVaJeNyisT2b+wsGgFg0TlMGGmdhOu5OrSRF/9pP83XW5GlczYMQHvOIzLUsSJkCm7fxdqZYHnJqFPyKHcHc/HEdl5c/RXzJ4iBqwIB4HygVqmATrUVg3TFBA5NUJCui//6cU7E4q5EDgl6He+RYwX/QWI0298eGdhU9Q8TDn+sk1Rh83RQat0nUBr4EPda7KQMQi6RxypRkSbzv5XM1QU5AjZtVzW0kYR50d62gluIFpqTScGYjmKLzP9VR5hvq11lNP7yq4Bjg9pc8HeYyqRrcL+J7WWfAkjj0x9KJTfztg6qvfXEDSWUIR6GLf6zmF5+qCUB2Cr9tMkbskV53qyZS8vVqLsfxCFU3mU2BWBcr1fCC70Cp2Bam3zQ5z6roRCQKeF4kI/XlzgoBUTOxhhhvhX6h2p7moak5LhP7Y2jkyVrgV3gCNhZnrp22Lnu7QvM7ja+t90o5sDjKgVoO66AQqh0PYBAA8DzJSzIcbMySL2IgtdZl7kECvLoNmBzx0Rw5rMm2fTKGseenV6l5HJ+29f6Ghz2/veeGenaC6CsSjy2/4VkJO/vAlnYZiRmhjQDTO9TGWw25mOBJMUWx4pznqxBnJ6zBbpURgZ+TU29kQz0ggtJpmDpHFi6zGz8ohiR1cJfjvRh+oCxcYGU4t0tcF3IaPC79+UBBdZSQtho3Tw6/iq39lCYjRW4q96/D8X5ZZJ8dncH/qcl1n0satqjBNb+ioNe+v6Z3Vlx1TksJPE11gwyHRyjUfnjRbm6RMMRdyXSi6IPqjnP4wFgZ5HAr0Lzym8AJXlIlVcQS6ypaIXHNaZVwcLkwW7eVHHYX/GVgGRGDoF8rqhusOaJDZAR+zcx0e42W4VvqD75Hki3Y1EXvmoVxoHYtPfzNJ8K7XQioUs2XkymXpxQEjcWron/fsK6r2L3Gj6ZlxIKJXsvz9FVrnJwoywYjZYHV+4O0l7puuBVhlIqB3WVFtYp76bakEsCW47VMYaiOhj3IFaeDZ1O0tNFhzHtB6Q/6KahPmwbd/XMLxg11TmddcqncshU1cfuX07RqlWpyLjzpOPyKAAm8++XJcq2IEgmJgaNiqoSH7gUjH0i2vUDG1UrirArb6aCRZXeN1PQ1m9BfG22mq9A5vgpfLIZg9Sui6H4LlP5HFz+iByG4CV0vgju9VUemOplPAfPK8a6B4AnFedRBrxruQPcKrRQoXZdNntL+dUfC4L5XrbRbNQSrWpsRelNaOVZ27nqeYXwUXFG5Eyc9L+seJKoJaxCp36ChzOoSrAN2+03J7Qxy4EweyYnxGhEBvkIwBPYGJRSoAZjllOTqgRja8gIvBtBT30xT3K8jKy83lLWoIyFD3+lxY+UB6+8QcctD4cZkxwucClBAZYyPRycIWX9ae9FIoxRTHpz/AYCM98J5o/uAPEA4e5xpYIVYzhnSkjEhKN/PERWf37hBEJGkiG19vdL3EJwc9yjm8svulX4BCydQQ4ayNZT4f9F32GWRJALxaZKXOtPEMZxU9FbmdYP8wWeTO17xkLUsZbwDN3J//Ss5yDzIkjcCdCvw7cDAcQJd6Ps1XADkwHOruG27fGgDL0rTugnbIQHXvjkbN4fGkkJ6BdP/s/aCveBxaRJl3FsjzmekRvxafHPWXvZ1Q2wBhYhv0w0rwdmg5VoBgKquGZ+D2UdOPMubixi1uufY/mbPm0PN5UQoxvH/cKYrUOr3IIGmqKMadAXbiDJVtfUtuzMta/NnqASsA/AsdZEJUvWzEj1UlXxmhL9iaZql3bYmPkxxCzP35yiQhcaZS1ONnfhHMXTEPNCjU10SVxvbslaHzO3RLhietzxlnRuN1z6ZpIMoD7CjYlRxJfELKlkoqz57YFAhsTlJQINHsi8OEl+eeS9QUDCTVj73pcxRwM3odIbQ+AHbRIqm2Qv4MT4GcOLC0lbwEy6FBwAD03DflVeOcwjRirebwwDiQYGIAY7SUf6Bsiy7RaJ4KfyYRssl08VwhFD0FVhrQ2vEIHmDwOgxKC/6vgk1+SEGOhi4fzGkEFRtgj1ltZw03oEZw1mAXTzD7kFhkzkbaOpahGzDb8a4B0Ux4t44XJcDurOk2jga6w1ML5Y86jgoCNpo9dx9QSKtA5PJSt1fyArAZyVX3AUgNUzpo35fgBXbJoYEJMsX9eTMK1a7NPxyhBIiCPjca9LCE+jQ0vDvOC9KnSmFE7ywhpY+a3ZHBwDQjVn9clpi4lWhMh1BEWyqIYrfv/3pxhWsd54sYohx4AHmc8rG090Pz5B1RpL+wwlJ73UrdJx16++U9f5GLQ8Scn1qv48A1jfb068dAiapzm8YdPWQtsTKLn+cTm78aMUzgawYi1GEuXi6FxRRBpTWaKyJzpnb5Z++8xqUVQ18wn31J15J/ycKQJqLJfKi7R79hXLCc5lf0KQwUPrkCMw8Vhue0qVMG7KIVA+C7fdxawV2p0UDOI+afQlMQXSV3ZTHG6tOfzXv4OiEHRJ4T8Ac0JU9uL/cA0VZebu875ea8BU7x7uDeURJE6vgE1wu9KuBFLVyrUOShamjPDjCFKVRKSprx+jsUP1TIH1ZDDk3H/DJeVnzxMKWrob6k9XW3rcWltWAseyXCBhcohhpOcOAjTT1x0C0TKSnF8r4+fN82OkH6WqzxGsetuyEAEurakd7kw23GcOr2mVQUuq/btJ4Xfj+0foKm8U565I58KybysJRVYKc4IoNy+lrVjP+/nYiefC88BsR6nr3elgalM+PoteK1t+hfDth18ZDBC9y9KNIUXYcRgJt8ROMERz9G0vA82bsS+QqUKnD52GFhZ+cnQbYuAzScPh1roP3gXH+Ky6JucHshg0AP5d3Y15J+sLKLYz+L9tmGxeZJ4Rmu5L+dRp8dHttCS/gdEy5QXyx/2sDp8LIh6xgWS8zE/PCg6HqFp5K/af+HJBWdE8NHa4GG+tZpK857r+d861T/EsmtEwrBtil8hSn/8erUn4ZnTLmGWtI4rXXwEe52Q4cQMMKgTWrPsCDsUyVIWrttVOP4mXipUdQj1bOOxoqTDQJWjlJ1OQs0rUZ5+qsLnQ4U/vRTQOFhDPBWAUBK4+YPuZg2YwrfHvW32lTzPA2qNxre0+zXT0yxNX8xedNFT0jzYpTuWzGXHM85gf45j18AVNgpAVS9zpwYHb9X+zR9GzA3YA9ATOwV+ln7cv+rKwCdwnhJVg0Q7KPOpCTHFRHNnfG7J8KeM+d0KSf3krLdwnmx7elPsXThZc/WKVhxQ1OBgNoFTxO59a+XpRxJNmsSpa2/cqd9hBmcw9HldR5THHqxfVSvXT7pLN559vxvx/w0oFmlOlqWsh/PCYL8hQORd0MC8ZLpIFEw0qiLBdkas9eWnET9SIezK7wbvhXQNv+KeUeYXiGdK/iOTOR5BUUAzHaspgwWL4Umwue8WfIS6sXPfPPvJFLO6hakAO0PdOvFbFHwYxhd5RUvRIwMPwzFEgQ+dafdm6WgZb9jP4EhSSkjel9r8Ccv9oX2bGYpfshbrmSWcipWwgExsYlIGMIaGxCMDLugo/2rwlNo7+QSfAXqCpl3phEltOC7ReCHa4BpHKu7VtA2/dQNwpOu2gCIHpxV/ugnGsZ9mMXfuRpJWs1PSY6gy5HlyJmC8VomKin3tblWyE+1vz/piSIOAFGBNBfBzzOc0ZP3f7fph/sPYEeySH9AJc2E8LqNBJTQdlyeaXGZhhUWc5xmQvIDyxUP7ODeudfbJ+YhLUvMCvQVibjax4Rf9Sm5sz2ljpylT9q/GiwVtgT9g8+1QE315EzPiuWQ2h7AyD0TJZrgHScU5Ni6x3sdhOycRwtQMswiyHhOI+pRgVaZmA2KUsu0JDCXAc3fJwvjYOMmR/RwvDo+oigzrlNP8HWb3sbhrvweiGvqRNrGvy1+D7DkU+QjrS9Nj7Pv+1OHum72FDyvZhwMjNYDFj7ivrR4OJcftQGR4Y9Pm4KPPqGaeNc2CWPgVDmP9AWVwlJf2MNros6U4/hSWiNEU85uEuvO5xHalMxMoSUSMASDl75TF3/5lqi89Y5+/s49QUEtFtzqAqgGDQjd7Q3vxbq2izB7uR+URligFK2kuUfdrXIY2qEECu8rOjzFkqHRGZu3gIUaIYy1dxw+EfWY4RvtzAgZrBGRedPznszlgRUhr6/kKUpDUzjFUCjP+rFQJh8Xp/zoyDfOSElAQ0ZS/eYDcVshFt5+Fpwu3bYndFI6EakAlqhlu3Dv3VMcSPWq6tgaYhJ61Y68Xp7MnMnd97FXQ7lSCzQ0rlqFm/QmzwK9GYz3hWX4ntKPR81Iki4xDhCzIta8b6Rhhf5y6/GQMuZdbVIE0+pG2aw299SNLeps7vwwq9MeutBsaLdjJiNs6Lu9msj4+0CXi943SVOCXCaRDx+D0vhcYMxjK2RGG6lW8sOiXGBfPaLfJ3Gq2+/1rHy5mnqItKeGDyZYRqBGggAE56L5ExhTQlQYASw4Q5t1c3mLYXRlK7jF8e+RPlLckFi2XEDPwAaQt7vDH+VYzYk8dMuVaBZu9X+aObqUKHyapgjikbM/gsaLYq9fXKuorQOqmaWRUdiru3ivKUjmk8FBEvHxRBOwXe19RJKe6BWyzzrWieqlfibM9GnnnttBWF2N1n8MPtrCOsCfGWmKZkmHyQwWAPU/Fl68Qb7A1nDHX7FlAjT8aIXBNjV43kcbB3zk2ZbSm9bcZ9f1sIegdw7pCZtXUnDt5y7HrbFIKzTIEfTT3hbWjiuX4BNcrUztQvCMxjs2GoUknwHk3Zw+yzMxFWt5yvxormPFQyH0NYtDjWH0DUpKYeAKwLCzfrfvJO7qtz5JoyEgtYx2zVZRNFbDJUBFqwK6s1jdD51jnRtdB0JbChXhOcex6EQI1GToGsR56EnMSx5llzFwhRNXIoL+BFEnXt9XoxWiZAT20V/s45TR7UJuTZjL5A/DYN63nQCAZNQQroG6oeZk0MqDBpPpK/qBo4bR7Ui7Aa1pXkfA7/f/U5joMZgWxF2+tWUgTd6FCKrKwrZ/3gQQEgk+2h10xmCrcnUzdKippgzlY/uEotEzviXuL/9na55YIRrYCABqU532pCfUuzbDkdYrqn3gVTvpUqbirDYqHUzk9DTYYbdO0sJxh5Y5zq0vqDiDzQ3oxrLJvtPBPDKtcxZEiKyflMPmkkDZ0wBA9QHFd9mhTS3eZBpHB1yS1bZKxh/99RXeqqAU113o+/UBRaVH8bRcb2sUDEnKOwqIb/S9tHIqhcqRwTaNWK/yRL3LonUp3d1pZyfffdWRXQFmW9nBq6AIdAW3z4mpeX/51fNsfU/qFyhDi6czK7P4xgzAxmglnygjD0kxrARQ4VMd0lnZct3wXBvF6zuMh5seDzW7PVu8lXZASSsLL+uYQOIGCcy47OXSxXx4pEmsrWhJFsPP7ucffc8HudzaHYCvaDG4pXh5V8yHk8Qb++Ef/JqOV5jXoUjBJLt/pZDzEyXNB0Bczz2OJ6Jf3vKOiaUIEv0/+RGTIvUQ1HSAvwlqNKFoJW4SeF+JB9cgT2nctaK5AjvFEdtKpAAczS1XLhNHEirkzpcGugpH0EuSkK0IovJBcTCli8GotFbLyYnBxEYisfnJqm10eHbC7MB6gTcU87d51Kh1WKx/5hBIF8a2PuxNRjhpOpbXDTBJUJPxyi4g58lL6LIvn+xtlNN1WrRi98c5eJ3+tZYgyAw1f0w0XrIx0NZdrcc8OpLjSkRVoZxofkr/ghDKj23zcPrdi0E0e3vgr7+EkqM1uCFr4ZvwaYyQjatkhGSf4qWDiUjbQJGhPHbgTn71njh/olIPpzaDmZ6duxQhu744+ZRbEL33jo/+Lig+FQ+rBzXpleB+ivTNk5K75xboRlQLoHGkHQ25Ej5gUW3wdFVvvhWpC+N07Ku1CWwoHPDWt2LJR0kjm7cODekfFGJq/kj/3mczrjWpL5nZDhHDIfUQx2vcpbP8PJ5HQoB5Rkz6kTn9K/zMGWMwpH4blLpROKOuQmnbU5cUiTLXt9GM1GwzXL07n52wNltZWFcigWlcOX7y/nSM5gskTOxKitMV0J+TLrcz716eB0O3qoY7MjNp+iCscHs52c0j1N3wrAcfZqQgupfA1gZWmeNcT8yCnIRPnTHwc9+3u1kUbOW8L23xygjLaw6hP2EOUEbd4VqUrFI82C2s64M8c8VcL0potbN12WVO3zci7wCpAKx+nsXGNKu3HR9db9WA+nD0D8pYC0UerleU3KkXzEukpeUDRucD8CQUKOOHVhCD5fFPgnS7D2eqXY+Lim5pxikqdUhLuymp+iEVDUMdXqwRm720XeNZZ0leInbsxLIKJJoXDjBGgKVsaGvAdeMXtj793WEQ9Q3vahztbO5t2hLceNLWQEbcHrMjL8hiPgYB4Y9DX5bIXthTClyk1aHdnHqu9EZjnZjWd7stwK22GvOQazOcyQ/HBwGEo2mIQSjE7wtXec4E6TqFtKAvmGWGGpD+5ZpB7JXcZj5nx4Q9QbLNKvNPt+vzXoxn5rAxyz8xz9s+q0auUSIcE5Z8nGFi5h9wJUWb50HvicQgg0TXSBsERUURGeOtiORQsX0dEazWpaLENLnPeYbazuAFZeihbsn3yeLnBelL+MLfOvGJc45SF+COwEY//SzePduxKZOLZdVGp0dMkCIWnPzX/CeQGFp9KGuv/0cRBImhlgSsy98jYLtohM6PPPbFSWw46qqpbHzzrc3uQtvNCvlGsfI1CArq4y+caKYZhEObHuZ1rBICAfibxmRLEWnTgaqPhIiyWAvJ91/ZYQ/g0iDdfk5LdhqXtMpK/WvCHtQJvEzXcUwhv3nVGIs8hDKUiqBjajS8SOISuuVIzAitXSXpY9aNh3gqHYDC0Sn5dV1ZSeAndQ36LJu7wrSL2IPiCcJIfnO0a4DjR505N+mj8g4HdSAl5duFjZ9rpgncfRPOsfJ0mXCqLDXoMrsH3edE1KvZI5+rxRG4cORBlRMy/e48fcBMEUce7GTeY779x0z+DQNHt2LCbA9ZKfPLd55gn2VQFhvT8WunLMzqywWsXavy927CbzoBchTAtNjPjVOpeedOr3aGiLNuVfWL6Eb2FpGg8+Vxq2a5iKy8lPk37arkqfTgOEDf3JjupTXBib4FL+xSYSXNcmauoJsDmQn5VXGB/xYnXw7PYm6/RfZuW2DtFj0jppMkX96pyM+9Z7oQH7W0nBP8SoTS9YqsqklGRm6FGCYsBk0jJjHr/pb9lcZztem6WoKj1iTwE/RuPtUxJrbbA56UY6SDq0GMlGy/UhmFcJXeAmgSrfGdh3ohJRcWe+XN8973fDsX1lLPVAB2032Yc5od1q++6X0q4gvZM/2CAnq52aixQdaM5aF6B7rKSiYM6KQi59bbHduOrv6VHIUHvE3VUICpmZBZNGCCak4oVfAJMFaeVEbQ9Ax6uT95QgT75UMdpbkgHjtlQAmU/O9VBKLnAAS7l6sBXKRX8gjxym60oFYzGOQi6CcwBkcKGQf2XGeak//1qu9ZrzL1fbw2S0FlQsl1aMICJvpHzALsV2lEiENL8K0eIlxGvOUn6LpDdGE+Fm0FZy2KoTUPu2Cg61p9vHTj+WnxBpEwPKJVs9d7EHkicE/O8miUs16d9vZqSxO+b60VndNuQaicNRaNmYY2H7U/eBlong5xE2b75hIFD0+gOEAdAus/vETP/uK295AHcNisC/8DnnjBzizw60FpWTbAbS2bF3W2Ciy19ihwRKScrcaeLvQd6/HioCXEW/cYuNhHmbfwvCwWzjlAAWeCGg9sDzgTH65wsaxX32WlhFcmaPpk4rvyLGY4vFzrTDAhI8vsxiUGAPi1lAbpQri1L+C/tN0L/owShMk7JzJwL/6WRiys/vMC7zqA5uSEk7+YQRwAdNeeYYHrrkzKmtbQUapDmkrWWOWOypX4kR5dOqC8f0GSYm3xN6gl49Vzk0dFqnq5nnIYEi58NrB0U6sD78eG9rnk5Prl/G536fzujWR4fnakg9wkKL9DdNcYGRQoan95rcVjjahg92KCIVc66QK3Ll9aKPVGScGBGbkrAdyjSbCejWeFT6l30cTUOx1JMpb7oY72gDk7xmb6QtnPK34HMhqT/lASMPlHPL9KRxdz/V0Lo3EsvSq6fYKjnEXa666Dwb40Rp0b/dqk61NN8Yr10jDwHlhM17gb9yIjCAhu6xR0vJ1PSj7I4aP7JCiJdZshtGa0LXbGMv4SbRAIwYhGPCypQFMsKQVqPn2v8sQoZbblAlmUUNZBIbXo5S7oMKSC0KqmtyI0GerELeeWNUtAtdeu9lTtjBin5Bc1xxdSHEab70UCpdfPyt3SjaSXm3Mry/nT7kSoDB5SvjCtLS2Qa0YeVB6CvVR1xzmolopKdD9HcVcfdxUY0y8eDmbcJv85tDTptGxEPGkAVo64mN30YJyb+TJ+SCa8zrKBRfZ5c3WMerZ+0m2qvJPBkVM5USR/wzxFMxycFgpU9xwllUmHiM/wWocqkmkwipaInkTyJ0xYc+cy+VNFK1hI5PA7JOD1lhldRXYGG0FrsmeCHzlg9NggBJdfk8V9x1RPFrAOeXU6XWSZXkRf0JjyzLvsVEgoBcr+5zdQ/Yw+CjydlSw+LrimtWoZmZq/xSaElpRWWhlSe90djDTdE6/3LJ3tIXM3i86VWOAARROpZdsWlk+CfpYU2kdsvg1bQhmWHsecDeESjgk8f1MS7RTzS1lnlgpdtUx//db8XGNdDsdIboS5+NR2j2CTpoYn6owkIZPfvsFAawnKykS/wMWYaSeA5lVykfHOVjaupcqXzufxGOmeob65KXBE2cSxCa8UALD4IWkfrZCFXPUi1iLBnOk8Q6YS0nNmvjbzO5dZ/7aE+SpJdqogAwlhPjHzOsxNa6urFWHPGrsLUx0EoQHKNl09IyxehLjmKWMkydkklVFXNSG8t+I86/wITnS7joVFEAyJiQIOWtBNuR0WFo8DAbzTc/Vy1r2Fipv9D8/pRF031GrLQMQSaxr/c4iWc4oJmz+UvrPbGfx3kdHat9UqD9o1Sa1Vtr3GPDNmdtk+pFdgGbfg/d8vGb7f6N8hQv9rDlk4JINRXMaESqJVsKC2j7xkk0V0KL7HJCQD6bsxGUBc7YuiYBvFKo7MLywaqahQaLHF0lax7igHKUWW7nyDmmnHa4OIyzw6CH/9OnoPN09sj3v0EObsov04JYhzlLHOtoXd8FWBEGbn83U/KC99pjmCv6sonHsFg5z2jRnfbFSyirMxeGaAmyT7apZv9h4kVQLBTIDBRpXeclfIopYTrdCq0S8Qa11vHio8G44G2CM2LFbC+uWfwtaVHCh3rI68vnT29DCP+kTf4HDmRNA5bxWtD/hG+9owgTU+S5H0wFxEsOADClpIPalVQ4S3sXjHl9mZBFWxJ5GaYRjhJWEVZua9NY0jkXLrdtsDDbsGe85JggKaPj05t7hhazOp7Zj+qo7Boy1tkawiZ+KGMin2LET846a9bEYYv4lAS8GbqOn70WThCoCdFZghg6dPpL1iGliAKtrpmJBb29dnDbwKlyxeH9TvVP6Dd4xkGJBAc3NVQjOc3ECadgfH5++Om2uDLyoJ+lKBDDyAwzvfEEe1/m4mBFskBE/TTM5cb/pTZo9Cg1Y07rnmBm8kypXjrKDoQOKApzgPrw8K30cD4db+oHPnPGv+LBiaZJoYNjy0A3zsn2qmSDjT73m8VxqjHX+5m388UwkJeYEaZ68bMMW8sMMLBidMNktQtkMb7VO/YC0gQFPHi/0Vm8NWTpkCM5eL+HDC4yrpFHd7HFSIzSA6VzAHLHlgxACTsuEHAfku9uJTPw7NF6ZwJqJpre/BShWN+gsGjV/o87wbFUe31xXV8cbEE/k8HDVvmGtN7q47OTETMaIkhKvWo+ZOyqi8XWhvPM+Eol2elZWTe5UegDpBhIcL1MGM2LfLPElTU01XycABQC38ppb81t43IpPgVO1Z656zkv9u/ecaQ6+eNXRh9aCk4iecoPVHtFhCpBBDpPx61OBfydnUNUajhTgQDNCDRT9T1ES605lyuCuTd8cWhVpZtHWys5wiz1PBEAkoFDuU+JAZGe30aGYb95g79D09lf+9qwZt85tyjGfXDo/oJMUPTa74OmIcuhULGmi6gzgbqqwT6xV+m2ELuLKo/4PGiwy9yBaUYIMakRlZb137S7tgJFQ6hHZsoMfv2jd3+togiS1jMHEeUXhsHWqDM0d7ED9d42sem8whUzT2j71O1sf9/rUcw2oElNtwmYoL+VkMlWDqxpGLswVTly137LS97zPone32eI2nn8gVH0+bW8Q11hFPO/XjYfZKhhAOZGCBWs6Y+kpfSkmhaOUybi+DlrVul7CgQx5iNUaW9LbxrvZArrEJ2FpaBfN9QHUDEQtWmNsmgCKfGrnsNTmObsxYA8uafntASl0mzuBWtD88aF/k3GJ4pbK0d7YuLrBV5FzwBnmtzjXhG6rzH12aRUBTud0w60MKuD/0AC9URcMGKCUyAzxktZc/ZVvIot5L0I/YRFZe0mUoAOO0Mt257IgnYjVUHQuX5tpObwscHv8APGjKzdzSJMDseHKWRddYGaIJeRpwGwK3GCsaiAjf/FunzwWYSo8j4T3jcwhhhiBDDqHNR3SHje/Su+odqVZmCO6sQUWzY4boDQVcLX2FHFKgDlL6HGnQgc7Um5MHugMsqvUcooGEMjQQzUnpdWosIZDfCr6Z/Djesi6+7gDnzHePl5pd2wb4iS55WbDEBVmJonJ2nzhjTcp3Hfsh+M263G2Dcz44XlvtT5L8sMDyYUD6Ata1ekeGsW+Jvu5fWPgMsO6Zl2UfeDD0Sc5k7Dh0yXewKaPC/xEdSuApEVpDMieU8Qhrbb4hEFI5DxRKiuna9OoJmtGJ+ImuOtaNpe6CeZS116ZiBPpO5wanxdegfzqa96wSiXOZU3OSk0FVHHcHsJ3mB10zYrGtn4HENsmvMPrxG8but0QHWFP4gdXRoFsqDT3mMDedG5kR+s3OhVWG/+i+hYiAEszsp5c0986Uclm9/hr28oDh9NHtLthBBi3L4jQcCXDahiaiNmRyeigAELwMCouZqQUBV2qgaX/UMMXxl5rJMuaRUTmx8QYrmrsp+ZePGm/h+73HSEsCTnFHNw4KUYCAzzsKMLqQrJtYR4QetcIMDhegmywmCJdnZh2NpnrP4CcRtnr2+hlOOTEXjYcNC0KVNuSPYNgqqqpQbrF/KAa4dwOfZdXXOiMXKHkk03ntHNhajckMTkNuW+tZzoRjOhce6l9aoBH5fnbm+MVDcp/2c9ZsRmIeKVDINNPrtUhOYR7gaTE8neWTH0ANH9Z3SdUfQ0FqBQsLgR0+657FGOrtMd1iP4UDMcuZRVgTYmAYNbowKbCdLFAbZXUW5fUQjvPVtCWAJ30/5WdRcPfEtJ0rbrHxK36tFFmPaOkR8v32+Ev1a0m1jZilq+pZgzzICz6oASoh8ED0jz1ZM7ZRdg10Iv5JXpURqdosFUzOpDHsmiqtyGID9/wrpu15pSK2ArCp8J6s5w9FAowWWZCjsXB0vtYEdPsc0LSx9EhdXj9pRH+m3tzfmDUdtnCBcSWhXBOXqt2n57ZSTzu8fD/NwZyFYPPqczshBl0V3tDvuwLdtSz+70QXzrfS5L0N+mAXNXA+vWjdahgRoLc9fYSsemwdPHIBedByzNKWBImSsCWaBkLyyI/6ujvw+2ROxW2YBB1aVxTrCnXK8apR4vR09pAtVYESue/eAzqQFol6FwlLPvAdHTuiLTtArZDsJ+Luqw48AemHJJz1SjXPMjRH1gYMhUR7IJu8B1vpyTnj0V6P8MKiikJKF9vpTEQZheGxM+FR8h/HFnAMzvx0c7SidzdUApQgPJzL4E+QikLU5NQERDVX0xSpQqmLmJzqH9b+PJoqoHdTstK0j2QbkoBZvxUauGHw89vjyWbnJ28X8Z/pfa27owcFWa18ss51xshonXxXZ7QqkSYF/bR12a/z131FgRs89Q+IB7/ymQOiY3AnrN8BjbJXhKw8QFB/8PSSI8zqeUs5sgDZs3vv2C3auaO13MeqGw4WA8gewywMEbsZbDMalJ/t9JNiSjKy7WJsheIqfZjtRAiIE6Aw6LB8BTgeC+CR3hfFsUwMIasGdXR2EKvtPxqaDagebyrH/4DWAc2WRardOQjSic5HC/xc9hnRD1EJGhIDnSejTlY6EAjPqR0ROjfqxu2kcImuNau2H+mMZcu//+dkAQiuoNB33tciBNxKwNapGe9ZvKVeejnexXXYuEgLxiNCQssKpj875Xop6yaqOB8lib8jXExFE9+yAOxqCF47mmThnzJyV/Xvp3iZzVVx8+8D7xDoFS9BA15FIrHffmfEc1auMCTZoTgMZBCgPX41wq+rhBGhg1kW+xMCoYKks/OnuT2LlTtaWcXQzpgdjvp5VNh52fO6XopTOCNUzzX0H+XVuS2VFr6H0vnjS1Zx671Zf3SLCx3cf1QP/X1nX1lRkHw68JDjMMnJYz++hrsRQWRbRrrxxxk61ZaMaklfgcsVTWGyucOwvkU9N0uMjqaES2BkpTBTxrf9A6btRsYi8P9e2DN0W7s7jJ1SzugvWm0I9jOOv4gxNjdymweXZ7yMcVM1Q4lA5YgAyl3sTv/TKJMfC/7xXrTMwUIskmU21bdOBd6Nf3xL0GwvfIm0EOEgPovmxasOv0UM25Flg0TDZMwlFMEm4FZ2kojmfPTa1MRbzaL9CUGfzb+tCktZu5qIFSPiqAM1HQEr8w3Oh26Itg3dEeQznnKLXFbiWr50h2t79KkiyZ9XNFVmBxnS5zYEZBByu8hqaPihvK1hhl+F9eOb1jyRwUVoPIRqux5PCdIDCfYfweqTQCjqidT2+pzXEcJp3kQVZnVjt1tUacr2nskuHfqQEsSKK0nurFiaGjKHptFQdnUTNQWaJWVYjuq5r+TMdvzfRrGKqY61wPL502wnhxhGFbtI4cZBc79DQPeMiuZv1pqR0QFgVFpKuT3zz8ZHNXaxzWEppOAs14jVpX6XsBMlUs4aqQ524tautWIgftSwu+YLPRgzKbXrdD7yUh9leUREG7JG73G4d26g/RQG0LB6NBx+Kg2Zgkyz1h8sMoGlk5u5ha2C2dti8jwcWf3iNmUziz+Pn9d/LysSZKdhv5/+RYa2gEsLPUe5Wq192gJgH1lEd/qIHiDwkyjCpKV7PJlc2xvrFEO9RCog/7p1ftSftUZew/9rZLK+9YOv9jJkvkEfuKE5rMFC/hToebmwLebGClPv4gK1ODakRmYXeMO0snczhlB6DLS6lyUOdzpsZQEwC9gb1hM7KRrdi6t1ojTDXswuZg8dP/knkOvaQbOdFMeiqcqTG1zX0YCHE4ZiuyIk15WX9ugF7qc5Yl8tR7yE/VbD/Y7SdTXRqTj2CtxY/SqB+m5WooLof5dRNmWoN0Ul1ZY66sychXFCs4c6aunhp+LMZvH78001ARcnmRKg+YVMDLBUD49Sj37gsCqkf/Kpe98H705steWVCwfHNBiRg9tNpiapA/xj+5hjcqES3nzkY8dCHfXtdeY510ow3pQ7q2WiDUOsagwepmI2DKiZkxaMmbjiBewQ7wn3RrH5sVt72EQwhJZAUZsOR+UH97Dm0xO1IuMeoICX0kCuEEzGWt0W3IWpi5oZZgP81CrKxq/QHFRBTElOEx7YE/B4TVtljk0E8hNww+2gODAhC/V1D+1+euixXb1nmqzmXTo3lnol+KZe5s0VbWnyfrEnMoBnGN5qXRImLdxVwBG7g3ekefCUwaYTd+cXlrctR/nl0gs9Ntj4Q6bTT37quwrWs0nArPlm1n70eX5htXGtKAz42BFuIvgfzl08XYx1XHPYqMDa2z2RqWDBa6Xbw95gHmuWTGPFyuzU+itCLdN6rtM+Q+MKlDXyUQht/i9rO5gtHIzFzgonYn/BAIw3JbLYwWbzVXlRdfMGilWQT0c2Ed9PLVJV3fdWv+5ONWXq7MtaZXE2vGJDOeiYvMN/vDAvZVtUp03zYsQIzCQoQ4aVQQSjUchbUxkjDNCMrFcTzzxd74XomvhOzwDI8x0mP0uWa4NgEFKRLU86pyiZrYGX5++HnpBaRHHpMHZB5x5/d4n/fKO7s9xOx58+8Bku+RJj9DOBxRYMgEjOIPJ2c+K6ivII70eWR3L4gcix7SJoeJ/Tt4ksF8LeV1N8r59R5xa7Uvg5lA9I7Yg/wLoUyj8V8sZ45piytCZFV9JrH5xa3v1SgseABTuXPgxfYLodx6UXzI32AxwF0E90amZHpzyIaEEhHOJrVlM+2V6qUJT70+gzgvVlZNgSajtTSGpat0ZuQEblcpiBfZC9N8bvg6UfDpqfEHs8x6ny2uHpbh3+HSui0HYIHlV+oJcWzeR6BO0U/88c4TPNhoQskyGkERgsWmgaanbuFYYpIcmNG01J7ClLvay8bg2AXXPFgiqS+n0eyLhaCfAqVi6clQ6rVYxmJ0lheuTjbUP+Fq5wsy4rFbp98fRb/0/cUjeBaKGa6HdBGuPISKQC1DL5+vzJJYje6ZNhSM+jQMtzUzopFAaTtg4TnEE+xdibsEOhNH4Uk4cvov5yi6bHHeB7AW34d57IX1L/M4HmsLyyETEUTgboKOlbXtmFcU5OkHWtCo4gFbAhXDdjMz3X1kWTwr+lamLBrb4TBYLQ7ZZBfEgMIR12jZ4ff2VQ5xpEeRwYGI2JV5KocIzqr+CNr634e7BJAqqRld2sgwCrcJkkZZ5DDIF8XAAWcFXQvf+8Qv9Iwzzocr7Lbbed477Ld30YAHTH1d5XxcL0ctxL2F9jz6HcOdN+0G7Q1mlpa7pdDqgPIn/OmaDVGzsvyOKrLSrzzOgWMZzPzt4TESKrmNG+dXz8zWbg2iWLNlE2cs7P3DtLt/9veT/I2nTWG8PubBQ2lHGaD0pFy6/nt594JtuJRBMmk65rpwy4OaidArDqlviNMkSthOocfI5LX50WtN8wORIg18n9USSuyi8FKArcGs17YKTvES/EaQ8KCm+0Zv8GfXVhdoHuAQsekbMMAPbk2bDnzQMN+K5A1r224RZa0kuq+w4a3hh2kueQcjQj96e6EMv3tdaMfetEzWwf/jaKgU0L56IfKyHXdxvKU3ZrDyFz6L1nN4EjvExF5+KMlsNGGcCIOx4xnYZap8qtWj3mAX38bZ/5/P0706boMUGJPEhe3BF8uH6G0V1bSbkw/c0aNrL9UhevvBffZDbm1j9FZdpZz+lWyZF056/IjUC+S0dHCnDJGEMumtoGonpmmvSSZMcuhtZbZP0QVXrXLL7bfLuNeWpJWf74DYkjRYD46u41NZaIwydNLQmkQMPzl1alK2Xi/etXkdi7LTq7p4vZzndVYL9VnQM9qn2gh6mvJEJahT+ZpArYSkR5qw83YGCOMqEWgRuiNl4iHHisQjeAoOYV6+UWyVhyy1yRjiTMKTgMiWGHRazCIc6XtWrWCu47BOpPfDU4ViK+4Jp07ri0yR4f3T9tI8FaVnmLb4q3EZj57taR2Lvg4jiqnwgoImzYpLIL6tejMaFqxX3Kinxi/iOoZt/tIB5nI1gN2UKHTZhBIxgkFmI6OC8rpQruCpnvKzhsux8S/D64tlUL1ysJeqJp7mNoNRTUwug65KmyzzcDZANMpwGGZj7e+Sq0f0D54rBoIWjZ3J2vPWswtyg1q2uKksn6rAtr5XXCbHNPvvphC+9r97+/nfCp8uqaT7oGKFUJTx1jmpwoyHn/Yrea4S22U5fyeNa24l/6Bt/iNrlvk2VbUJqp6eNHQK07uVW5SMvRruJ6XsYjQIInFV6dhPAefL8LYeLC1Ym7FcPw7VzyHyO0Bha77+ATOr6F7gNDEh0F6siEMxTbLTThiK9+GGYdh/JF/RZLRDqVBGuA2ayn7SylIpNqRWwbqwowp8DWu9OP1ngjU04PXNUTNr4kT92PTFlvsyK47jY2jFiN6zZSwQIfdvDxQN8s4ODBZxUIQmZVMQAYM/NzczLHpAIVJJUiWBgc+ccCpJaDYYfKjAzoM74bdIofow0ThQuaLZ99l+3JxKUEZNAYRxg1yDhPQ47hQB/UU2oxK+IFiRU8q2zOIye8vt3CIOvriK7khTXdIb1IyM479RPHrV/Ih+T6A/u2W0C3KX6QW/MG8QTe+U/O7P7rjakbjFu4CVUfj5NQvRdInbWW42piDqbF/Qju7PJTWbvLpahK3gh8BgilfbIq7vKZmUMoiCwn3NhhQEdl49M3wx5Gu/qa5qJl0XrymIxUkumm2g6+swcSraWs6DgrPfwSOpzwtFgiwH3LF3GQtS7n6TakEXITXNK6hJB0vLvBEjHJSRKI3K0zxLqIsHCqb7CmfDOONyYul70dmcBq/UJqPMagsuTs2PdyvAnLTQPH8137A5E3XXfZmxf+SDfkSranGqysduzsKlAXpB0+wyHGu+dx7GBz2ih+my1GqrGaO477e6uLZDXpq0c1oM3rFETunOgJn8oYDqwqWHqF+VEuxYpBB8cCF9vaXL/cm9whhd1XVLGZE8zSaMwl0RLV36Yd3g9RmWBAhMPWPrA8aSheC/Gh5zwgsWQCeluca/yvMEhhuIBoYJYi5ocOH9TF3neCJuw52H8Wg/AcDag+rWaw+aLxbaF4sbuir1XMxGDi5Qp7eCfsfDZsGYmcCORiXiz4UAjdCaJN6BxdWnvjWjlfjJdBS5kwtuYrXX5+zFoo8vr0uPGCrF68171IjLMWpGF5esgykksYD5MEdaKXa1/0qJqjKqPlUl7e45NpXqKUKtda9cOztmoKv49+oc2aNtXUMP06fxRjBlyrjfUTfJyeEPNLpXB8oTVFveSakAM6WZpN8UTOvWVhXvu4RWdPcKwFKhC4grG7UlWBdk8XCcq7C+klc4CpJFyVAqUYn6U4vuMG12ysxEDfRvGgo0QASZCaqn/MzMonDmFNE0fSAQ3Tpbe9hUDJujKce6kXYuLqNEXQY8l3mzDWh6ErZo34oYpi7RWbVmB8yrinKzISdmbAKXq5Fsv15U4vlogBxrqZxAVMeh8Zki+k+WQ47Tw355ROOklmGEmKfRJROKkM1Uc37vaIT48BP25udVtsVp39ga0Ivrt/jpm8yVHRn3Sk81YuW9HgR38UN8jSbFX70Dc2535kVAIZF/oIo/p0GugCMFaLPPZMqTI7xHCUUVqiuDa6cuG9EHFsfniGllKNGFddqNWMbOKL0tzvd38+wzZnJFPIY303ZxPkX9sVVZFCpTwfW6Z8LauxAm1LSWS1I0hU1y38fvin4UxpqPSDqT/uAa69gbjTiVGmrVZ9KL8Gi4xmxDWnVZkqVmHkw5tVfOGOrhLURg7VmYzxC8Jyh5PLPx/rcSClvBb1FTtb+m7QNQaK/01vzvFnjm+NMvNycQnKlTcW1Bp0xb4Ob0w9V8LCXLJKyyxcCdqZGUoBSqaj69FpFAZpUdDkZWyXgjmYUmbMTnCuiEuKtbIQ79ytDvMt66RzsfO0AOO7R4bgrljP+Y+d65CFJxPiWFh9dTuau6XL0zSTU/n2aoflWfR+u51F+0kzQbvfJ2Ab0VE6JOntWTqC7A8BA9qjWK11A14v4uWEB0qKdGNrvEIildtaWJ9V+eTVs19GHozslft2g7yDoPg36UA0Vs4qeAsTipKimse7KEZrZKILFDsNBDGzEIEyCD8g+8e/PiFiDijzBtBb/Gz52V5Nh5NWasrWDpGBOiYKqxbqdtrpyeLd6pe/x4etauH/tYblCw9iammmAiWXbRZ3HGu4gXnWmrPrHznUMtiq6bkJE1KGQjD/OWF6rdYc6a4moEwfrMz0329EQ52ypTvONGPN7uAjC7zzdMb1baTm54PELyiEygVhjw2XdktoAeWYzZuHz7BnoncmMLQ+qHe26qtXuSj0JKGM8xqbA2BCnZRWTBECLm2X0OqdbvoRt9WgrXgPv6X45on03phtTb3hHiP48u842cZxmD7XaCuM9FbOXrvFcOslR0y5OT41wpDHYJ4w9kZDWC1Wzfs7pelUyaT4OJbnf4wMrmT8nyINSciZ1Du5VZb718KFy5lhq4VlKpMUd1KbBogdQNvHQVpylF+5cBLlO8iNt5Sb27JhbpKGPw7q65h0+PY+w3YdPIngH1sOW9M0FN/7bAaAUQjyyj8Ng6gGJ8nOy0wZomvFos4175n1zuHPmzj/YffNV8weIUNz4Ou6ZWJf7f/U1AXMRUtidwkZg9neigDT/dupmV2XSJ1gK8V3fJj3fl5RlzLknWQuT/AfqdvdE+jZO03yllw8XgnCJ4pYzov5rG3DdxSXukU8QWWp9TisqVtHRvx7xhL0BJrKdgqzXCfKfXroZ8KqT/4putcmFtPzfuCggPvj7EXgKJKPQUG5rK+CoxKEJfjGSfTYEFLuw/41n/f3Pj/5ELGdRI1ThYVpA2MME9vbq/6ZjbacDoM9jI/E77DCZ1nNHDQsrcp4WHfbJ3NHKQCOHmOhLbU68QADPeAgbZOrO1GXhZqj+Tj0oh0s78zpTukBUw6nH3S1tQ1SZTuFBjLKHqDDJIAbyooJPbt4y6Yp563KNc/QfQCLuiVspeRDl7xhPBfzBOFa7irnFx7sn5CqXcSckOYecmPUA48RewBIX8DoKFpEZF0UScGan8moVSjQa6q/eKrGNz32QHLu2T1mDxyucx8tmP5bnfMJLQ38l4g5hATewQB5Z5mIGiVth0z19GwWOk3H7QDI7FCosBiHAoE4KUrUzvTAMyFf9FLbgS2FMs+8nfg11t4pMdhsCg0jSdcIXeRhnOUbgyHrjM08sztUDljeYQ7ttek1mqUj0dUsbn9NwRIcS7gIEVw4xyvU3WAhRP+ixhvwUnTjcR2I9LopNY61RpaljrSAbs7GI43hIiHr0mcU4RFE+nlDO+RgOOcAdb5juP+z3JAuR9EMqrrlpDvUrIpz0Nen1e4Cw8mR4L6tG2nsjrQNzQ4cqRT7wJ5Ov6RGj+RTCcJpYcS76Dz4+DIyX0fkcAZV/UJSg155RmUYcdG9ONW72nKYpo2xpaw6lcUn4Nov5NMsKK2VzxAaHQxd37T7L07FCpHfvgTmQu0n7U0WH9EZay+l/Upuc16kRyFRsdyQRjIhv8xJVRGPompGrAW8AVa3AOisuwMZ4wKnbi0weT6y+MeMgh+QTf1HI3M8Vp+3ahv4azH+lh8UKdHTSUw3rxPfjxGksTxlYRyc0R5Gpf4lNhRGlikG/OisN3H3bfrkoKe7i6JgFVImhR5AHF3uiU6zFksoTJRb1tOoOjQ/Otut0iGsMB0Vsfp+CYlOg1ol+0hM6tRrgqCPYK+izjYWD5gQ84Ase65qUrRCIgF5Pc7KLzVPrj9OLoAwxsGrMdERLy3vPdQYUk1P3soBG781zBIRpX/BufFlc8mDbLcJ3/0oUr/UKchAC3aqhXKjS6DHyIxqezVIq4bMrqlh4Zx8SPlX8hfjj46LkPANRbVHXRKv4V91ZBRoOi63H1D9PpbPMQuC7mq3ebTUPYjFwQLUz3qGZKFMe0MbeJPXgJqerkx1qSmEiY+DdnIOzdXfzolB7E/L9nHdeJCqboQQ50PdAJMSOuP0SLU2C2H1x2WHxfesg3LgRx8Q9jLZ8xcR6/E9X0De6nyh2i3zdPefpagvS+3V3usMWsjNPem8mezWsf7FFQs7KTVk6irae6HqUeboAu4Voz3W/R5fxy4zldQYyuGNpkw264QxQpGGSSEMQyE/9FzM4VoDrghLD/pzruPgArj27Ue44uHX+DxBgJf9O3DDNbGtz9kxku3VcCJzuHt3cyJ8WJctmyDwC0gnSYNDZtB+ebNhicpPXaGOlsbu6K94vciyScyLO9RRI4J1O6KzE+Iq8zGzb08R/6g/GiOUHEF12akEdlaNtBAZUwNns/OcOwWtGbpe3uIO4/Ii+AQFCkIxZGRG5tRa/VFZBV/PJfvF5ExVwn0lulW6CS39+qOqNRKtNdg0nSpG29Bx35//bpRY3u8PilvaBW1G043LH39QvaI4c+JWbdVtFH2HXxEJSeoOeRbd3bGaEsyYbSHYfhrmqy2euRjSUr0vGuWdwuQkwMCpx7j2X6I+5UZ+VNgzSyn5snEniP944YfKT/ns7CVtoSt9Nl0ymt2B98tnCdIB6toAgwU0a8jWDBquti5PKPSRmAfDKlDp0VxHpXkkljoU40PsifdGXzB8n1/dBRI1slRpUMJs0xkZKtHyzadtVx1/fQQLGEw8X4djvj5b3zDq23WkSZuxkqHxJEOkTsCouWluGMrGZXao86i4IByh0ty09r09LT4vcnz3uGWn4GT4SP5COHX+N/O6cHsoYX3VQqqcp5n2pUE8Yuq13nDPRGvS2RFOjlS555BNwL1zf8VByuxpwpsNR4ZCZ+/6FO1UAk/iFJwIE24KqCQ/G8mt6XnZc+/6jqOqxf3HDgHOzj9gQ3slN5pyyYQ6Lc6Vgf+iWNEI2BzbuIt7JKhnqKliiiXNbXzgSTKr1idGfWoub1geHRaTwPPLlDF5jfGi1wMDjc8auEch25M7DvSE20UKXoUJ8bofapZ88ygRKuVnrHYoQKq/I5FXM8rtNFgW6lg5YX0lw6EszT4fmYnK/um68yna2uTswQlLBsDiMCgFABdaCrPDKPZ/ShzBprecpwv/HlMf3SSxDEyCTFRFSFajiOXTwQPmLL2rAVusxEh09WxwlcD/EmqNeMOyiksF+zEB1MQLXtg3yxHlNC03IMxJHGo3Sf6FebzuVacWD//I3usmEoSe+A3SHwZnWaQ09GFPJuBlbYyIq6PJvVlAueIGW5epCnHmW/+mKWqw5A0d6uQn6eBasCvnqlXGwwwmNQY+0LAUydpBSBwDPY46YNmTmmKmy72kUiR6G2UrAUyqesVV83lj816hXh/g7XHbXswrsz8N3QuAoA2t3+sgT92b3mUq9Jp2i7jTN6RGmz1+T0IBTugbKwjYWzPRXXY7kOALrhlZG0+tnE9GDBWTNTv8I4szY7pl1jtdNWTy5YlEPjtRhYDMMR+F+7zR/zzIY9UOw0bka7gfue4zoVKMag0UlIHAs05xTF6SFNTQx9Nz4XDUZBT3R9lC3IllntQ9mkFCySVJBz5zIL2S4UId/7o0MyGtREog8v1xz+rm5vhnNkfEcFxwrMI/l48JdEwhj/hzme6m6s9fg9RVEoTgwRvs5ui+Czf9aXaoAnZ2GObIPs/IIEV2FVAZicEZ6NOtE6UqsJXPMS5AtokzTZEViTCXpo5NGflm7dn4a0RxH1NNWXkALhhf9ppNyd1ABMBElFdS3w0wcQIkmdmzJkl6VwLYEh37iCDOL3P02jqYb3M9OWK3wP6g29nOTH5lksyfr7Hkt+TmClGWtx1apN8m5q9Z0ZRe4MQPvWBL832GLnMxJgCpY4A3JL0Ds/xtFeYa/vLVw/js5eCkTbOmfTTSo+126VphpK3INyAENJ/k7qjS6P9/FPbGUVYwJs1FbzleFTXEAk7egVo4MroQWQUsfYUtBc+CzqaDKEprOOv01bXLx5g9QBXWWLyggyjf6/mcEkcdqMn1rYOcmvFEvN7pfuDVtEL2ecVYJnJxy5p8/ZspkukKCfGlhj3ZvmnJ6nAiN3lcnPvFPoqL61I8neJRr07G56zExLysK1ZPi0IJ505KEWXC56PVSlccHXV3SQuh8dPrBO9CqK3R8YMkoTypikhVYXC2eXDZF965HClc4jNrO34PgCBFP9x/T6nnacLNhje9FdC9EtGoJe4eK82Jqim8AmdBbfjsLLVrYAYY5ig7ORupiaYdA21+iEN2C7YCn0j7kxTvsSft+h2lQ0d/LfPsPV953fmXL+KqrhkC4MudtlyLuoGKxaNz9zCB8/pIAVZ5qi0xk0zaXkz36TxSX0riEG2ZLloaUIYczTHw1rYso3ujxldcYPc8q4bXPBUZ8R7eUOJaAX6OItFwAwYWRU4Nq4noVjRr4EJevaxDf8i5DY8ZT11m1gcGLSFE0caRtftr/FPtEfNnmoVnIGmZwUl/+HVxHL0/8UUEElng57biUSbKWFJbdbhSj63q+aO6L/2GbWaAOfg+N1jLxUfboVNBj+5ptohpJyxkgQxrW1aWCHrM/NWmZNavDg+NaKbzIOXV7QAGIhfN4VHuUzxIuihbvjbg3rVX0Y4CHt60IOb0fpqdh54o4ORg4nX89dmbLenUVvifyc0Gg4BKESePCTSWXFo6BkemKn7HKJrtUzT8ijoOfQUo26BZeuylzSAEfdKO36Lh1SPhRBHQWZEL+lbzVV9WmP955AKuYxFnXuF8NKgEoigYtl3YYf0zaV/cAuxmMRldHTgYKkqqRBgAK6v1DqaxvHHARhoUs/YxcA1L2/Ht65qDAPGGIcliVfwipg12YJU+oLeoL2uIfTKbqUhfDjzL/D3HSQKreTEZ5a01zqLaedguGfi33a4L7/+XlYQ2yzLxQUtTyB2cJs5Tc5cmz+ieu/3uOyf+78LT5vrCTMvgXHRX/JwDMMq9nQcRdz4oPg2irzt8Qw6sMHWOFLowQZdgy+einxhC1gt2w2mQ++Nrb/+qZJNb/dp66GiEM3fQPQLP9XkF/nNgvuMwRQR0AAN+GilNVcJjraTTR4bcerAE5wCiflbDm2zUpRrOYhqprFm+MY/kZJxVjyUeFsc7Sj6u0g5Blq0XzLYGMmGu42zt/Ajm6rcj2Dbv7ABM6aYmcCdzuGmeWHRcgBIf8yJDtbTmqjbBKDe/t/tkxuEeetqZUxW9n/TycK3mopMo5d5wRNsb68Q9J81i3HIat419IvUrA6wQka3pVqoLkc9PO2nsG3B9CiWSMFm/9q2qjPgQw3I7WEV9FCji6uEYJgm4dd/M/19x1OWZb6FXlrTnmRDMAIdMMyF7KwHbozEenz0twVt4LzrzM7SoGgj9IJ788oeIp9Q9uxdz5gcWi5SQbENkkNWjQ1T0IlrETBcN+Kj+0zXsEzjzXjf0d+neK/GpP3jHsEZ/PMDTlgA06WjcOGKzQNEWvjNhq5vYd0CLCix2pPnMSU/BBSuLBZHgbv5T577ZslVZA3TAKQnnagw/65XAdDbRMWQ0Vb297b2wp3YDXNo1c1dY6syh774VkDNy3Az3wwB1u4+hrfUg4knE4cEn02eOOCaJT1KX6WJ+CyCNtjDzK/trF4qqppob/Y2K5/NSxLM7fFXbXre4PQtBNr4mxOQFVnicWC/zQzYD8lbIfv1kSp5C71jBni+FlNFEoqgugrahWwUunQtA1rYGuUdi+VNRAt7gTXVxSTSK489bmg+voz+z9oDU4qTvq3TiBp9GDdjZBEHrQbu9Kf2Iw4QSj/BqDlK2/tInoyrMFXggDWJmCmRF7LeagLLOcSh00ps8/tCXW3CItDbffFeckNU9Gq3gNtVCc7ljkxaf6RoM4NeshBU1jlcwV5Jhxs2I4e0NdKjBwspzjtnA6VgYxESxxif7nAZlAAQAzuBT/EHjngy/t541M0VmReuTxhUu60NTikQOWvJJHva/cOBJ2psXUCXul52NH+4Jcf/T53oqrjKLR0aBFQifH7cQQ/u6kPPU1Nudt7NTcBoTu2JxQ6IFgAd+gjmK+DHtu5X2tA6wiW6zXZCElKlJvF8SZZvMZWVnaoEgQGzXuZn4nywsTvio4l3vJ7tA9XDPjtiGT/PlIwjWtecfDsto3D2llYYR3k7ivVeqpFjG3Lv15K8tijU0gKTwadG9ckBzEso/LC+Suhei6T8aFGOLIW0oXmiWBBYyQSzIHc+7/nBN0OeiWbTlQKBcnH19DCHRv90kp0TuM1e1lWiTOAo28Z5aNL8syYHCy3GERBFfjZrzDzcEZJ/rDCD1SqrT3KE80ZmZMZ7TbYYOVK+Q3ok55qGkv8RTbXdZBArK+mWxeC+kJl3F4Dn3diqUGgUMt3g5CsFzE05kxbg96H4UO0m/CDeW+x9ZEHRm5Fbu4woLuaJKtjSbriSxCYBwe/VjZEoW6y4dosAaKnlMCyNXfzq6lyk1VRuGUs+mccMoJbSJhzhjop2R3b/GkIvLnOrE/dbuvCg047bF3Pn5g6UMJDGCUHwcgXVMSfuHethh2BPLHNcE75v3eQ7u1UKP5WJpEGQTwKtsnx5/M5QYRysvJoJTv3F/zuoWCOR7ezfvVOoDcwi2AwuXTkDS05fDggR9i4w0azcvJqQnbuWWtWKGRCcuXtj2DToFbV7bf+wes6vGutbdBGXyGPVxSjMKleraNcpmsH8e2scyq8PDsPMkhr1n8c7K/IZbTxesLCYcH0Sq8VAALOO9Lc4cesDdWXdWL8Wo0VVlvw0lg8gcCFChb+BOvHL1v7/ZNNkGLZG2WdHF1m3ZUCbd/jvVO7iA8nXGydp1gVPPQK/l8aY3HycUc1kLj7iSEmAY9gDNQ2ZzM2jdO+BnK7cLEAmuJVZVL44jvqwjrh3opw2dhatrqUfuEmbvsPCIVs5ws35GQpbjXfldR4J9xiKU9ueI/SoFtIhgR+NDF8AOKKuTdaMNb46Bvgs0xShSRcMdb3fo0DDL5mTLAmn8uSzUVsXHkGX4IUvp4yrB7OU9pVVd1gu1BoiRQN3SW3z/IV18y2oWp8bW69D/ML4qxkWC4OhPwfsUhwAlk9oWjVi3djZOO2U4Bzn3XGfJR8NMWfHYB2duCQcGqNo45kCGm9zYy0ATtBLdxKianr55cgBAz7Jrner5BqBofv/BtY2LbzksTRMtsXfYdSrm5Ult+u5XvYFLqsWp2LnRY7+7b16d5+FHMOXQkDG3dPH0w+w09xmKuK8XSMUJQQhV9KgULRiNztLxrQk1aDECspUonrOcUzT+mwXINcH182oAgcVoJUEdxSK+q/bzPV73KfM5CSMbOJ3w5U6g7njqpqsHs3Odv3kEDm+EIDl1LXFnDK7GKyvlp0JV8Pic/UWW/mzWyspGkwXsyG8JC3nopR8Ni786NV5o0JIWf8ElCl2ohYcKri7o1HySb/GddhstWbLMh00kjJMF2fOJA5WB2bmhzjIcX/+UxpTvN5fcoei79AHJXcZuTkJaxQYrPqO0bWqW6dDeLKAAUUgkuVVqsbPZYwqVJ0QiBW71o6PjpQ5NhP7k/MQUwt3Q0TbnNdebEqs+32BzXF4fNJlcS6zVqdVaTvdhZtnsA7dct4GF3ejBAEd8U4xq/HPFjq3u/nYPugKWWlJMGf51khP++7+9bM8F0fpiBWgm8v6PALl1peWyvD+gL/eZvuCnqtZs2wRDQiD3Ha43bX/zh2XWzCWsFwmPX9lOfzk4yQd5TV5DKRhX+8xSUPJKkYP6bu+6OR2CEd9pmgHPb2DKmkQLk6vZi5lJR9tx3s3FZXc/RBmNKv9uMb19NBronnPE844QnrZYZabhEoNFZChLz845BKo7OmR3ZDzgo+6eFHC/QJChW4udoaWmPueiEL9HsUyYyFyCnG2k9ANVq9VkJzK+1pzagRNKw7l6aJAGRzyEiUwe9jLStUv02GYbyHC7c45v0zSWCt1QlYEnzYwvUSiosgbisQZNDoj048KYiiEIYiwl+rcSaaC4Y04ehMIYqpoDytwM3dpvsw84e1ipb/n2+B1JDQIiLC+zZDCVSDnVSQuhlHJMbLzcVUIxA6ELIqmChWsumbBLipbZPbfjRbfBQ4G3jLS3JY2GMW/uyhX/eWc/cBgr7RvtRx8ayKlyE4x61eBrI2kzGUSOoGY9U/2JX4sSM16C4pxtxRZu3uzEcdVyZeHvyxNfDH53TJkMy6XhoWhRJ7qyg9D5uIL2QyFi/0l+BrFYKXExIP29/sAILAAgwFUqBRudtRdiuF6qyXf+GEWMCd155dqjEm3VQ5cSKNxfCVDhbExub9XeRxUKfrBTE4bW/Mt1EnJbvTvsZEwNc3Hphw/ZSRvjfah33c7NR3ROombBTL2Abhonj+OcrlSC1tNPrWwouBpuPDiuNnr72zYtl9rib3z/dqgC0gQlGn2UADsDA3bO0xUXBQDoxI9ZFB7Bo1Irh4hbAZ/AoLOe0uxvszgslnd7DuL10QRAeGMuAX2DGaTrdDT6kGFLSMaCDyrKxCsMtziY5tZG2GOWfx1M2n/kMHk6h3O6reGli9APKwTwTNFCx+O5WwTduVzdb4CJ+L21/AeGUHodPOLtp+PJ4mS7rBmvBWUZZT+AqXQSvZRGpddlZojHMa+yuKrtmKlYP2MRIk9M9AeiXcm5gN1xI7LJ/WpByHqtOeXMXk8aMU0TXlobGd1rupaIAjkRO8UWBmOpI5WEZvqrdy6TDBevtw07Lf9nPit3xLEeMwyn8ZGlOGQBbRAISSJm5vm/vW5UherIkCFjJOSdURdIUKnZpnZBkEqfRWT/7bPEU1gRq3zlp8Zp2iIR5gPfvelHDzr6gcoAS/yJ9Gldu2ipkt3Pr1nLFH8YApxLikl15d5gbCzZFdFZBCkFWaoMOTuhq0vzIHW9EHHbChhl8LIk2BAMn37aVc1b62f44iJmx3YCqeIQV15FnJOfmWJUOyhi8ZcqXWEyt0m1sTlH0XYNWtbFJMH5R+jL7GfjCIO4sBdJiqwBojwDPNZi5IfIcZsmDRCfWqDYK5qFtKcWkSQvzWpar8ujCkoLEKuY5cVz4AZcpn8zMwSlAa8QITR80naorBRx4VfmcjgwKsWDQd7NYCrluVv6gRbQJtZLQpWyYuIJDFuwibv7C/14HdVC/wRofa89XxyW98GGroK+U+vxzCwNhllO+KWW+Vg8ePgU3aCSZqpRNDxjGHyO124cp5GCA7S+A80cdcP6YBTYjcg7J+fSSn3cX1Tag8h3Df/+3MeIzFfeXij2PrkSS5+rwfqgRpcQ4SQzLj3WKVAyitINlYYQN4Oabfp4pEudPPnmKwIe+gYvPLj+CV/gnj+54CKOKo4zyjfYeFY9TxOiVxdd/U+/MO+ztHdjYkEwPbaO42M3vcqZtPrzejjmHKAm1Kfc2nZlfbMc2t/rzRgTVqfjJbWywIq8uIRzBuJRAJLd6OIOBL9L+AVvqqQJL3gxeFVMBze7uMrn04J8XckCUeeyL9LFk+Iz2yPzRhxz4TwdR0L41PG2oxVpbhAxz0H970EadgAYbqReo4lahY4Sq7Vy7xI6/VCOKQYL6AckX1bHd/w8u0U8SWZAnBMS9CQNzokflhXt4XiX5gDKp2njduwv/KISsl2xDFGiypUNQCpu/sXNRUk2hwQLFfLG3cBaGC9SeQccbfGoX0jMSjIHwgdZKg3lYrARBIqmftIHF1cJGPKOhR1/NNtAdnEhQmD1Z29jEroELD2AyWbwH8I94ukWBQA97bSPtl2HHjedA3/ENK+zSobHd11f/dVoGgpA/eJptyGBnrh+2WUXlMJGAex+oLyHgQ6DDY3ovP7ZOLPYP1peNxQTcTeztoK0UgyGbf6vaoHUV9mcUKny97IPPzV2xjXxWJt3sP0urBk/1xQYSU9VpyWEHGRgJPF+ePPNARrCReIzI/KJ70HdZUsQKzqC42UU5ort88lxHOrDic27t868DoGPCGp/1ircOVpPqF/piEY7JpLL9yh+M11T67V6wK+Ig/ocjMrcEl6sDY9LXOiiaceen5PkVZkj1/IkByjUUS0mx++BCS+TyFGa2hn3WyD8ujVDZraEXDOLCIyqb3MRVl9Y75eRxm5ysrprin1c8SpounPx0bGXjpx3ogqUeOywiLeUr2Xd/oKUOrBYZTlmqgt+7E6lwx15n5OmJP04ceXl+yJyLahakcPVb0A1UiXV9HxStDV/MaTdyGKzw6TMY8EzpxI2UOkmoJ7TBry4PWX2ohpOun8YaCzZX5NmI3a9CQDGY55KaNUaSHwWzFAZPNknxm7zm5Toft4YIjHUIi0IxOrOn+ZmEbgDSzCWwaGfsRtmvL9KCIMtwWcA6MxN1Uo3LEve90/K6ZYXOZGs4P8SUUFcfrq3Dt22nn0tWCL2QV3991g7bsGJHbm0aMYQYlLMzTvgqS76DaPwm7jxbbIdh9wPTZXwvJuKNdtmsVfsvbRzrOARtAvfvaBCp0W/QegFWEwkyJkluCcl2qak3c1t7DNCfKBXQSWCJr8DgKOwct//MX/P9eCcIwU0jMahNRI0+t+p1cWhTNkseD0cmSMTjYv/2AKEF7MDZayWCVAWL4YlfAeTugy53DGcWcndO/0I09gu98SxfRUnwHgMFek7GfuTjV/aLzurEWsSV6xhePlsf4EKBbMvCXMkfxvuix9e7wSY1rUgJlqqBkhMWvfXG3Wehb3r+lvurMXh8mFsRCRiFVTAjLZqnrSaDoQ1qFgU6GPGe4krrt5HiXNk92QsrE7TTEhlz0bt7eKB2u0MUClPcjZU2L/oe8K3p3tYUzpw3zjlS68esQO+P0OGV9uPdYJ7RIYlzxzfe2e8yiZTd5/uJ9JKE5GCRUVCJ2NQRapjvuu777hbIVRc2UW+f1Y8fYQ4ltLi5rQnjs/jwlC9K+Fh8YJfu5Yoeef4Vbt4bxMzQ/yVyE4YT5ky+5lvO3CKEcclimu5mepdl6/Knk1+sPjJkPVP+HryjoYWzxaFVrwTmAXoFG08PDN2ERTYu2xuYnMW4aUljpHPM8BwIcrciydoxp5GsiM2rOfAiB/H6CsbeVPraVnDUMay0JeMc2shAJ5E0RKsjFMuwD0Kt4+qJEEnf+cWPBcy+HzQh70Ez3+LeymSeBjOjBdamIxoaLEhtDqhl1EWCvdGcSmRklGGIWN9xzVbIIrRE2OE9mZyWbac9XmadUYdu0Mgwu2jPdDejcz+dVhbg/SWu/Ro+uS+GwuNQM7HvkXS5cXU3Dur4sakBQnDcQKrA832wUscBYWXahfiVYatjk8yGYi75zh6JOVXDG1ujVYGTVP5efGtvow9yfGZSSbOZFEmlcPNSFGCaVc6pbm2sfMjNrRg4tb70kn6FC5c0/rhEiu/5sWx9gBRa0nxHiJWVb50FoN05PV8GWsULm1dQ78ifiRzTmPndlu66Ks0LPUWViRd0DD7hRWUwphdOEjJGlo7PsRFaD9aij7GpmXrEyufp+C8c2AevQoYf6FUq4+ZjrF5//QmHjS92LRxqd1rUZL0B87yfnjm6N3vtJdadI2gzGGUGbhYGHS+7buA0BnRY/IXlHB+65prQxPojYOKIJnfnND3bnIaVYhxhpHNz8ZM459rRA0kYtP1JL2a+w2fopRKRxq+Ta+fKLrFzyT0TLy+45nbl6j9Icwz7GtqFIvwiM4kKawW0rKmMX/aTBFV0GQJDX5Jb/UwLjIQQtdoitfuOZdKImIRnbcZcnB8IVQ3o0PR4SYbe8ZSeCZybB4hvIpqWm9j4+7ss+Dgv/s5WAfopUnBPsnHb5TK9Cpyur4HswGVSVijwRPNuazasQ8CXcNlMgzbc1xmASOrhwLrkHyFMsMsUMUhKXpxSoQb0asvX+EjHzGQVITXqgg+GrtF8pU32LZwEJ7dZAD0V0dXhHYA5JV0O1CQSCx8hMHTdu9t3K1ORNy4Qv8OpbzK5g3e7T0T/r+pdbJLHPje8/FQI2eKCDNX3ZLilZenJa3XUltbDWs+hLl3VlhW/SWAnXW03H01+4DXpxBD8YSl7Y1VoVOfnkRe0eXq3M+LKTN1PUH2T1dQTNFZNYjlhY1uDcrebewXJL5AJchJhXJRPzTDAPAs/mHGzv58MfYD3u97kv750Fll8A4QrwL3yM3K+E4Z1Mf41XDgefOaIWW87QdF4/ooN3ZbwzjlNr/ZjjLRwox4iG85E5kuJnK5FqD7E9a/i+5pMbalkwqWt2sIHH+iMLc4HBANiBHo6c0Qb63od+zP9uSvwxo18WoaGxC5he7gJvoADMXIHxneJqlmRG7jLk5Kh2xXpuCWb1biQsxcSqK1bJZ35S4Ijj4HuMZ06BJTNoMV7dvXMuBeQP56ufyasxSzQFit6YE4ZDqNEKnY6qLgMnNtPHedvNAiTbla89eanWjjxtUPa1nWeNc8EwIPrJ72nQQ+Rbc82odjTkORTBRoee2dpA3LfOYRvB8BE3HjQUkMpO/fxEPVohDYuBnCuvMI35surTV+lRmYdMURUznO51H10nmJiIHaWZXMHfop94grRMnz2MqvLptP2tgye6l5hwpeo0eu7fOKLCbIvOxdA8qSZLaYLMd9HCJ4wv3bVRB+aE0RmgwLGEK+TlI6S8KhYq/1cNuuf2OPnmON34mqMt2nwJ8tt+4lejmOCQy2G13r7YTnjCHllYSPslyROOpA9pLThOgMNS0lIjosJrB3Y+oEJJCIM6VVuYIg3nwN4PcwwC8yQnSsRDAkoIL7PnLJsTNoqw4NbzH9BTOjHivZJEtiJHILZL1dMePy+RlBe08sDTxUOIuzblU1e/rdgm5XRmW1197aYEptQ8+Yky0dc84INHKjLttkzUcgn2Up74+yD2DTqIAAG8eNx8h/TFRV2YiAqWwZcMY7D2N+CZB4sYNLh0Knp+haBhNEbewWuG0Z7IpFoO5NCf9x20i5I4VeGB0vG/LnjYZxi3mGEKcmKHgLEZ1hsijbLZpGI3GsddBPQU84sf4biZTjemLVcmQ87MjBeJBRJxAE0D7M/nSJIAVe/azitqn8dhsIf2zec92SD2X3jAF+qDCK8p4/KE1tN/NlyXYjaqsCxuPblzyoYvhm43V9Msj7E4z4yjI6o53r3nGjFWikQnAIWiUeeg2KA53xdsnr1ZYXmg9IHb0c3/TyR/jAFzr2qaEEGEbWtDpr/HCx4frZKd9LBfDWKjtqQ8GfTvUUsMryRCGxay01N4+9wawxagHR6SVCUdVcNQDNOwrHH4BFUiMRAqFC2yeNn4C82fiHUgpUUuS8fF/ZdVD846lza+Y6tD8ae2PptZo0k4o/qtJv0u4zR6yx+irjIscF/WS345UQKg5qhxb9u9yXwBdXkg7qrEaC9UF+Xdc4E4vwlX0kuA5nmIIGf3b9JGtFXDIS8L5IgEh/N4KFbTl9EFGYvboSQ/WRzv9HiPmGb2+HWCRnHP1zDr9LIH17Re0uzDBVeDwjO0/ZzBPoSyjMuXqKiXIOLd3jqi+9uMrQAu3Xv2x9e6aFTxyhSXQ7wsRw1r9t48dlufXg+G7KiuMnf+uSdVanBbq/IGr0+IClBV6X22pW4oEHv4yFbWk+IvweTSAHrxjxjZFxY/hOrhDE0bhB3YEyWlEfm8N2To+5LjRSD7bNAXn/4bkTsAN1nEb5qb+4leX73269X+/kIz2t097gAZ6SC1Y+07W+ppluJrIoeZkTmTIFAl3wMs1BPlLc0eeZxomV11BARzKbtTNK+h0JnkEnqUrSiwBUdnpm+Tq2rlHo5ZZbplU7GDd25hCreUHC5WmU9qcjxhLC53NONfGayT0c23v5/LX6fAbaDfPYCyZrYDkXQPnJ87GObXyi5+mL0HIQM5bK9D19kn+rkGEXutixLw0pk5FdR0zIRlV1Wyhs7VuVs0ZDG6V54kP9Zv1uEtRBBDmua+BO5Q/h1YsO+jiw3uk3nYjUnOFKSTBowQ5oKcjuJEYKitzTgOkvvc+Bi5p7Ovd0KpaRQMsjURo6SAO5EYilpTDncNpjBaR93g5NdcXqxecA9hY5PBa0XhMTc4fq02TEKUKb8Li22NZlELx9B2MoYd5r6wYDAcUzVit2qLA/5nV8LNz9IsodTZqadc2P4IZFC0tEtCCwbewHurdxYrE7ItG71g5af0GaBHW76KV8bpitMAbbMx462EEO18DLTME96FicKF+8OtMAgj44YySlNOq2Mb1WcNCg+z8wkvYQzofVA72dwjW3x/ZAPR2m+8MJnm+7PHr37efL9wahc1ISjhoZBd2/xH8TcqKYh5Znplw+jF2kYVBQP8XAQOqVOI3yGdlDJDuLcUlj49Jw88UuphvlcDhcfZil34bMT76e/DNEDd1z7m46xo5RXJM7tWeL3ffXc0pZvn2THW7rZAsloPjwzA8Y9/+/AqBp9nNSHv7aUOvaFVDfwN7y6lPg+nzvUYT5zJC3V/oio/fObTXG02zcU9AzgJLWWytdUzTPMq+hp4lF7rDw9iEAeExvAa48iRYIGd0pCzr0k7NWpRCA/14iBlbI/EaQBZj1WsIDtVgHguDkBKpe4N9486DM3y5FEfPoURVSX/vU272yAIRuaEuY+qxU8kTxiPrefVFXrO04NDb0TRLZ+OOSYRe45HR09kCj8DLHQpnVzr/deVdlTL7ji/zZE2JYHVdmLnrQ0eXUQZ+cZumcCqydtckEksG/PW+ZU9lrfv/6bpHcfSNJ2OYvPwC1lBduCcFlMTC98H4maYpY+cnHH22ELz5kP+5smeK3TmZ3C1iNaxMjn+NGG1jifa3UEZYhdO5viMdfIfVW44WYGLz8leKIpsTjMK56JBgoZvNVpsO9y6XNCthSl0okXLF1EtkD6ux9DHpE7F7d5H5kSYRvEWwXpQVJinwXrtGwrgYsfFkgGkckGVku4kMFuDV/jB5l4RBUbjilOcsE1e8yGwvBHA4K1kJs4v97pSeBW/LaNXJTlUlsNDEHCYJdb8rT8nWKPAbogKzS3iEyK/KVO2fpOBe2Mzt68PCFMENJbkJ12M625w3E8TJK4t4Qfh37MlyFhyEZM2HCTquqaV2fwF5uFgLHU0KZ7JT5wJCv/uYbgw4lxP9MUsIoIqEviiqfZceGTNmfXgTMJM2I0JvzO5ENelAQW6qb4CvtlbO/zIn7M9mbj9sspwRZDFLMoXBWEHmby7dGPlS9rfce3MgnlR10O7ktuwVIox5hZ6t5kfslbKFNJKcMeSZTQGO3/O3MW0kX8LGMofNQKTo6GtqKkYTIeHRWtkynmctZddkY2z3p0QJhzgy2B2rfbrQ7FluZ/5HmOCtGgD9FV0K+8GI/BR7dwVyS6BWzqKqMEdGxf9MaaxhQNsZiMhI5hXSdYeKR4AAAJh1M527yEcfyidHZ5UjYO4mFeiCxlTOQ27D+9cpZQB9rVqfYPPV3PDSYYQVRwO499Jjsc9MEiponXoW+TFGpcxH5phiKvx1wtaJNHP5HwT+I0M3zFOrQSqQXtzfFVNPnl0URAiKlpeJ31GFuTFeg4donYdNN8X/yNcWxV9/fkioY2STAoj3OAOSbN+VSun60zxuMFpXgN4UOEJ1J/7rQkjjH9J+/YE3fcEWr8liK/25jQwzBVQ+Q1O5S2Ikd6WDvNZgMUMp6XJdwlwVE3K1VBUX1Mpd/Ta4LKx/xPnu6+k9G3sNvyN4SQx19vvG/rlgeFSTQ26IKZD9YkzLfUzG2uOkW+tkV05H97f6ot78Uw39ql6mKA/x6cumbyu485hF9Z/URgV3C4Xu+fdiWWgX/yIl35JEDjWafi6keQ8NwMb4rct1QEjyqbzQmW1KZSZ+uHBv847URp3MhX3rFb7W5KAmqvS02Zq1V3wB5RFsQru2VItZbbrwD2Cr6hfbvS+jbgvWTJayO1q01YXHa6Ff+JlzNq/35aoVR/LdYVBxiIm05xfN6guIqLY6vzwK7JlkFMToCSFenSk/LCCMbTsltV+XZjF39OfjhtFBjKl2Xtg4M/VgUVL8EvI2yWuLaQ13reBz4SILMo02lYsxGo74Hr2AYgiISPt3UNSnGSFLB5lliIyJT30MOh4G97cUnLKVohc8VklpFt19n2Xs1zysba4qt446/vG36tMEkqq8yUobjtDglt+W/dYyEUNMfOAPLd56DnqTEsehCIQ3c8YVAAhhuG92RcLY2pDlAFA4V9zdea7C8Rqdv4c9LBO20vTac/gckd8MJuZZW3nkmwqB8BumhTqbKQKKOVm83g4O+XKQAsgMUMboaujA2Ll+xXx2H+dDO2EHxu+vwCqN8W9izWgR/67y4SSBUWHvysy721jpyCRyXmZlfI8UEiC/C2DM1K9/1+SmB0CmdEmtdB0lFlrW5jXDp5HXPO5udtAkE+jw9u2XTUKeFimoMyTFO+k7MvDikD7U3LLvI3jL1QY4puI1maSaUMwhHRrPAP3oA1IzISP0IyKS/BRY6D4lPpxomahLMWRgwCwEcr4iZIkmVBGF8oF0X3lrrc9jlZsBX3v7hNoXYQTvfW7+K51u7JMzqUEudadQf7MtbLgCygT28shmy/5Qzd+TTsgdxrrTJ4W8UTkn4mEe6zEa9WOI7Q7L2/NRBOW2PFzhLVAJ2nPEHg/6Z6qThZHFp4O2391ux9Jofjaf91o0Zxt3CUjMVdVdiqQkh+QH1U6Jd/DCMkEQejeQ7ifdWtFitkgS0tOzc5iqD+YBtVHMArIBmj9Ew+nsdqqoPDngvqlZ/y1ACD17gAEkktwFbmjSiDyFfIXFSkxElakAUDpVD10cU2d98/WKwzJ2TJd0afYt8K1vu7dkw/opYZRrc2qUQYlhxu1KVpKhQJvwqmHyhbAHkoH1aNuZfaMxkDaWSjUiW7tSlFkHq4ynIE1vP5ySCYjQWjBRBalVWaUIZtyg/vMeQ8PWtZ4rnWPxQ94v9s+GTgQrmfWv8mTm5zt9Xj2r1FBxoBc47UEePI92KVMqj8ehnzfnq8fcZyeXxg5U/RurHEK9tKN8MhuvCAMOZ5inNMkHfgeaKMC6Uu3OM3o87iFYDJRQFDBNahLWsA7z5pm0SQs2ZL2QrL5EPSzwkKJzm3Mg8nU28RCE6OA0Y4rLqwF8oDz+5oIPivi/SmzrX8wF+Nl9EE85PGWFEbPz7d33mMDd/Ztirdng2F5or2TOuslXRp0PoByYoeWWbjj9jtm+NDRlewN44UNDhgv1T060UBdR5jJvaZfz52Hkvj/cDpTuKlvrMRQAjH26QyRRxc+v2Fsvh3cMw+DoAPAab5vk2ytdlHnL3X9dD+p6cbYHWFUUoIezrLZyYZ5SgrWJ0eZjaZn4iiR+RTaCw74H9Bl2NiWk/0vJtn1A1UOSVWObzp167PEIoW6q6TYZyYWBDeim/4OfFCFSvj65nBFms3k/aWqrJ35N4KInByfXLcceROZQh3p8kJUKpcA6QSymOvMyOAjvQy81b6GO4RZTcIZbBQXUC5mLoGzNoZiFe5uy1Eh6U9RXCHPEzs/CjehhreacNBJJjAPUKUQQYh0hvDSj5+UyjcMgF/GP0eByFk846E2AI6GJWt8sthro1ZpOltq43i6m97q3F/0/tFdiPJz2ByupjEO4xQALtargZHvI1pO74acqZunkCq70L8tWNAnAUdHt2OYkMnPt171OusLLW2ruCx52sUmnva3apVUCRYntXFT0VmNJAfjZ43X5BXrAkGKHMfLyDXJx7pc59ykoEx/qWD+EXweFmrk4oM+DDsAkZ2FMZEj02Ev6aImQG2z/AEX/5h5IbvHJGYi3B2N++gr+taJZLqMAF41qpyyp8tarBRrMQrSvzF6mZiT6UEoO8aEnUpFgwi/yvmIGblBVL2OyIbbapEr7XU540x/CPqbIrhw12Bnv3rzmh5Mbf/QtpUI/F4KXWkBxdF4hVr0pkr/Cl5TCybKL3g1kZfYx8GmeYp6Mzj0FpeZMWl5I0azOIlclFy+gtSDYF/EeuXY1baAtzIXcdhXPU74VQTFpkQdI91o98Whs3Ga05TBOxmxirwzP0K1WhdbifapSM5RN4GFq8tQutC46T52/RiY2jV9HM/ugpNuHbzeCCAQL8XHxzLWX56/ptbdGwnBuPKRTDkHePFkNBmJmVXaNznlifKN21VYpZaZzLf+hrafhPhDA+sh5H+vwZKfnQpdaburDP8AHl8xWzZK+ivDr5b48U3aJ62lQMKtd1bP+7TkdcZg9Cp2wfDXz9jVTeubdhlMMuiyGwC0Slb9Pc257inR08wCoExX7jSYgfJkzrBIKlMYcdPlfIgEaXPb/+Qvu92OJujwdBiinhsAF08Lu43HzuVinpK4qi7BH0rsN8fxI5qejENdo8I0N3eOe5iOTNdSnur0Hgj/xThh7+0grfi62EQ3YCz4CQkFXpS3OYPeP9uKB9sxuZXgcIFPpj90k6HeMPQP8yTGSaMuoTEzD5r+xIghnQK2axd6MORt3xA0ghzshVVrn6ys0qJVbHrqWTCuTmyWOCUJOGdEIOLFgxNTq9frf+CR6ZDbRcHn9kIXzkjIG0WWZGKXzJD+RhtgSexIqsspIAx5q4Ycttc7XMS1PcpfiNeGC0WpEzlS4oy9u37dZn4rMvI5jfgJpsZ2QiwOM5hoN0v9cZHojgCpMT9+/WTmzXkAPUZvCBejqIaa3H5PKPBO9djLwH9SPiET2nTloN216RQHmGwxrWTAtxPvIVSokE1lBD8yPuGJ5kov3kkfrpWi19PSP9Aa2ngRErCvpce5QkQX1O6DImcknzoeIp4Rro7dWkil5kDrsZ/1WVE78K4F/e0tBa82A12Ee8q9wYVDgz0xVMK2XlQ3g40Qv71XnMvy+7EjaB5wNow4Fco6jbRA2aX19ss29k8OPnItOJhjKCydtp8FbGpRc9M7pKPc1oZJjAS244ac8b63U+HXH8KVaFrxlDfqmGKIw2//3jo4KJ+bz7P060h6su+G/uD0EKiONMFm3q1HPyrNXa5qCRX/pVS9u5ZvsuHmRUEPS8wczAl5WLZBdgj5wlBSg3zyB2Sieyda8wZz9j7KydfEt2KUOnT0KMwKS0K6nRDjQa0D4YcZEm/slfTqkRKePGCbSQGbF0CmvJDQCdQwtReEOSZDdW94WnRoWxsHUOqPyRCqFJeC4KbyAHhPAbwru+oEMEsuoZDABbJHFdA5MiYh9mKzqvk/lijQCeYvJR1Z3+HT0GP7jPLiTaQtTCxF8BYbp6vENsDxz49LUvNPJns9kwlH6VEeZCcTHgTDLwL9Ua09ncy8K3fpMtJGYzvJGiPn0ssCrM2CcgFX6q+PrHoIWgSvw788zLQFVXBgRAkm9LXpmNMIqtR0tMCesLU2sTmFHQjwlzMgxsT7mRBWz/44r5E+yb4Fg4IU826TR3ApcndPAvNWoXA49wlqI0MXjPL8J2aVYl28EABoGRPDj0iHPLQa2NZy2UVgRG/GstjKbHRYBdGOSH/f92pbXRixmywJj/uN3dYdvQygcXtGjXFKGR0i7MHqgOVUjO+DU5WO+cU/txq9Ks5jDCf80rUPP2NKrtkCzg0493rZJCKMugGA+SlW3Fgt6yMkX7x1aAYwZHVrJmYrRl92CSbbaZtzvaGl/fqAv3UUvyQ4s6GAjaQbrzgvpip20ePr/WjiTjIVJMX0dH070TA60Ck1EOfLxHcVO5ihAFEhoU/aG6dUAzAM2M+3KXD/wputEGWFLr1b88O9FPNpQaCcKDZy4brIm/19nt4WY9Yxtv3qQXaqhnNk8ch9aeapeH4viiV7t6ANZqQD8LwIhXlR50P3gCfi2NWxo0dbvzJzzPgpAlQH618XysTlyDvmsPj9hJrFRRS8DVRGtpAs3vk6uTDwohEpkNq0S8XPJNIQMFmoF525dcEJlE8oElFyFzaxAp2GT2CT/ZhI5Tr6Noz5uW6NHEjRjwR5MubrT9DtC7HreKfPQaYi5LLgZV892VQEW+8yRmBBTFF+1aNGF6fTkIxE7qinBxW8S0A+iMA3ts9xvrrJ9iHmXWBwoOuCP7zV4tN5WsWO0HAxeNMIXYnhR6cdQqmGgQVbfBjONmXfDdfrnLuAQNYrUNFFBhTz0WKtttu1qZ0v8BjNjc1ReQvPsgZj56XT1as73cyYrK0HRMlkLr3+FQ24jhmgvuNYE7fzybPUIRTBpJ7qN2+r3Ml2e5UcIOAjtCoylxwl4tY6vRKXju6C1+bwnWzw5XAtW0BLPRQZDQkxPoHPppNr0kiobk8FUBrTWeu8K4fVCt7jwsGYA1R6cqd1jZwhPPmNV9wQBMtC0M2GDmYKd357oSzy9rAiEair0YNK5cs15fM25z119IsWTdn6X+4ORiJGR6j5VgfPzrzuGVnsTSkTZiwcTFyjGsO5A/JuCAJxaoAqZ1YhcEW8g31kxd8iGarFK/mfbNEr5UD2AWfbSsIav2D2NVtVo0t4BAePcrjc1/T24em+LmTNtaKSkPUMIrtUL0LRYOYhJanFwznDX0jv+FZtjfuFxO6a/D8coNOMVKIrXtYJQmdJF/7lMPEHmg/huVz4VN3lj7RtD+ocOQdEBJyXuD8xYsiVL29rN4Utn6oC4CZ2JBn3lKNKYXQAhdl6sbZFFhlv6PdyapW0K1UH08PQSD8/ee+6+PpwJYXXBeTEBlwiJtvtZxZyY1M4kg46oOpv5ecVj12CfCuICGJWQILT+nMROwNQdyxNFa3p3tHKf3PNj/VIITYNqdj1Mu4KSbUMvooNmD/5l7xOF4SOTwXc14vqayvUU7wWWVj+1YJ4Y9WvGS7S9zgaOD8CVooWR/WPm0qy77FLONZ6vXky3GX9/piePmR0io6gZNdBNkR/saMSDzyP3CS3eUQwN+hTWapBQtzIRnQIUM7YNt2L1+22F4kLjBR0pbBo7TZtuhnLavurqJhECHkpOROaGe/KvWHxTJdYFgcjAxlcpullB17vwAKKQL08GMY98iosC/5hBzdtqzK2rL8UIXC0iXarjQMzw5Xmyj1QVjDSJ4GrQzQYjWROLo/EjZH3abfbfi4XtKpXz5J2a7KC12E7rgqygrzgRRyApAnet9NNCONtUyHBQlM07mGBQ5zGi4B9fynp3rlM9QXBYVq9vsZsYKqupMDcZI6rcAseHTibs6QylrgugXcHmz6Sjmh2ybf74z5h91Pyv/zUv6hd6+wMTLHCDIZWcpPUyoQKp5BcYkyuDzQicwMcQ+/Vtq+xJ5VuIFA1fH5jy88ftf+adCP4nISgZqoagkOthNduyV5UtoRLSEtdYwRUI29adOjJnQMcVU6jAg7p0VWvXrH2cV8fLoJ1PSKKDmkpH9RWg9irCwtZcFNxiZCOuujLvPZyc1VyCut3wFSz3vMMXxXDQX+zzRj2x7gAVbAqW44aaxN/zT31OM9uqTUpT6EH1bL1h68OWRHuittkROY4ZbrWN51+/8THsxT2meh25QgVZoB2tE/7T3EM/hnmIaWadoUWmfFiKEcXoeXkMrNaBquCYjV51ppbl2H5PqIKZRqwLSNz6bcOMiJjXqPqpjs1xtmY/c8YTqGKPv48TtQ89eSTwYTe0MhpKN2j9uCy7sbYHCAPO7yBfHMtEFQjDV5V/BzR5Ld65rZvEb0ms7PEiyQnLR+jWaHLsdQIWxIrr0BY4Cyn8j5FI0tlEwDmRwu5SWhBAqYsmVjtgD60iY6lngeKY+W0d5XPPygMxU7Uw6R4hGGS8L6ZearX9tYrhKwmWRkeYteaKZRavpVuBALY5sMrA7HJr7ErCz59tjNx43u8u+wHvQ2qNX63jqOcX/NzaT/DHFsiop88Ig+G4spvbZKstH7wTN0a3ivFycz0DX6bzo5HCZH0uu4VAXSKBU3gU9QLXEgDZeZ8hOFCpXvBGV0Y3DpCgju0MYi7V8/GhKDs0HnxhIET+E5ZMwMGFWamPtdbOGkWTTQNev/l9hehvICekpl/BgVOratLInxYWLrBiZn+MwCdVJxQxjz5JpQLcaNgYH+LFeCWSs3l7LV2G9azl+tq4VUwdYpZf3FQVmGwB6jm2xo2dULDYSYb7aM3VmVnAL7TvZ/bsOIFS1nRmgnZRunEgllbHxngpi0LK/i9tB2PmjI9kHUo+GVCtKkmbwY8ZBVfnRyp2KHhym/ydMxtthghhmgVlYieSmVqhbuzB1W+mOqOusJNsX2nf8q0kd5DzM5IFRfBoTi04bS9B/Y53gVGSZYCmrhI+W9gIJSpTVd0OjivN8j3xTlK5sHqHGpKaOJ/CmhiE/c1f+dUmtJGeJ817OJxdP04EMD5mZ+kAIBo7pz1V/EyFR2bVhr5VXodxJzyX7ps8Rj3wKQP70SHHLmRbNj7ZTzWivxUmMPCshfhRMW/ZbibS8/JeQRAKLuF69/gFubWovT/Q2alRpxtZFnL3MvLamekxZs6SRDRVMt4m4GZu3c1prCA01ldp6g6QFsBUcAkYWt2U05/AjRS9yz7O9r45k6TEu2UOLY7g3V2FPjr8BisW49p9UNvsFF9aVKFIdJE3/cqrkKuogEW6KyD15yZaFQLJXw+TOjQ5DjoJGKrjNsBCaRadR8xyWgiiGB7fPRCs/1rw6vgX1FLiqFLJ4jggt2799vfg17e3WZlJRhHb4AtayOJvMFD8CNwClghzIFr6iWoMzrsG4OULaCgfJFaz2VoJvbITIV3W9eqEzuxkG/VpwQ/YAId1hHC6DVkak1Q9bVUOiR6IDOEhq8EwrILN8SGah4Z5i1JaYnvJDQ+blMu4VeaAtBLeBk20mQvPcqfNyOilDdFi8Y620sZecu2AyYPJfkoy9hznZptOh1KK1Q9zAqT2ncEGbVfQ9p/nZKz+LY+fEPrMRNZZFWsK2CcRobUTCRSXSgj4fhM9y3hAxmF7HcL0JK0Bfmpm/7W55/XrLbNchoigGDZYiy0HdQp0HzNBanQFf4jbh7hvnJivmcnDLwyeLNxmURYhICO59ZCcE7SV5lKUB2pxjYUOUKf0Ax46v6bfCB8LCT1iruLrzDY8BxU0WdVBKl7sbuQHYXkvwsN0t/buCF2t1O9I38kK99K7gc7JOGKHl0E2i+mr8/PPdnPLFeAxbtQMAuZMaAIPQsNnvsLBP48fJnsepDlUQ/YQijpqX6e2adkBjnTAkcPQjE9EnGmCC3JQCXDw2Je3/GSNlHgX+x4eBsyUxCFkQ2rCrrdsliKJAiJ8t/NSE32IDM7HGuUbr2ENlrQIGKRXHcGe36vPptkNcQGtBb9MYUOuvVbdyvIJIip54jeoNbgM0UJJLjVeWoHsuIMaE8uzED7L1TwVbwwDTrBoYBQjszZ9xccBzQRw/BH0169zoiqEblJv5Nex/efi4tfR9gDOeUTMie4Rd4bV/s4Uqx9/7OVrRVS69P62nZaGOoo7ocJw7vASYE+upDxDlwDVORivt1vlr5oo0yJrQB/gsw/WUVpvmbiiMuE18d+b7tyGPABZgVePUqlLyYkM2E+G0PFpj2k9LDzvhdV80am0iexmiXeruX1hzdGa5zhFTzUcUfft+aEqq8dVd3yt6oSsgj9F+cFFvgbDOAVwO6Ck7dIUIJ+wcGB1k2uQ4o2IbjEwjCuEe0YzGYlljBje4AGg2urVTdbMirHTk096kjMp5zJtI+ejYlUWPRTJ1ssoL/Ql1+Li0GcfYVDFk45ejWnjkAqyni/KiKptuF0N0IdYpHv5VJEBOcCRrZHDhn0RGur6pB8348Z6WLnea3F4ZjW4/H/mrRkA23MjMWoFmQ64nsWVMVnmigH2S8hRNMw5TtWw161zvj4cxaNlvO2fks9osieREGt6Nmv597wfVw3GO8vvnfm1ou9DWZOPvs9AUqjNQePzK+zcObxKhco/UKcq7aIyI2BkqsTVN2Wpzf/KOpf94W4zRg2wGDm66IX6Vkd6ZKy6vvFnBPw3H4Vru6nT1SKksaT8De/097DzMebz6/+q/K9we/GjKWxhVPNTM+0VwTEtouuUsfOAxxhJbPPARA/nFbb6Gl2ng5JUTCg5NjcZ/kGkWSMJvmS0C1wa7GFLJaB7CcF5n8dITRVTgjNkLWak1NXZzxl27Qrf5VxiRkrhpiO2FVHhqOVwWtJdTegEttk06KG04gXjX93N+KbC36SD6clXa8XhQ5M/OwZ2ybSk/SA3HgJ1/xGHLv5mfrbfN8Tgfo76EQZacUNc5baGNJ+CJL/bG9xyVPBepCEpJCP35F6gy3eeHzAZzTe6PVJQCwa1LpW+Z2ZydUoLqVwZurgjEMT64Co7o09X+umQEPQSYr1GkhNb4B9R34Qw490kl8E24rry7odKcPCgM9a1lSlz5J882rWdcWDWGlkAiJXpnH3Gaf5CpTA4/jA5tLy/nNa8YpvHgwoRCf+q4UXFHl/hZtH9diq+y6iH5BbSX3jQ439nKiQPl/p6CqpU3naVsMJGbM2dxv+GEvKyAVx21I86h/qq4o+9zTVcozkvBkY1P/g+KPPa030Hroxo4zHbo0NCjFnJjSKSND+XKMvr440fqP3o5AumJSnFI3/BrxWZmH2funGKB5STCRzz6hLIFLZCbVvyMrdIqB10zpp1XbLCKz45y0gSCFsA1rchoKKtwGa5PP1+w1pr9/rAtUJaOLfkPjMiOlEqjOIBLdvCbV/3pTOPF/H50pBV6SXO9IBRTRnc/YIwkwY2GmZ0g1bGa1NRCdt9BZynV5E6e7Vfft6UVuq/9ZKyWfhh7WDJqaA7+IgKiKZemjhUpB5diasy+QEEc3A+RBtB5CwcG7YI/uPjK4Ul1zJn1029sM26FeHqq40FpjKpXEeSbKCgl1QGQNZsg1L2/JJOfyPrddMyqR1nr02/kdvlc9erZfzAAqmgWkdAQj7965yJZaMNgkhPZ1LT02qrkBzt38iCphHBLjn9dumZtEYHC9fuPJmAaH0hl31QxzgzT59KsfQrfpGbwILMtnzC0z/Xyvm5Yu8wjyBT6Zss+8/NZDS4ggJ1HQRCmFAtvEQXkARC97vuTKZewj2ftIPy+u5rFW6fAxqVJW6Xrgl7uALdedvCvoh+3yMGXsXXPf+orvqna1zfnwM4T7QpGSuP3T62LG+hvfVjprbqqGHPZHZIeV4XV30E1C1zikgHOaTgBFnKOI5dPsuvGiuLQx99YT3ApO1CgEiFd0USmnhodWNbsUdDpyErRYy0AwWRUrCU4e/LxCbjQV7BJZ636y3g7VIkh9mn1YXxazoASBohAW5ytDXG4+uhnpgZcdC5guIxCp9yF8Ufp+Ma22ENykGX+iuYQfRE3oxTPakKs7imU+c9M9XZyCrLBXsy8smnEqVMEEfcOiTnBu538yOdpQRhjwb3O9bB7Lcjojcuxn2VdvTq9vqfGvVMYVjzM8DqxbhJ4+xnyJL7wQclKYhI4rN83BhiZ0rVKVCmZ4BxjsxWSrXE6udKCdkRCF7tneu0xazzpFgm2OlqJKZFZjIGu3RY9iCy+dfEw59R1yeywfVEEiYBVDmoD+XBNf0o95hLO8Bc9rdAKu0hl7DD+UG1XviZ5RSE9j9+Y+oXoFJ16b0TMuZpYCqzw1OvH8Q6BpHSEo77kiNRjxVggnKVVciKYLFwoIk2SHXbCiHSA4+WfPW7Tew+2s83H5yXfEF0vAq+I5r5PfedwwTjdLRfZGSKj9XI3sMx86ktiQFFtqs/FIl5Ah7hljaePdiq3SFJiOB002LJqy7AzsM7sV9UDuPBfctz4IDuYzFp1+e5mx5v6CNWdCOYsdWq8P0qNUDhEn3CfLF6kUUZnc0knDzDAsklDao/uJE3nCVQr/9Fv585iUtL7uPUSxIwliCjPMmWj/ywqYVI/PRw/PVh939C4BMYqGbtL0q2deIjPzpsmkGa7gDm35IrLdtC7YVSHkxajDHLRzKTVevaAuqJObz47ZUmiJeqQ5eVdcng+v6A1NWLaLIuGHm0qELjVtnLHm8EadyviJ3frhB+OZ2DX5PfqhKFtH2esz1nfgR8PRmKFeNBopTIjNJLaKF1Fp2sriVDozCKl6hrCPHKnX3BZJPWr6UDulKZ5pTGeaZZXCk0vWi0ALEUQnMt1wkPGw5a/hLOzb5aMDPLrSnEuDUv/wvWewzilFGbZ+iXH3ta/1vdRCFG2dEN5Y51/r6JCrYCIJiFOXQAkoRrwBc7b3XkNQvNbW0E0wjNrY9Fgw1ENh6ACy1JQW7LZ6GAROuB64RkqR9t23tWw9VAQfErH15Juede1LjvDsEdlG1etyd/YQzFP8F63XNG1oGbfUBfXUvCj7hmd1qxdXy5B+/v49G/hq+wcwoOi7ujAHy4df+Vnd11tgs/1rk88WjR1zAWRfzfKbkRAfwF5BenonJpk5OB414dj49eiBNswTxmniMPvHka3ZNa338VZi4td+W3q9xCcm3DAnYAC8ICjSy1/zmOxtyYOh+EJ04OFL8t8tv5hFTsNvyCKmki2OlWQ510FLS/cgOZmzuUgsis/+6PWEcjjhf/ra45E/rKC5TT8T1LpkZl23mhCuoX5PKkwA76tng6kKlYe1u4sng7EnlpAxNE6PicPYh/aAjB9AJ/MEvsmQrjQE7SQjxsBb1JVAEHDn8hksuB2O6ApUJy8dvx8QD7NArZpmdP3JYXTDXKZVYMHP73/eyebeLuvCPhViLRS8+UbKKKgt9oWjL1apc7opoa1ro5lglKHYRl5YcRIz7PddAhiLWzqgb58QCMMD1bIZwf/sJWhjWfLnOo7ZdIyj/zsMeaN1Gtw/DBeClB7ea/CksT9lDWLOqk/yw7lyafsPk/xKkPmgJRBgL23OHSthclOCYCxMNMLEssi+XzXq7tHK0GqqWEj0px8yFiz+J/MTnVh2BUgsfnFvdOrzrraUlJ4lB9Em7CNv2Ezp5pNRwdtz2hF3h31XlbYK4OGLD1y04Ks2dUmdKqYM8g6/BKLbBba/v2a+8vqNB12vDu7VDEqyRhF7r1eK/vz5BTHXrrE6CS876TYq2vZ2yQAA49b1fLiDdU6YQBJ8E83f3IQPst9MK2TvCGhMg6t5dnPAfpPOUQe3ycA4ZJmXnnemcZTh9eM0oC6PLucEkgNy3sdFm+OXy9/UY8BEV7hDlPzWJ+X3+p5EaIQUfGMvjhu1ekmSUsA8+Wk+MZrW6DHD4S2r96x70l3A642JK+jAqRuEoPUDnGPcYiSQNZ4XQbMzZmSVX6FnjyYnGwZKzfKZk/tzDWCqDKz2VLEl5EDCSm/owhqeMYbzNGBAKgaBUSHVNfNDSjMPxWbiojhj1aP+OjnehCU2tVUAD3u4GY+/ogfBzwkPYpiAGejA6buFJsjrVF7xpVLG1XCZMDDKAgJvHN+/+qHLet32hQ7F9mQ5TQhHwNifcVPFYmvEoMze8vjnskh0/ZxGYQgJtSmlfqrX1ra2WJYFLNQRQav6j/9GB73oQfeh/CwmlPAeLHdsGimWI5lrNOBSR4HoYITkiqv2CmqCt/eiG5hs9y7wXctVhtYWmELbx8YSeNEqFSZISTgw5Yz0ZOVFIW4PxGakCGcCLGwuHSr8wYbTjTWUTXDKKDJjQ5D6/HcvVNzsRphMqoxjWYjKs3PyMX+laFUsigTL1yVvfGNnHAHyyeug0g02lZGlTf1XDihwQVCBXfNWI1D2EBucDkHJJQLGednR6rt8EvFpuSiX1/Wf1dc4Dz4BCZKus3GLvJ7yzsPzt66/fpGLLo3RJ0VkQCcCtQboxMK3BOyewcqhzQSC78z1nSziM1XtJpumodvvTecg9bAi2cbSHZDO1sGdEZyNKh+k3H/oNkUN1X0+qpnR+cn4WkdzuKSFifosReqss3803i2slHg75J5EAAPYqcm/C7j5aW4xaO2BQ4ZhHM9kE2OwTYQzd7qe4gDs+VtJxd4No9GA9SfY/395hX0ljUQRu8ubOIXxOG2Q8WfmeLuh6f8brVPc7EXqt8FyhjAU/vNxRb5lGr9Mpwb0XbumYTrp3JMmlxdQry+qnAiGTrmCT5VCXcUqYCbDXWXaKpgH3yRr6N+t1/uRlGTZpM26nR89QdKIpBm3l1+NKk20wGAyILC4f/uPjRi/4NEjKzqdFRh/oXsiArWyViHPPRP6VxDkEm0P28LuE1tDmtbFkOvSL7yXLHb/7HsI+qngHWZgZxruYII/pfHxpNICUBQUuotEk6YkibUoTLoQa8Gj6JW0sugfu1UaYO+r4wy2QG83PjIPyHUBIRbtbqFqku6wpOZm5ujATfC4DW0i2brkNtpuUVUzhE11+iOY6b+E2+99y+p7KRUtR8abareTxOpFEoSmkrUkZZpSp8lYhqN3aTZap8uUkbPY9Jr+7jnIpZ6UWfQ+3xxmhdMd1S2IcHtrwejTZxtCiJyqRMMfs50BQhTzN1ATD28Sa1s5/LoQmG9ncUdnNb0DRZKsOae4pOv6J7N8L68YV30Ag3Ei9rYbkPebetJmzaNQK7Idjr3e7uxc1phtM3cxG86qubIfG14ZS/1cNYkEqD2X7d3NNG3FjUAe4loCnNTsWuBmC+dm348c1UTSTWKUDZioFV7iysjjiMLsy8X27NWGcqmSv0V/MiP9djk3Roo9MzmfszdxMFmBZJ14V3EOEjVrg6zQ/SdWJiSdsU7h2D8G+FpWDb+PMVpebUay184zRJgNmCsJ1lEuQkLhgFpCC5gvlpl/lTHIqupFueUo6638s8UVMkh4jBaFhnpSHvlMWVRmdDTt4ibx8+P65daSwmhM8dnA32CILWAOBGrevKuQX8y3xhZrJn2OmdeZpLpEnbEyVcS8n3nkuQB7nPVYEVKBwJjCJtuJN6XYUZnyKE/MA1EE8SNFpc7DxTWrsJdQxF8DJw8lcm80hAGX11IgR6vPbr1K7TQDojDs3LhEpdCajbAD9YOzmLwyC61xF61+Z3/ufgOPlMJuBApUuEy1pB/IGn082s1aLDLRvCIqWIOfWVnyHqy79/vpIaooHRaSIxRmjEeHKlauaCOa/xThmjuO3x2URqCyFxW7Wlsbrm07d0n9OGK+hfLjUO5ZFOsoz78HrFs2W7e+O1n5Y45cZw7eC9HM+nMb34AkM3axIkPhhoM+T5vCLjuao6t/6hV8b/EPz8k0o4ETb9QHBYueSLSOTusaReKlpvV4h83M0SanG6ic8CbCOpyW8eOgxyXKt8OLHXf4+UsTrE8QaCsNLpXpRbCmadvU1M/dGK+iPzuSxTeA4EdvNe4QKJPTB5Ryxv5LHsQmE9KlvRCO4AVNenZcWrFRAbY9PhyV2TGo5mL06TFnsSyMHyGYixapyv64+UHefOkOQAlgm04cS/KZMYVj7TNZXVtuVRjlUIe4NPC2LolQmWDEIS+pZA+nj14EE3RhxQmVIQhStS3v6PmWJJ2PBJdGwzk1AOCP31/yL3WAA7Uh54UlkKMiWzoJ21WV/USDcTDqH7ZaBKh5zOxu95MSiysHlJH8zkIS5Y6IfEnL7IvpyVIEIPDWuFq0I5GwMRqODxYvwQznTr+I66YAe+bcNt9Pd1Yj0Q2FRxGCwLakZqQATji3m993iWoVx3XvYuzaV7MYNQqRkQCmc5Mq97MZ33Tzsh65PF0eLUl9VCkt8jIZ4dZyLHcg9PUpnkEprLduOIIw/NYeqRYLw84oMDZ3RB+UnVyXsJiuNYhI7yZ2ZgRqG4pJeuY2Q722xVs9hmW9ReOfFPEOOzsdUpj3qmgF0vOlJsGHFRLFQkcMCbzSbpg2Ssoi1zorjOmNcHvSiE4oY3Vu7KRzi82H/h/CHNDXyIMAQMcZDpwsoOBRdGdGMzVJz0B9cY5gyGcoy+5RKlqvc2e8PmMcwJCsMcOz2ZBHvVSD+7kPP9I5VtklprBSvMqxmszR+V/wuI0RHKKpeWotq4h8g3TXftqrSMGoGtjfjOzJehMEWjmakn6AecDkmlLdVEI2vufyDVkFjuoiINeb8xa5Jptn5SEP+AHMjQSfbOFktWhN6IkL7ppnJID0tiFm/Ea7yBfrav+U87Rg4nc5vF2K5sG9Qm3889utK6iwYiO592ZKaaqAXcKg+WfQDJ4O8BMRfYnp8vEdvUTy0CS6UHcMz+Ii5pwBEoP8IVMnnepe/rivI4XabXgyqI9+bt0v/bzM/V5T62YrnaY30ZXxknwp5Il64cEhrBfKu9VDv7vYez3uTUJS06YWawG0wXdQJYdsU45Kmk/tnojR5Q1LFmQmpQKeo0oSqTmUWqN5cDjwXGkztVF7lDuVsol3Qv8piRInfE3jnNpgKGvbdcYYJlH2ZZKVqzz4zgEJ4S0l1xfXRDuH3pSQ9bcLDG3OvFSm2DPQaM2ZmALxIGlHSmoKzoZIUFKSLAx52S5byGC3jsmMeZStGub6/hiQBIHmu/+vkDjeFg2r2aYFvs1KtctnZEPIYNk0W31riXaPlVbA/3J8deIsOGIK3cC3aDShs9cE7RI7My1vgaq5J7lwrTxnJWxEyCMy7W0jdnkFHSrL/8cLuI7BhsdZIii6kfGHLMPvTy14dLxhypHET8qG0i/cuLaM+HXHjWd6hCLrA+9VU/64Q5LjyWu7AOu+a7FcwLzN8n0Po0/p7DaWqZMa+4+nfY1LuhdgIzwFVy3RM+QFjaO3Yrteb3KZVWZoJsx8T1nU6IuU+9ARIegX6okTFkwkwWr0nsey7827cgzS+C9lw4JyHst/w6toVMmE/A7264u+ru4o3qla9X6ILP+KfnL8Aj4Xd22LhIS4Q5Vm41CBoo8Bk/LHJzXV8tNhCLViTdBwfupRV5M0inFbZDr6P6cIaT4Cdg4S/EPeUNaUzbhJzgd4HoNh3g5LtqxKUTaha9mBuAjicJ6ru+Rk177RZbKR22bgklSoHbbQiwW0Uaf2cIACfiB7fCFiEhavZs1m/9H2dLqlE2puxU6mE+YAEqFFTEMdWNl7sWdFnxZ7bSIsC8f5f84wiYyzLTgbJ3+MMRjFh3XJCJkQ98kjzH13M15Kia9qdckCooZnBw1LAwTJtkeSccGwLta0F6wSOKYhnmpZpoohyhHNwyAIR3CHhMLGZZFDD1nthcJUUaE5iWKi3vHusdY0FXv1jvp/m+9HcUPCVO2MybrqrEwx4t6RXAsl5ub9aByAfZcDRJPPidD+SB5mpAXRlAhaut4s2wWoEcgp7QYhJOWBnpBp2Ajacd9fE/2i3FW4zM5CNEe1oRpB2HERNeG01Ydd5Q41xebnzjahNsDxlwCayC/e1TbhvggCxBjEQV05N6vkUy3VZ7DWDpXmVDxGcB4SXMU08IppHBOIxGbkslJaNh5mVe8QzgTQX5axgQe6+1QYZVZjHdH+VrGzrwMz4d2decp5FQ9vC22Yb7TVMRPd9rxp0UymiJMnxsa20rjPA3YW3dWFXzshQepm29vmeXfAwqaZpyce4aKT89coUed5OFbOifuxOqKUew5ti9ds0PBRfziLXCFk/THvvnDFMXTf77/b+S4TVeAsCuy8mHfc5TfIuSoFVK/dgNmvqvU455nPkgwrFBnPekliFYhRT7FzAsAJusdsbwueiqjgwidywvHwuKgya1TKwDv2Iev9b+BgQ2AmLjqYqGAoGO1uknNrqlirJtY21PtUGVn5z+4jbBGqrMkMe6s6bc+qe3CY/ej699ye+0y/UjGPlUd5+YDLbi2M3sKkoQWON/k/nYTnGUBl54QImJrZtVJ6FobteSLvYrmbq5JYiTdhZE94lijP8kNlIlcZSyo4Oa5H685SADDvZykvhiOn+B5OGMzrS3ybDbspHdlrqlhaaaumZkvV28/rvjo6+PaMH2+6DFFv+/8FSHhPeiehjTLvhAxoJx8Df/bmY2+JxY7mUAKZ3cEYvcD+2Lwp/XxQhGIOtLfxNBd5Toet20ANZTyXP/C9d/HrdX6H2JW1Fx9jvnE0sd8xpr3sHXPblQCt6tlVXUkBz/ZD35hUe1V8KbaNqRrsSj3rFbeI7PqCUoaqzd8adiCZhUiQnvHzWTQ3dy9d/MV04V41rDiWW70wORDeIAIp93IEU+ZI8i3CLdgINbSPT+eFOrHFcPu3ZalCUKKzpm7TsveMoAE/1EwL9dcK/bV+Ajcj9pbY6XP+ysu+eDFWeTQeQSXI8+pJ0K8X/3nn3XVfPHBJqOXFReDIcxvpBOjxKbVsmRPusUtfx27wD0ajDV25vMrwTFxNoCZLdL/3ngpd8RE3I1vpXlhKBUy0rw5VkklEYsO79NZZ5lc5Wa2tL/Wwp4KeoXiqcOppO5Y3NF7qNUsPnV7NiY2ncDi/Sh+BNbhpOqCIKiqPgiatdCZKXCxADQQjBcWFw920lg1EQr7EJUuXvxezqUC+V0Vi0BRAlXohyxt/mYnbLi/jGU5kvQhn9neJAlISHeGjTJswQ6hxkVGsZ2Fu8r0SuH+abLXuODjGt/9jDuREexVeO6cWJCqrNt9CiMkrlqHBwqsynleNtJwUl9WYdlM2LFfO0fI+H18KGMn6zdH+nYmoJDyjNEfE8wl7ekQxKcdhz+ILL0iTkx5q+/4WzOXiEbqW8Z3RqJrdtQ/WApulKDpYcQUFhKTeWpmke6vRRxHIrsFnAVvmS8LXKnRqJjjbEvhq588ApuAjGsFw+W9ulN+Ecit4xzcPS46RFjgZabmi+oLr+56sTVFZBzG0zz0QvPe5In24X7ZUOXjzMATPtgW4nR8/rv00AW9+LnLLvxpGhOqedhMh8y9RbuGGtz462st+ANTqAxUvdflSVZamndKGhmQ2KWzOX5FdDIWlK8uwAvOUvp8Ohf0PkHr2Nw3EZAiAD0RIy8PQYFHNizZZHpEpe4V7rG6x2m7RvFOHojRO6FvxYvkX6bHD8ZqZ6Et1trbFJaRP5ToITyr8WZpekIH2ZxpeajvhxgaqECbXpgzvzF9mGN8OlMY2M2+hqH+G1HFzWexqo5eawOc6FblyIT0Wz/KVPJmZ5dYO6hRJs2lOfYGtcZnP4ap1Ecj2ZPaR//fwf1XaRKoQ9U2bLZjRDLMGMWQMBkX8w4/1Mr5ljz281QDPKuZVB2p/Hfh9Ke8YsaxtYmbWwyfUCTM7N3Jdj5gTnd41odsE1DwoO06U0KHxRQCtoywzVWLnLd89l+Ks1xKmO4jLGW1vwqhvmk9yKLEikoqDLvYcB6fcpckDVzqAc/vC+CfuPbBe2CpWkJ6T9qDYgyEba0IYxGoZ5aM0O5K1ezZM/od+azsFsNRhSrrbZwY1SLEasjzASuQ6wDRZfWy2r8s0BP6BMKmolPTBbP43WKgcW1nXIX066bacLD5uPIcC/kMtwN+b3w7r84F/soKBzp5iihg960r38bfWkU/C3q0hW20Std+QVDKINz+TUiPheCqIJAUdcgEsznYKRKSgqVAopF8+80iHTqe5uaK/jElsRXXr1bImIFf3DiV79UqlT9Fik/F6oO8+vy3Kd0x+iTL4vnoW41xSsP8X4MbPytLykHEJulhdKwOvDltZBot0ukg6No69EgVTIOFc9wufXHoGi2VfLn4Gus4FkdneBfXhSArrdyZsnp5Mc+auvYlSeqvYLShlY3o0bU9FIAc5tK9B2xASowU6XgmP+PSzhS16P9YFhkMD4U6ABg8k4mScHqsf5AinECnS2CqUruOy7c27m0szmX/Jrh4Sz1vflKJSiBloS92nyQynzkY+BG1j7hYQ3ABeNBEMBfleLdTMiSFJ69PjF+Xk/Hwf8tdN7bypAhdsnRevsdQY0cN7g9ilAL3Y4JqNagvMkefJ0u79iBMXHj1SQ684OmPW07/Geiga2vLPY4ZbcIVJ5JnszQsoCEs7bSE548G9D5KfG05c+in8AUdC83twwlOpiqu22m6uOAbF7At9joMZRRxX5IOwjIHc6d97B7j78CXm5k+L61roo+zw6BW5dpGZ5hEKFBlOu2AMG1YXozl3oSKdB0cO5HB5l4RoRccd2xovEnYORT8SFR3QgXZ9C2Ue6zHY8yCjtpycaPtbC3F/7ed/5e4yXbKvNwrDx8iwkw0WQZO4kvyLctAy8JGZVwCd54QdQC9A4l+KBkbNLuhgwxEnnZtghCXVg51sggAQdV3xKucjIPAsA2Bd/4mdOvCo4BsZFGJnHQU31EYGT377FfBFuPTFm1EbAMaxI4JPgYBlNMXEuKyX/UTFySFwtrQbJZwEMNsLspQHsir1ftjcq/DCB43U8t09bCvLYEKq2ocKIG/W2TT88bQAuhGqsP6rlFgoUQe/EaVO5gtiZjbZTaFhcvPM45xRtksCfpuA8kLPBq+7pY75KaFzd/ZXFjD8pGqIao3HoY0QqOXkJtf/nszoBcOGgbxkzm/AFv8KsSg3x+uMR+n0EIekSfXumxa/rLL1abK24InyMl79w9ND3ihQoHyxNSNyXsL1AlEiVebF5E1GacK/MKraDRr1+Xlye9epmXDwrsjTYx2+V+ZwHiCb3qGuw6qfnKHPSd+ykEafneUzJyH705M9LcJnKu9hZ2Tqg1/pWvF6SqYcW58jEDwwsdZfa8lPCOxtulrmkUAibjOeCVi2uuhNC+UqA46tygyQLim8iZXhLCW48hVMT/rXH10bQ7V7RJ9O8c1G2CWVUN9TQ7CadBnGApv1fG28R/UJZ+OXKlFidzJLEaK8cphGHcb50pAdb9QDM94eOCpDYR2OQUuPBwJtnaUDMY5Y/rGIRmVCyKYbxpC122We+wyO4XrEIZY8coefQxpCWom0Fws5YIY2UyXt1/cxmZ6QdSCB4HF5yUtLg3DnzkRX2h2HDsC8nAiB5yfxmMhYP8J/V2ERHQfQDOABAsAZ5nxmbMa8JCYugCXtAB6VO2wwmspBk4pQ89yW5HePiaFo5nEFUWnO42HTu0/5khQY2/wphWe03gUZ7hrfuoBBIEuAScNHbClLQyVRUwn3rZJC5nGu3o0Gds7RCRwiErVCYM+B8VAtkW5xwvO9DiogDTi2BcnsO3RplVfL1jh2PzbTcxVDXutPmX1L4nZUA3NuXa6y71Qlapu6CDxk2pcDp9MVPSH/+ILbWFMSn9W8uixNodKwK7rWnSoQk8uuJkbZcedCX/hudjYxXTpQdQCtsgTp8SDUkcUUhNx+4WSpnybvsc7i3/VSpIARNtBRlFYzlwuswwRKDBTOI/bXK1RJ0M88faw07rq/okTA4KsgqxpA+IpuNb04lXG26VwKHBFtE673a8wPv6Qb9kBl1Jml/NPyiei+ibd4wEUkYl4nuSa2vF6BrefmkBjr5CohpI5B5dfg3T3N31IgPCaX/ZMe9xIiqEzHMpHkGV2KKfnKTi5kOtQTafGCHRIJLh0MoqPIrdx83Unf+5S6I0KgW+LT8eM3PH1/h/eiJPDd+QMYQ/LbLVkM2xD7sGaeIs8obPJ2enHEuptcNJbrP1FBf2f2fpBB2Q6Jog7DEevB3sRdaBbpHg9BKn9hdJpeqxY04ZM5XaAt1sTbzD4yJIk+kZ/rDh8iO3r8Q/ukyIUiTUJfVY1WrADcxDEP3ffeDWE0OXNYyLXhGTUvk0Ggyc7CDmZH03/MearC9zb90efhfiUm1Q0mVrIOcEaVfin2hS8OE+nLqYfK183XhGdUg88qOK9Gis9nYfo7PZnY3FITwexdyhnHMh+zrlDNHH3GpsdyE+CO4bBnNPotUz3hdUGI58KmA/v6pzMNJkOn388qE8IRF+e0KcwzlVEVNFalDjRjoPJrS6F/Zgp8vsW/Qyk6OCjUI1uFA3jxqgvHVfIrjPJFGTf73sS723VfZk6ydPYzxbfNaWOyf5xszpSaWiG2eL+1sQGLKGcVU6hAzYV2YHpWQOmU7CvX11KxNJ1IhFZgU2Cv8KxAQ1xhutNVuWtRLdujzUeDGThyNMinUlJg++7aXZD8roLQKFkV3ThI3MkkPOjkvnogLedsXe/yfH/5Cd93gazunMvfU0GM+jL5Y/+hjJSK/hYtPmsegglG9sdb7iS3LTyQIVHl/WzMRUHitTsGLk749g2FmcTHCXUYx3R9nia4szxgZT5VikF/96CE/wil4WqSAQO/S+acwz8oWJlI9esxi++vIje/VEqtvirpTpmE439zZrMpmH6SvexnKVBC5eJeSQprgX+fEAeG9ZzOf4GIprGGhk7mDzrPOBZ3QuXP7tkFZbnprTOfIMOwpHAg7o78kUJhlNhrRf9t9IsLOlVZlUu+rcB+GAHjmdi18ge2D3ScOdRDBZPhgKsOllOaSxpG44zJH3vh6HpixytKRMgba2DLf9JFfuqpG/kZ5Yf49kFwUiagbT7M3B0FjvGwnO4u3ENkW7SObar8qFe63PgfOean9ptlb9HFRAfMyObCcDHgaOt1HIFIhK3ZnWoOo1BihSCKNfH2hYOvNxvNOTp1/IJ2dxqfasY/XjcpeEXfkKeO2kOQQfHoR8ts74sgWim9ObB/xtNSwAZB8P3mNPdt42923nswXHoDw3Yn3Z/vFDFbMdE2ESJIkzNe/aZX9yGdxfBpHrZOPdBGA7/x9FG5dzgnyxznCA85Sc8RcPUlnVPel4v7CvzKV5qivLDUmqB+Z1nllo19P30lO/zJbqStLAKJ6xOGcLwaJvFStbtjF3OSBhJM67RfXAdD+rF1cu1NMFBnIrkck8GWgTYZaiDmqYWy2ZJfR+nn9SOZy3ik/QlZ28q0QAa9k48wZuOJqGNpQJx+R3Qyf0pGJRNNcbxCXRG3SjxhLb6np09ma6PlhAl417xaksjcQR2nPyB6/n+JWEtGb9T1w4cIwRa6aOaDKwbMoxbQI+fZQcfjmSt7SCz8rTkbtyAcyMNCDyy7cpPFqgacBOE/6iWaljshmec9F0NEhHQRlnythU+983WDpM294JE1cSdq8YmyQw8CcLqLMGHu7IC03NKaNEN3y03TJEdRv1z+kBXhx4rDk8/njjkYIdkqt8c9e+Le4MrlK74YmciwrEDSj0Epkbw+QYbQOYxyyBfeLbSIxJmPaHVVZdcj9dyXcXCJ3qjdWzNdFQnLzbKQj66uCh7C6LIX8QRAxaB1AqlXln4DRNoNjYO2ssRNFbxl9f1p297LApzrvFeRtcYvciAEI0WpaQvETYURMfu+/BDZeWciLHV7aNp4rDQYmmWEO98qC7LaxTfF66FsmBSodj1tn8zMb6e229C2sogvu4oHrFtrl1+utO/86rGtjwcH8+CBR83tjd7/hEyABDM33zkR79CIq/lnez25zVsdBSN9s2bGuQkCOIcqcdiLFezCTpTjSa4Ha1E7tVvRfeeK5HVn1gVdXVWYxKNgsEjE4hsGOXDquyWzxeRwJCTJkDyOeTp9sy+Ki/KiPRvcjhNuU15kvwb0qkiNK3yXWKopQqVm38qcdmObfCpybmoFc4IHA43Dpl3Xb/RsCUg+decZ7P9ICkmjjtCWW8JQbwwYPEQhgoo15ARa7lPYBEV2b63tln5sVe4I2XPCEWXxvbWftq3mR3NtorFLw19taPzlF64fGG424su3XHxPG59YV9JuwptKVVvbtNNMMgUwfuujLylEzABN2/I8yJF3p829Gec5jOJsFElG/Mq3DJ7WREv2DmUu88JmSR782zcBFAorRH95nkqgiIWEY8C050MTc4h1D9jgID4jt62H6s12eH0eWDCZMBD3JG3Aa/4ga/rOAVy8VhuO8p4FmqHcg5tWF0vEVlnblUYfMrmDAXKXIJFtr9YovBpdCpeHDirCo28FPTKTQilyL0hB5s2zQpXqzLynJe2N9Hr2T4eAlrPkDX1qIPyKLNRsKZTQaObwUJNR1L4YOoYbwUbQIf7bhvdcOkOQ2jM/ip0ClkBjUEfVQcDf6WabfOa6swstSENwAef0yy+iIdcz+h4W4+Wo05w5YTkKPJEYFuysWWEBITdama8RAya3zNecoRoPsFUSBheei6gU6Wj4317/1EMA4CBK49gGgUEN0rzZhYgCl7glBklrrcpo6RuwpZmlUZ9o3cHldvfoRtnCpDhW8czgo1g9KDrtJ7Rrudvqf7CN40Ob10YtYVj7V6Q5sJ3ReR44HuF73z4UV0yoSGwU/p3zyceL2V/msInHnz63G7tteSC/Kw03nIvaazqCSgvuayRLwHbynSv2GS3U977I1gEwiP0uOVyErZD7NB79jak8E/vsMUREjDF5SqsbOXMfhrZoPVvHwrLlKf/Hg5PEs3rI7BOsNtPzB1DU1+gwc7deNcATLhr9M9Tt4sXTHmTejV3MCPI8GK89ZO1yAr6HymuWVfrMdS/ri4D09+psBe+Uw0qmHgeO1mtBq/VujHinpWLapUxbNqMlDSjdWB5+Fx0guP1XFQB0iMSlmgef9gOyEri5gweYXJAzAr2sGD/oloymBeyvrnnyf1NaGHLd+zpgOCr2/BJLF85J1Sc1SJvu6+OK7ruszO6e8xpN0mjmDs1o0+vXGIZlIyjgCV1+lYqPtw6jwK4rS6f+iPK324Y9jBnsGq/d9YXhqQPn/noePE8z4Hd4EsQbMK4jSc6j+HH9MuEyuvnXj7Ofj0/N817aMi2UA+SE7KzZer8a1U5PC8DayXY4LGhg8bKhNKy+r+I0xcEd5KXUnV62HZvBSdNpK1Nc7mfJ7VpLGJWUpg0vfCRn4EgNaje95jFmHAqsmEcM5DETj4zIENNYRP7X/tpVsPqw9sZ5rkZqBHUtEX1+fHgCf5DAV2VUPHDimNGObv8Y0mdmz+DQ7Q5X8I13FPNTgKkMTB/KFTnpQhSdBeyxZa+62BoL3RzOkkgZDTaVFKDy0RbrR4RuYRQ2YEjJn8/nXm1j7ZdM3SQHv7IMskS/GYEKlRFrdIiI2Gq0h6zvj80H1Ang5o+cuU4d2aZ/MJYtJtZV93QgdG09kXI9e7GiKFyqZvDmkJRftAV60hhK+1gbV3meaSZIZfZajMVQN97+ozCNKVxYdGqE9hhrkmQNmaoZae1a16mJNqpWZI7HyYki1FCGqFeXfUZ9SHpwjMG0PU9vo+E/QgA5B6hbJCNXaoOpZMxuNKJExa4Uam8acWXunZ6V1r63GpCZRzmL8DM+ukVb3SOI8ZuCaR1ZpOx0xTvMYQ9JmMm6RlOIgTwBsRyxf9ECq//07aMdxgRyUw/7kwqjXJbRt28ACnmFTJ5svhyaGHX21hZ2fIneg1cgL6PhQhlMuNBYCLbmkx6kfu2jhEtp2Uoj16QPHRK2cNx+qiTpv58RO1KyEhXnCq7JxYGfDPqtuG8zNTZG/mvkWQx3zLx0rR3XrGCAwBYyPJkQs0Nv+4zYqGXBg/kCBAdvfhYHqLzCCoEYD+juRsxFLmeP7mmOtBI+5TSbpJQTmQYc6JMdOB19hPaPEuo4d0HT2U5h6l6IB9me+Bn17NTasrvpfLSvJMU8qaqEAWA4ZQnb//m3SF50X0IGotZ/lH9HPXOoA7wSoCv8qngiIr+VEWd8KqlWywtk9mmbGWYTKeFIZ+gB8aYIMZ8PtMbiGkTud5Ot5guROoX0NoZvHIF1jm2bgJzOy323qpEj1GohHR3W+lDpmY8roVuknllww5WkWqbRwMoz+BYohgNEJB+z5KLukZQR3dBjGs+AKRcF5ZfBjYs85K2/1hoAvEK4C9gbd8jRvzMD+tbFu4jz11NKGfo96hlqKKrEWfEl4b6Wz6XsVfv0YNuGiUlmNlcs0d12OOfNzQNoQ3amtOIQO2xqanrxsrIEVAs93gshLAxMC2gEqH1hHoMYrW9epgsiPlFp2LCsQU/vuz2GFpChvAtTexLoq5+qFa6A/P2DIRoUTEhdqVkGBUnNxdIY10eM5SKyE4zKimde6jjMc1RHuJ6HKXJmP9BQJKhVj5/vVj0zzL2mpgM5R0IESYiXizpbLJ96V8iq3cq24jU827BPAeL39X295rR5TX17kZ9xlD/lKXVmDRd5AG3w5Bzv1lJZJSpmmZDU9XHOYH6q0KLXSvI+j3JMpcU0L8C9SrkdE4uF4EGWXfJMiQVbXFDL/qK0FWsPK878oEm4mQFGEMKrt1OIGa+hYi5gIMwrr7xKRn0Zaz+9WsOuC6c8eArEKgYry4Myf+/C1O1ndHB00yb1z3ZxEY1EDs56oemMwq4g/VvHMmxlC2U2gkZopsu7FW0ZOvqff7HhLrWsCYsBo2AYVDENBBs6r9ny610xkQMcqkgwunsSbaYMKuamgkpDPBmphAx8O297BHkTbSj3K47upJHWBm9WxlF+rje07ruzWF9UrWHMNx0uzI1l+E7X30GU34gQNbKq0oDe/MerwMNwsANB0YXSSSpiVG921K4lYQ+RhdHuYF4WvOg2CU6ripv3VVt5F+s5CX2tyE7lTH17+s55El9PgSmOCiMhj+fxlMr99l74uudg6vRjgGeVCLjamoeJWprepcEThvB0HDyqwsxHAvf6pt4NwYqSWXWHpnwJZnMRM9DFOqsTv4o1Q2R3m4/yOdKLa0WwF2/F669BpjDp6VgkAumx2fD4ohJajnVWk8t75fNL1Xg3aSopxZfQW7BzP/k8KaiXgJpuk4rkK/FSc0WqelWdp0s7Fm1d7nfujDGWA1QoUCpqDhptxShR2JLEKPYaSn9ShIOhDHZDWsoQiFM6Nb1zbFSkgOm0/jyQsq7PgaJ+gCIYGd50zNc/F2rYEZXqyEAwAlMMA0FGIXNDeF2uUj/cZ0nTmIaqtfm9OCoGEdopiduri8Pub1TsNP1we3eodu4tK1oGRpU24GqjGuc9ip+yWgXWJiIsz1YapzA3MibTiDk3EwKZh+apoD3OQufUbwjNxGqYPDKBXeuLR1z+lKy8SeRi25K+u1XgXiTmxZXM78dm1a4QzEroZWAyUx/kaiRMbDFmnhtswG1FbTJL8AY13Yi9tWyuN23KYiCPOJkJZtEOb0KG+Vm7DUtOUHBsUuQRHy8do60dPny9xZ6K1o7WOLpGrklG0/ofjHrLT8h68G08ehs0i/hhh8EMSx7UIDI7s526MnmPcXvRelhkr8Orz78n/aOpk55dSkjur4zLQDHRKojY3+S8/gnqtQL/ceaeG8pybo9I4tdMUijKE2cTu6xBeyVojNfEKV2dubFg3uGRC+RISeAP1O+OKZVI08vCho82HQnxKEkQZ2dS4HBxeZeFWkc320icHCHb2mnUpE01d1+YL7zui1ViuTtP5fWi515qnSt/urL2Ju5FBn3Zr5nyo4E7gun0hv1go2Me+eyFY3NSRaI9yoAqIffkY2ncWEyceo+9H0ANootRECmr4ttV+zh8iUFQFkNxptqPMapbkMzEgY+OrORUAsyzv/gbVsQAKKFephN7LtXYSRyHFsVJ5anqkLyYPir5LoxrOvvYqaTHkbB3AtXDxG6Y4e6oMuh3mndIZ4SJaZ/k6bzD26tjH34obfkSCbKPWBShLg4I6evAQEThF4rphpL1bkHZ2XJZSnXccllAPJG4Em2eVcbLSKkSQ/0pZBaLY3sGbTEGf4civzMsLsrWzvYG5mOlX+FBhHEkMt3n14SBKNgsY7UTYo6pNoPI3LitQNRQOryNztSXryZ87NQkCTyr3GbpdL3bGHHWrdkmlh9njTGcERSnR5rW+/6h6c/V0J+fu4cK1jUAW4WOhXK0LT8HGi2xw1u0+D3eML8Dcx4NSkkdRIkuHe2wZvlsRvWgn7+hcaOsceZvA26Pf5EuFsUASCYg+CbIhtURZiIzy6jLoKB69VVtto11iM3XPTGj+fJrj8Bl4ZyRW+gGwN+B8/tBq1NwIuaI8ti0qyZDweQrIPTdMy2z75AlQGfFfOdv8uR0FHL7dUEMJvjuXF7tq+P4bm6cX376pIvgovS3KDfczKzWZ6Y2UaijX/kOLPY9T3iJuw/7SDegR64PxRNijDaHtJz4pVfmZsf9rrf+VAEL++LbrlNPa1VdnkKQQfTw1LCAIU7OuMWeoSWBTU+qDuuiB31b0DuSQIqCa1uIn2NI16qkR/f9K+rzrgtPLrCvQe5vGQ/ePQms5mA4HqzHb15qwvFx5jc37sKfB8eVOVgwWIExm9Qq/uPoZPpJvVAHX0LkQCezxGc8Hl25D5YWicMmTOPAEAUrGXn+Y65fA8zcN/Ez8waz7dZsm8NRgsAWOaJTeuHpsfYC15Cobg/8YGWzlqQw/uHE6Zm1JLKEyEsKzZIKiDNmpm9Va74f1/kcqxptAzAvEf23SVsQi2rzVV6HZJYqUGACso1nk3AmJUpGZuXW4/E7d+uYNqHcNlSy/FeDZbDNao/GSWSMa90MrGmpUV6RDz6ltA+szw/aZUArpE2MVbP1jC1O+nb+pefv2bRoAyYjoT79u8BgyPK/rwSOm6FofO9bax/z+VZ3nkvMleRNRNXKceo+tzyXh8bdZMXMSKvKCnb3fWfH+2f5dPopi3+VoHmUybSCNuQw1jhtyUUe4BO4sbFXC4CSDxZks1vRS653jYuFIff27A9d3xw2JrVwfl86yQQMC5Obj2C4wmLjus3jPuKX4yXS5lh1VuKvxLpotM2boxJCkbykuezzerLdZYd/Zz1Fbj+fluCbF3EWeQrGklsBexPQ33hpph3kfnINm9XXXw8WWrD3e1z8MZDjbcqeB4pjW8a+bKM2WZpd+CrbWJL/fjL3q9aYmiI1g8o4O1rn+nEJEFwu0Em4apeX6XpWR+asbLB06F1aTGh2R8xmjI85NmZbzuXbkBQAgRNwrKpPBZ8HGHGsHxSdNinOrEwC3P+LBcbERUdTmvXV3DTCEDbz/nm/prPGiMB/Koxp8FquHvNZYmeiKLmnB5hrKMslahQmXjjJTBjlbYT9Q56mWkmKZCn0axttd7HZSLjGno6ue8ltFLjmN0houRnjKRi4qUSQlCOGT7oBjL8vExyFC4oRteRUBcuk1i4Roc5XFiRVOciMprnVG1gm6oY9g5gNHkLPDHrMw9JwQM6r1VxalJ42fG7m3qFFwIc4DOK/e3QzzOQB6TnQ3bpyfg5C16bL4+XFQfV4SQ0xa8N2AZomUIdzNYcG6ac621GiyxMNYv0LNYXHHACtmmBT50aQwgAONhh3x+QAoeOOlV56xkRCWVxnRDy0K/jDM46SKh3c9jek83rNFN1m6nmTW34IJ4Tr7EcMqe2reCPCiXtVgUm8MHOsrL7qtN+iHBKA+xgmNpJTZANiTkKuDHZLsS4ofNOAAPMqFFFLS0P5YzlF6DKSO1gEeOFYH7MOJ8qU5S/VXET7QkjjyTb4uNwmsVNHHzQfA7uvZcRgybrt/jSROkPxwpvGcH2OaDhAWX6/nQUE0Q9IpSN0it4VIREQ04v0dedB8EZAs+kcEOwOWTCD+EPJhrhadgaXkCzckdeb4gAInlpuDHmEgWGssxLJYtMPyZSrlzeeYhxKA2du1Wms5560ouX5trjIj4C1cFxi1/W6Ex8A2mBtU3EOXtNI+uEGckLPaKguV3KjwEzu8g6R0ATDFe5EeoznHC7Wk3vG+u+Ry05o7psJmVAP1ri3Qy2btZK1A6CMLpJc3h3uYj3WezqVjU6SFNKjPuk8yh1GUZBRnb8k8EFvY7LMzvgQ9detpXPZoEfkz/USiyLDRbxNtQttx518EZWX6KCUX34UXwL0rSDOLXGNrQto0yP1yHIX9Qn9mGtiv4/lAZW3mZ6DT7Bp8TtghjuBeKUWihr1IfLnjSOGhQnxmCqfJT4fde/h+FHP2migIgBz/pvdRNm10kYSAqNetbheBy+cmPgKg9X/TdkkCWHTYUp4nXhGch5ylH5JerTh00uGDVJPq+80QcMWf8rC/3cwXakLoXNrBVu+e+k5SEpa4mDeYh94cN4lIOWMed3jbQi+5QvVQMC2Pg1SJ1G8IIsjZ57JWInctRGA3CF5R/3FTeFDr1hD8OXddjP//KGIkN/umwzvTshEunNLIy2TPxEg//a82efP7lZ64Y9soA9b6CLhvkJR7ZVrn+E6cLIWkIoH5O7iRJ0bgLUkwu+ez1K1BQfhjsWYvVLQLW7QCKSfdTcKhkYFO9DCKqU4O3RJlV9pxiCnB6Xop9J8rZK22FusVVmcfowiM0INAjdSnHtqsjvNcgo95fXUkV9DO2RAN4wXzfPUaLQWr5+I2mQB5atTkEFP3mv2v0vFxCaIFORbS7qTmLkeUM94zcBzYhDOoyea+lYPinCJOrQGHm1jiLHmgjM3HWHlBVyP1sm1bgautvzZB3npJwui9AnG3aTRZv/3vbV61p9CJKaY4ZZ6qJgNPGhe5yxpGkvl6kk20gIhsm1LgumI/vIc1uNqZ4+SAWVRBUFtlC5rj6DBY1Thc8PE3g1BGAfvEEugZLz3+ILm+YfovCHLU5NAWtd6zvXTCdsk8jE5PiHTDIUeEGD46tTSxcEr/hrHDmOgVmH8juEaBrZIkn2+Ye9sSZ7Hx8pdFd0UonSUomPJ57XygN8Lpa58khfN+DB74hnrSsH9zJ8Xm+SYKOcPx05PfcIkYwHwjaG3xHYQU40r5qOjgZ8veGEwz3cFF0tvN9EKbHxgc4Leg7n0DVH2hO9tWl7BNbyPW2W9JZrHDRp2HyonrlIOoten+b9eXhpVxrthyOTsAu/9FFTMIkSHtQpQRB01sWA4JzrGfVpNPhbQg2TVvp5ZLXTh0ER+oKSvAgmqUx1CtfZaw9Ct3BbgE7t0wq12EAF2Fw3gD715ytg3oKm1LGlAgpWtJx6I2Ys96OK2gOBgCf68A/iEXqM++32xfJQox0DpLiydMdE9cKTXjAo/zdC2rC/X7DytF505P26xGZudPMs0W5t2biupB4PXT/a50EArK0W//ni3VJTcLK61YUYUtl5s52VEiG+vyINPInpeo3G4A0/ZbFhiqgG1aFC7/gS3KxgYTjVBf84m0QC1lMZCBdNUgrOw8TBRXb1H0D29xRpcm3Iu+FxABcRBkZFIUQLWHOhS39GHbR2xtGQg9/xT8nop7GkuQDW6xL9PSUzcR15WRDBRnf3zDzkX5CmYNya41OO8Z7QutozIggZ9Qjy3sawSLGNV2SVWtKkiyxia5hQqtc8/x7cHErj6svM+vYUkUk6jjpkA6XbmtvFk1O4UFTvf1wdDEaVO4h3kjCy8KGfWwkhuodM62Ia8gYcvxMIN69VxcB7gWReg1OiLAzIoHeMUpXz7Ju1bRqTJAP3gbW7Bum1iEx5mlfk6jFPdsQO08jZVNE3LEx3B1NVE19ITYiRBP9a9u4KmVro1qTN2G3rsp9T2nmJaJnLRm2jief3T2sfTvGcdufh241JKaLA2ps6RrLRL+Lvgz3VwHCPtEPDirZph9y7FQ3yVcsZdz4y8AS/jKKQCXIvIi0JhhQNYLdgnynZunkiy3pVNZ3WL7A3AQNDm2kEpHRPUUrBXwq3WF9r6KvHYpU/s1QT26sDs6rp7QDfDOSZCPJgpTJ3Ty9RWA7aFZVz6EU2n1i8F9WDoaXaGbH/118hDZgofo/20lWXKPTtff2KduVQa+4zy2L6He/TtyGWZwgAq8iEGpx4OKqu+BG3U2X7YSNFTMFNIsHwCOyzZD/390WOdGaJJkwwRRNCW9GdCpiOX5EI4z6kS7GHxB+6nyNoT+GLSrDpiUGNZHboJwaBT9Cb5VQEDJYL/ySLdmXau0VEw39T0ODMIz2DxBo2lVgsqhKppWsayFW4qBAfF0Sf7kjD8O3vIixzJG9/uvukAke1GO3xfMhooU9SN9u51hC3L22ScVDIvVbBUAL2jIRjYheN0YXqzjKShdRzYE0Y4beclXKD/j6GosnvIYCQIozwUsY3jBcVb0qJETOLKXwgr3vYt5YC/LPlbE8y3EdI6PUnVbUlJiPQhKyoyZ0GGvgPNI7ICyZtnJT3rWyhqSr8XkXPx2KoGLKh2cbkfHNurd1PMmkXPHIAwU0GtfNEEZYxT0SISBPhlGrsUXqsmH/oyTIoX16kbyNE1/g943ncE9uiJnkUWuN6XvhT+q03mvhxAzrVZkRsHlxYyIkz/4LxnO00ox288LZWZmmWyvNiTJAHi5HwkDi510PETVd1vI5TA9nem6XtDSj17BR59Z/nf0sUED1r0GdRZY8C0Z8zjHQxLR1T1IihIYCIB/E57ElrAVwraO7cr48pu6GJEJcvyoXmq8eObvWTGw5NcZ03kfqoKTFtitC7g5J+vuCfUr6fLJQ7kZs6PXLeNXC0Kzi8NM2j3ydD/pQ28TfLI/o6m5eqxoizXk3/1C8D7TaYNqQ35H65rnOlaWMGyUn6j+kixRTo02IFwOjvw48EY2H84VDbS3di5XnMQkcJ+IeTiQU480N5TwQ+KeKzIbKujVG+p4twNTKzBAX2k5ampYxQNrIOEgzf+zfYhi3fZyigztgwIzvo049ddEy6KhEFhouE1b8xu8A3jlD8JKQW6WBTPLrHnP4Tq8Ih9iyVsJdSyzdNNACvnDTq7E7XDfigGdYxyEZlCP5DWnfSSwgKeAIVx/VS7PxixY0TUjfRkRvLZcbtz8rQE71dk2amShs9Wz/RvhRgHaloac/Nt6yMNnLLAYfGnVaiK7htMfn/FDnqbnstK9C/uxBRKRGKlw9I3PfM7aRU0MF6+a8DKthwRzcf7oO9hQWm5mBvfitDKd9BEeaoXZ+sapOS6CunWnmI55WquYmnEFOioO4c4DXz9YKNV3vgkmRj29uv2aGOjzo1FCdi7EkE3o0nosqYKcbcKZ5PTwYE1G/KoAT/bOT6TxjU3G6Y4WnCFIp/MpdroREFCeSUnDQi8WMS2P6oMvzhxk2aCt0KEaFRfEIN196wFEEHIykFvzbr7d/rSD0mWK8w8dsVSPdpmmfsGsoaJ2gYEptEnGiZgpE8udoYO2dYq47c2BM+evAfjKCx6TJRe3tFckCUlnNAACQohp7E868gQiU0dX/bz+7RHVfImdvNsGvfKmaUYpgQAG+rnHr4aHcebcwdR8EeEnzNYp9DAzKOpSpWnDbN+2Uym3eCHZ9Sd4ROEaZYdeR/cbh/Xbl33O7Ru0ZRj7fTu4EOavMOwebsc8sOFTgLIBANdMLWO4EfWuB1MGM125V1EvHOMdYlhMJ+ArOTjn5HVkOIjQuJajCku/cG0Ea3XDT+GxpTG86F1ANSu6cuuOlmJGVclT1Ngm2BpHge3kk93Qfk7nztL2nOXl93jZ+xnqdMB9K8BomR8N+wnBm4f4wp9hLpcwd5uU33KWOEEvI4vxH4lYLuLt6FyRsUnF2umttxwl0HT8agyMaAAOZzjGewm/Ntj0MPZqGgerply12SoE0phKBrs3Ai+hGK+Oc7nqgSp9wBjaFFOU71nWtScSgJeBJAD4wTW+L0qBZ9RcstfJKx7LypYNrkyj359D0iH8tGnObhTqoEhQebVvJWN79nsH16fXZKKV0KoiNVLQvNDD6C1AUgBMIsn3RmlYKx5j0V9NTzB1nLucX2PInkxqpa2dvgZXb/4G4bsJiSi0pCJQIxIk8qAEaxs69oI5WQ2PwwdnQntKH5/Nf2mIS5RtBmZFSLi3D54qC3Vulw4KXFpc6svfJQ4F7S0iDx7rFls4LV27yMBDd13PNRc4zvNAfNLzLuEBWPOoZpPuCrvMyANfdcCw48Gsbpwbg9iVwOcLDlIntJOPcclLYLWRv+TcH7BzIA577+R7UB5iGugRlGKHd60vaNFYLn796CBAI6bcC6EK7WH3LHCSFEbiz4FA7ctMU1Sr4y3U1CCIN67HDpO8PxbJlSbLeIwgVJxexyHH0Z4URiQdoYP1Kvx0a6nVUhBnf6cgp5VU/ainy/wBobAKal5joyD0syhEMLTkmn+AM5lDQhdfLvaMrH/Te16KA45q6F2U0kx28EYzP10GpViQCZxPTNfXVWn9WjUUFXYaF2cFHPjNn68y6Spq3M7q9FqtRPXx9gAIZAb6H3PLbXq9BfTMpYORNL7P3633+53zVbMA2PCNL6yCO/pA0KJNYUL3Z7reIlI8FO2xKL/mbAiiir+DU2PY1t95GsGEMA9sXVu/theNdgAKCBr4E+8NtKmgwAy8K2kXmq9oEZVRxafj65OqGCYRJke8AeL9p1Yaot0+rRI7TQTMs3CY9fG/Svn+TYXU3mumA8xJhMdeUXAdfgl7DxleaKZNOunn+szNen/0FNVfUba3oIMP7eEbEkmuVS749hSkMEq/G5o+qQNjWDPQACHElDoBM3CP4FGwUi9wYy7yMngezpRgz04ZOErnjq++zsDUO7zd15LeN46E+qXucDZmiiiDrMmLVA9trOvz3ncSNrAC923/BFLo0DjIRxe9OtVosKjGuUq34eH6gsSqfPWLl/LE2k6Z8nMjLGJfITUVSddobX2JuC/SFboXM+5LzyRKag1nVaHe3mATWBRw0T0pR+LlaCRrFiBDGLw+mS3YAS36IJAyd8VRmQrVmcQJv+06Dl7M7Nz058wy+9IJtVdNWnWg6woYfPlBKwVNa39vJbrAd6AKeFoBbqFP8C0QGRUsHhiOGm1cyTgxDoQH8qwBHQq5yPvdncLE2sqDMnA1xdcPeJOiKVYD+BY4cCQMS9Q2desVd8HbRiMTt300GkDe/L+DdGwuKkFc4B6KC5QphAOldaH5+RfzYQeWgwt4JhB6wcRLFh4fFmZ/Odk0RnLedRJ+BSnFrc/bAJjpudLftKk0FwtmZC51abTSNvrC8MQ3I7f0eYCvXIl7amlPRWM4FcDr7srMyE7i2RHy+8bPP6rPzyefUPq0HexgTugoMJm/p7bIonvQvYs+ckgwlKClnnGXSN/oMyJ+Vsr5FZpbcoCnPEWZNfj5t9NcXwzzZi2qwul80oTvlBhD+qghMMmVuafhXsdHb/FnZtXwnh+WjgW5fqGVweq5Pjhiv163yM6+stFv6VZgyqnHdFt1eieDvFCmG0/6pFTyXrG4vuoWKCgeiFWXFgzducarPWXgcXEPGg1zl6vDvT/gSfEPEeXHvYxX28fiYUts7R/xxs+rEqIgI4k+qG+2qQbBq59YnkcZP6T3jNu9Fhn1OgRKWZkPzG1ayjYy4GCT72b8/ntYOtjq7l4qj20/kHo9zs8829Ktl+BTiqJUdFeBa7O9D9TDm2a7S+esCcFkdGAR1SS8eGlnSDZAQDRTry3IixqOteYQ48ASHnzwxPOwZxvjT1fVtxkD4zISswnaGt7W+zn17Xs78R3J00mm2TRfXsqyONW/phSywysG84GsCcuzQDbMhOEL32fJqQfSzBUfHR+wQMNkvGoohOhnCLD4C6BsqnTsMcvXQUkd+efbjASuZFChIKLFxrb9efT2wiGhf7qWD8X+gJPHsL37ZrDEbeAh9p04IX7jxrLra3gFdgJAS2o4g7Q8btaB42KkXQkFLxjcSv4OB1+f5He89LPqJsaP2bPUw57bb9GlOF7RrTxoAjJoGz9c/uCkh3vzAIhpN4tEFnhI8bGOoTBGKkxqrfoqnGEEPUIDDU79KZWQjKWa4P2Saxu22wbVQxr3EbdSutcgBSLMsVZtf5mb6ZVe7+X02luo19upmwOfKIwltCZkDPEc3/no85ilAU/jwNt0dwbtq9AriBE81GGVK/FYSNL0yspTAk/T6tUMzKznjTYiwpdA50iO1GIQz9wpQlnIK5pqIVik1THPLdD2Ij+tDpOrWUDKxQXwyYsMb/YvUnRWBSHAwwg1zWGVx+N5DEU26gc9BZ+EZLrSVaNXs7/tN9yVK3Y+AeQVoSJmViYtrRPZg6T0W63HjR3eyP2rIOE2smKOjpxXjOGdLXwgY5PHvE5xqNiw6rLsRi58NPi5rh/v8RqzSLShoOBPpmZUnG68SZa0R7YPwuqI808Hayu/ovQrxN7RV6zgBnaiv96yp+vlxRtvZAkp0sA3Xzd+EgLuO43AFLX78/iD8aokZ+JXQYl9u2uU+91L2FFoMw6We2KzQQaj7rBreY2zd8Ju0S+6mnJI5V71kNyOWH5Lg/z2CcTZ89T2fPkDU3OK8T1xbfjGlfrlM7NvSoOhnq68+Pj4ZtHoP5dE4nyfTRMah38LIW0X43qj2drEaJyJO8A1OQPa/9KO48uHoFbPFaH75DldNfC2EAGXDFE1fQP0o4mYUHK+epssqPQBcgZrN8MXZfotIw33u8EvOBxMsuYQshn/+2mGDdd4u1usRoqgVJo35BooGe+uE3NF8SHDmW+pw3ZrpjW8UB00Vq7pzW/WlTjpP6gsQA4zjRHFOSFCnBbcpp79LENBRzzAsPsn/6BOJ+aKuhtkxL7K43hM9XTDbudUb3cn6VoOso95UaERorSgX/Kc6Po3V7v8uRZ4ksytBWVz+UZqfY6pfTcL+MS1+jAGfQtsdWG9UkO9xuRtiZGs60yaOUR+iGVPLUVw8B8cT/qOxmRkzrgebPPAGogCGKxRyPsI8xQW38syL2hZW8G5B2bqQ5Vkw2/o6bPFTKtv/IQc6oTPF06gS5s/b0hfXnxo1D8UbOta3zyuONm5p3IZxrCDQKUPoXuKBWG8LtT6ger+XSLypAybNK/e2dStlZrWm6JsaVPMDJ0yc+uYJoW0yH+I492KulPeYkza9mlClVmM3rlomuvRNjiR6p6tKEMyuUhm6iijx79M3P2BGwDf0YGV/BxAdqQSa2nQHaw0SyJKUn1GSHlG3j8y5qNahabX7lMP8MNWs+FEpwiyJi7RvyL8grVVxMyoZfIX8FDmaRs0qLeMtEX71u+Jqo/on9yUzc0BmodAAlZNVcn9RWlHTMEySxTymoU8T68U2ZzJzWUtBAYGUhh7e3twdyQyARJUKGKZ5f6OGd8PIfpBbYC01m5HGuswXEw4/JYSIWrvbr3Z8PueJmDdHq7DVum2zxvMAuE6F23NrziLgwtfBoN/iEHS5jdmuUfcK+CzfMR4KDv/zxkwPywtuzTd6HExm5QdcfJROQnPs+Y1eEUySwUzNfE6//7lAwSGjwVjZ40tVBH+Sui0WMxXIfRwkaWEAPNfVSFW7f80sKjDsUPBgxiSs8RN02+aJlBG0bnYcakmVviX25qT9kFr788MdnGSBk3eJQnzmTtQ0p0/bNYFNeb9nb/Mgp3b2lM0dMKu80+VvO+On7lpCAPmoTa9607EDPhuH0/yt6EZ10KAUSNC8QwMLw5VCXaLrQnoMVmyOyUV8VhiCf/uNh8LNJJNP+4ZRDFSyiX2ENitOSEqcrtfmahKAQvBsdIUEssm+DBI3vIN3AL3d6e72F2HhJwq/y/OWkktGHtJ0xFzFV+iqk0vnfzznRKTN1cVbI4/65S4SiMcFNK5O/Xped2g8IpuYvFLexyKHdzNhKHhnIF4/LFbi9mzhGq3vqJ3RLuPq0fW+HE0pXKsgEeQa3MU14AaTAhcKfX6DnbwL3qwAMbyqgYkijf9uN8ADnM7+vbfEwmSHm3tQ/J6JB3tFyIV9hyrig/9F3XZ7oY8+w59tOCX8av8S+4N88PLWBdR38is0LOjFW8w4frZruPkUA8aJmTB8sW1q+qHFkA6xHiJL1GKIlyJHDqzORCUtzuQDIUz2pBBA8Ts9qsL6UKD0rv/cJ4XddfdggJQARhhXVrC8lPyqFkgat34o02GjjN6QBz5KELspaFEoauQYh0iyw6hNTFPhh8fteWfg0SqAUdg4wXi4ow4Lb58lj3UjhUvX7JFiz0dNIcWqZAcCi1yVigTgoPr0I9KVhgMAMpk04finWKYHXAapZ8J8Mcyc4mV1G5rvg9m1I9Wwinn7FwfZE/l35ErwV0XCbDe6/IAFmlvLRFgsJobqCRHx8whbS3hFnNiA+AaxlERh4L8+4EnPUVOnmfjWHlYqxl2Q0B3zCY2Jr+WP1voNg91rDuJTKOMGopMGKuKnIV1Ste3Ziu7AuEFe2BPXJGGcWuNrO2dl5oA5eKeDwUOFZI/bykrznKPUOMgnw2vgKGx3eK5oWUaLYR6Kdmr1GcZfjLpek3hI059yYvpqLtk8UKz4agLAzNe8wog3hzp9imJpESErOTiqq9Re3oLE/NtP4bMbWmkPJmhjQFMinD9S1Opcxt4zjdowvOaYEXmKOD/DqOsvep/UXGfD32t+nyVYkEfX2QH6/K7XFNSSernLF4K+MkF/gaEwg+BWU/cIjjo1d0gS/Hxa9RUuWC2Axb0+0SpzBNGhzo4t0mVFQUFMUc1ZpO9deSAY8qlwD5ozc4Pdk2G3ji469waRBR+eYTDs/GMJVujyS2Nn5kvVA37xxLVPmNpsS3M7NORoFzXTbhXBGgbZXH7M6f6ZwET3ICYhyKDKW+U5rVmEJX/TMRrBayCXfOTJ7aRx6vJE+KJP1MCc0llzoEO7aoSqyGnTPk26Zt+VrEIceOE8VCeOn3KuDgM8Dx3390tAOJT0NDJmZLRZXcYInRJTtgSQJSkfVo2FjBp4EWVm0Aecsq61U+bvxb1az7j/Hy8pKCJ9hCBX6nG6xuSQ3XRerQ8Nf50RkbwFkqrun1oGFLLTxZrgL+T2TCBRi3kilMw90oJTzvziD9NnNGYyh0/4BCDpdr25miyNsBeqrI5sZdW2d7WVLjeolivQXQ2N2bBniUQ7sqyTNe5SutDLruH4P2T+ZbXdzYVKSVT3Oo4n51Idb4k0ky89SpPTPJuKviLoYPzR8ZG/IhZQFkhWxUEjr/oWOE4oTkIFDBwIboBluwyvKJy04rN7WV94AgyxwzJvFMuRcKOZfqPAA2lYgoegE8BDaOKMWe+bWHftBi1WyZfAarCFcLtualENVCVWY9rx5SGVoCsx/snuv8fQ9aPgm/3etr6DXkVAyRViA360pgBZ6jTynPmm36wXw8QCQ4tLaXr3nKjhEhAfu8ZJ3PTIAozbR2v3MKFBkW2BOK7mnzHQiaJXS2H2fgSRNu+Bq0IBhxylqp3rycUc0Ee2GFC9vki3GX7UJFcK+BMKnQUcQIePqdV1ZK3yfTMSHCdGhCWQkwLGXKurrdClWcPfC14d6kAOfbOPm6hNj82J5nH8B5KqRqY9wb0m7wP/K5I6lj3Ij9wpgifjILue+c+KohEMBn1XdNReUmoSEWrQKUzGJkXWO2p1UgMaxXrgSaB7ZBFzA0jIICSiMKuJ2x9AlYVN+JkRPxqBSXXQCgFk+iQdIzqZ0OBwWAslX4v0N1CxNC3SkLuZtbh67R/SL9JGb9ShUZl0HcpVse5aXRFo3TG1Ck3hSKVIsnT1gRe8Jjv1L/PnjVW9RZibD2aCVzXk2t4LHWdiqK5G9UJjs7zWCLbMcntWwo0HMMyv2q9NdELbI7j8/8NzbvSUyjsdo4r3wdA0NgIbCBqyHJlbbOC6J6HoR4aw5Sd+k8f8PNZhH+ZU6DfsNYpdTWD+c75nNy2aZWTdVkTTi/QqtBvzLSGoi80mE0M6+CtZ/12onLsaowKVVEpigjzlfzbf8IzysZhTHTMKbezUs9MVHLRagzUnCYt8aIC1SmYp4VRIbwvUba7BYHQ3L/liS47b0PYKG03FxZFkuqipVQB+f1jCGKepUW0crvfoHrXl5UfJgaOnb0ToaIIJjuCxMO4o60VNwh8bPIUOevtVdt8opOLy+pRn8EBKn1Z+CPXxVIlem9evo/HwFpuhJSunsbHoGhFaxhMFUZ1o/sZZcFTf8dGUAWsvS30wJNmODh2pEULlE3UWfk/eU0rZ2b8LZxuakEvscHEDjfFTWOWCknTbN8kvItloS+UllOIpbepfotIropfjYybbDFD7PrS6D9LHMie05rHGB+ALVePHC/EZ6T+FcEYamGx/24DFMmN77ZLjzI7fVXRrTZhZ4a86PevXs127sQa7Fh1SHE6ZkdDH7jYIWIxyiWsJTcv3CPvBn+90lB/V6LgTC6OQPgbVsgggykQdnf2AUvluajgB6q0ZZ1Ovma8dtfNoSw5DgTHQyaVFUyirFbUr7JIhgqUuwiyW7sD0HPW2gEEpcKqUuHkdewPzF2HpYIjMDMlmogwRJt7V1ce+Hd/9GUEP3dtAlFc9dJgjBEqnH52MTJ8coFnXil8mW3tLwwRgTT+zBhcfDIm3kq/pWmXZM4us1GiYTlcrkJKSSyPkN1tA1ABTtd1rNqAlgZvJ47o4wOT/ao5x0YmEHwTY36B0X1Y77ZX6VTv6u6bdYRz0lU2ZAdfeqLlKwuGe2gAnOIClkaIKezAuMPgpyB1osgKvbx+0Z0iZTjz6URC9kS6qYuatZ1FPN0TY50afgbh2lUcU9MeXmnYMoJbAHXgjtEGQMsBs0VogF58U/gzFIz3PZpfSFnIN0ak26wYevGBOETXGtpZBqgNTCBFdyjnBo6ScNSBowwwZoXNB7oVItTF7FQLc+4GR+2ZDzbBAPCwNfBy75fLBJgk4Vho1vbXWqWARnaPe4flP1kWW1dkpQfIerjT3L/eksn5RWxtU3lR5T9cE+fC4risy8DkZK6WQIr63npuX6g1fekrdmfKCH4DBOWzMOSwCL1cFUamgPZ7AmkT/LltSPIHmVbl2lVJ9DVc1ziI8gkal/2XaD1zUSd2gBjAE7lrrbZq7FMqa09hBRR6g6DVmqRiNgZT0rcxN14HhyiqL7mWmJbmd3uQCftN9AG6g6CjSEpF0aX38++3gbeVTkRWIwjAGliZnDeA7gBQB1kOQJfTF+4lDpdthJPRxl7TSkE0In9tJV6fVCt+S/EJDo8pRa4tN4fdoRk5iRwvR8rfTjINxkI/t85siDUJb1xhFz+vjW8Ngx8ddXaHLH3GhYP2UI0X14mvxvJbkbVmwhHC/fMhmPsjUVndLhjIEhu7kliJV0sbhEfGNN33ICGI/nYR+ir7B90MrSwWOC8Pp679OqlE/vhgwTS2yZTfMP11pUeFnDrY5y4BaOxtqLYpKjYuJAbmHpDGRPv4+RknGbxkISDCcL04QTDc47Md+bU4vtBeLo8nvxQm1LsHMuaLBL5Uy/i9PJfIi4SGB8FkFMSUJRf0NKQxR1yAXXlf25Yt2wuUJ05UwR3+kxg9ALBlOLEwWR83h3KioS7dz+eI1BhiH71i0roovSgEq7XH/eEFCW1i3gomTik+214aU7TCRyyM9gbwqGyfkOF8REMgcskrnEK8+Q75y/Z7iqrm0Zgmsoq8ywC3wXyd9Nj8COIevK3i1iAY5fJ/vOpBwL9Hn8UVHKazpAvQoEXe3oHVw2/BMr+XCytXP4SedVuQiA82Fv2RcFMX+JCBKk66+vUlbFj98Vqbv/0A6fuTuBfCf+uPaijVSq8wpyws/y970gTY6sj9oy1HeptvRht8qCHJpaHRl1J50xs1rhAIkzKQtbmtpygg4n8jRemPCOUOh7EtxulZW5Rzu3yLrsTmiA16vd32kLK2ecNdxIkzHjFpGWy7sPqWG38WWZXlG6yHJ88ugaTjC+/5MVepxQGdHWfY1xdlrG8SAGDz+UGVYU6/2cKRt0vZDBRxjnMcu+TwetyUEOYfkUTwtoPqW1aUj8pIhU73170nFKd28JpbCusiUtQYNP50zsiUVygHxnwmQokzXRy4Qp3APNnDknolIKgwH8VEaRn3e3Eg5vek4iK3p9WZ9f1OMZOpQg/MbLnEZgrhl3BzCdOawz1CAoWkzPaSfhma1Vqjmii+eh/e4fUPVZvkBCVbWTTlOMWOwkyEHUP3d2pYj6cyTM+BAhfsvUeih0lJNg6vDsOr3oAzZELsLOFOhViUy27AMT0RHWlbMXrDTHkCgqp3RsyMQI/pNL+0gknmJaLvLANiMh/gNmQiRdOPBOQThCaCUUriK4pPjSX/2EeZj7taA0mpJbpvOyg4voZrbyJ44Alo0zMKtDfMH4CWGUhawERufrZPXSrTkWiaKAB/rSaNWAX28oU/RrlckQnWHmc7PeIiELoZpeA7AcPUuXNlA/YFlSKoqt9OCAhVhyrONf9B7Go9YKehI3xC5Bow3CZv1fg6JlzUpJiLunKO/CRcHV9h3FRhd2INgHH9xYIHTF8L8uR/YkMyfONouVs+I4DavKjuaIu3TlTB/OX2TMKdnqhmZpY93e5e/oOF2yA1Zgjamu1Xc+LTrc04Fgh6tREe2Cb9NOjJdIO1nn3FzcWPjpti9XXzXWu5EwdwLmKrnANNBdXedk5WjZfJZb1tui+WGg7qETDskjyZXjdRh/2XtTEO0L8sE1NuwgNOGpAt2B9Sd4bnZXt/vUlwOoJAdpVGpVbfEAhOthCdGQC1uOEYHAYv7rXDLSQRolquPBvN9h7VnXErNjqj+lSLaSGIvvOF4wavHaRMP9xlcfEPAzROIlgYiB6p0povbT1Cg5Y5Jf1HPB6VaMZK0UniPcoKAbUOkO5GZgS39TPHWVrNq9tTISl6FpYSVRzvlWAvLWAOEdfxu7wtSVQP7LVsEl1MuciLlzDXLp8wvFcuSuO3mOOdPs2Q6r076lTX1zBjGkVU26EV1jd+hlElusLelpQ+wXdCpKRooq7FpfzajaQaxz0higXBsTV1pfyP4VwTSZSo+184/eo5Nc6VzJ0S6cPFxdI30ONnCPrW6ypnMCOyfkHvJ7pHVNBAIOK4LRoMM6dPyiJdPIiRGLxXfCNudZYTupUvCeA+PBO/bDjQVLBKyeXRwwUyeEXEz4mwDCIIJrH2GMUlUIzVrqruF0VRZupzXG/yo3xCPWcMzjajRhMxFH6lumZy8qTQWjgABpXlBrX3o568iZPQfMlGR1WgQMfBFfwHtgh/8QiceQg6pUv0jM3Rkof+sp+6dFvdxkMZvwWdanzedqecz2QD4qqYXQShPR/sSv8PZO37Uyp5BNwOrJh5Qg+1Wfyp8D+RXDkNt0BMDLf2KS8VDrD4ZYa80twy0b0VmsVtG9VLuTN/Qfx7PWjF0IR0uK4x4vUwFAF7k3VZvxemIOi25inSoe+Z/va4XBO+AzZNkxiE3pKmoK7t6i6R7g8DPwoleD0dQ6FQSfQ76qeH6APsf7UZvr8mYx1fK5Ruf3HPQDtKRkZg9sF7QYFS6yMfEp609x+zL9nG73b6/a4hs9KbqcKEYTZy8BKhQj8hHue/UxqFMM4QMhXNBT4gTE3yfANc4aGTajCuT7/JyL24+3lBAtVUMQeifyhVIVLj2dibyL9irDDHfHjCfQFstseXURhbtYwYZ1s51ImPaa5qLS4ifaxOkcytJxI9Y7MaCFfx67DkW04UPnM5oQPkDvslfQ5vDO7pRS21pMLhR1+T5YatMzXr9q1foCQUBsiz5LMFDv47JvRTvQ4l+PQ5Fsftgd+AEe/Ep0PRfqniEw2KTv5oBkO7U5llseVJHrc7dkhmv81n2mOFSeCNlXG9xmJsQQ4rf5xlmm/AyMRN8H4gRPi7xjtmufCnAuBpazzAiJgoA49rIb5s8qnJQhPRwshr7ZsOPBICCPGC+p7LCdh+9GXazlcRVkZTI5ROUKNj97z++8M16NhfPqo0YgZPp/EZk46/+NN/u6AWbOeRomMwOnCwdYaEKzwOXfNVSTe9ocZRG4anffkIzlaqHEa7Ht6n5eawryeHB4xkqmARb2Ftd3CzYtHDB+OhMJxYgqmtUkj7DYdnVC5R5fl6BHKLmlKw5+lbB9SmpfCqD3kRHBxIBdM=]]></t:sse>
</t:template>
</file>

<file path=customXml/itemProps1.xml><?xml version="1.0" encoding="utf-8"?>
<ds:datastoreItem xmlns:ds="http://schemas.openxmlformats.org/officeDocument/2006/customXml" ds:itemID="{041B5625-7AD5-4ABD-BD65-B0A712E9840F}">
  <ds:schemaRefs/>
</ds:datastoreItem>
</file>

<file path=customXml/itemProps2.xml><?xml version="1.0" encoding="utf-8"?>
<ds:datastoreItem xmlns:ds="http://schemas.openxmlformats.org/officeDocument/2006/customXml" ds:itemID="{89EBAB94-44A0-46A2-B712-30D997D04A6D}">
  <ds:schemaRefs/>
</ds:datastoreItem>
</file>

<file path=customXml/itemProps3.xml><?xml version="1.0" encoding="utf-8"?>
<ds:datastoreItem xmlns:ds="http://schemas.openxmlformats.org/officeDocument/2006/customXml" ds:itemID="{2F856E9A-EF25-440D-8D7B-8A4D7CC27B13}">
  <ds:schemaRefs/>
</ds:datastoreItem>
</file>

<file path=customXml/itemProps4.xml><?xml version="1.0" encoding="utf-8"?>
<ds:datastoreItem xmlns:ds="http://schemas.openxmlformats.org/officeDocument/2006/customXml" ds:itemID="{1F37729E-89F6-4D70-BC0B-8EF77515B409}">
  <ds:schemaRefs/>
</ds:datastoreItem>
</file>

<file path=customXml/itemProps5.xml><?xml version="1.0" encoding="utf-8"?>
<ds:datastoreItem xmlns:ds="http://schemas.openxmlformats.org/officeDocument/2006/customXml" ds:itemID="{a2c73c40-c31f-4052-ac0c-29eb77888cca}">
  <ds:schemaRefs/>
</ds:datastoreItem>
</file>

<file path=docProps/app.xml><?xml version="1.0" encoding="utf-8"?>
<Properties xmlns="http://schemas.openxmlformats.org/officeDocument/2006/extended-properties" xmlns:vt="http://schemas.openxmlformats.org/officeDocument/2006/docPropsVTypes">
  <Template>SSEReport.dotm</Template>
  <Pages>206</Pages>
  <Words>106279</Words>
  <Characters>137083</Characters>
  <Lines>0</Lines>
  <Paragraphs>0</Paragraphs>
  <TotalTime>2</TotalTime>
  <ScaleCrop>false</ScaleCrop>
  <LinksUpToDate>false</LinksUpToDate>
  <CharactersWithSpaces>139938</CharactersWithSpaces>
  <Application>WPS Office_11.1.0.14179_F1E327BC-269C-435d-A152-05C5408002CA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2026-03-20T03:09:00Z</dcterms:created>
  <dc:creator>杨彩莲</dc:creator>
  <cp:lastModifiedBy>ycl</cp:lastModifiedBy>
  <dcterms:modified xsi:type="dcterms:W3CDTF">2026-06-09T09:24:08Z</dcterms:modified>
  <dc:title>柳州两面针股份有限公司2025年年度报告</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2052-11.1.0.14179</vt:lpwstr>
  </property>
  <property fmtid="{D5CDD505-2E9C-101B-9397-08002B2CF9AE}" pid="3" name="ICV">
    <vt:lpwstr>A2D4F87EF67E4AB4AEB52FDA66E4F1C3_13</vt:lpwstr>
  </property>
  <property fmtid="{D5CDD505-2E9C-101B-9397-08002B2CF9AE}" pid="4" name="KSOTemplateDocerSaveRecord">
    <vt:lpwstr>eyJoZGlkIjoiNzQ0ZDU2YTEyMjg0ZjUzZDFjMWUwODQzNTM5ZmJmZGMiLCJ1c2VySWQiOiIxNDcxMjI0NjQzIn0=</vt:lpwstr>
  </property>
</Properties>
</file>